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1E3A5F"/>
          <w:sz w:val="56"/>
          <w:szCs w:val="56"/>
        </w:rPr>
        <w:t xml:space="preserve">ThermoZone Analyst</w:t>
      </w:r>
    </w:p>
    <w:p>
      <w:pPr>
        <w:pBdr>
          <w:bottom w:val="single" w:color="2E75B6" w:sz="6" w:space="8"/>
        </w:pBdr>
        <w:spacing w:after="480" w:before="0"/>
        <w:jc w:val="center"/>
      </w:pPr>
      <w:r>
        <w:rPr>
          <w:rFonts w:ascii="Arial" w:cs="Arial" w:eastAsia="Arial" w:hAnsi="Arial"/>
          <w:i/>
          <w:iCs/>
          <w:color w:val="2E75B6"/>
          <w:sz w:val="36"/>
          <w:szCs w:val="36"/>
        </w:rPr>
        <w:t xml:space="preserve">Demo Script</w:t>
      </w:r>
    </w:p>
    <w:p>
      <w:pPr>
        <w:spacing w:after="0" w:before="0"/>
      </w:pPr>
      <w:r>
        <w:t xml:space="preserve"/>
      </w:r>
    </w:p>
    <w:p>
      <w:pPr>
        <w:spacing w:after="60" w:before="160"/>
        <w:jc w:val="center"/>
      </w:pPr>
      <w:r>
        <w:rPr>
          <w:rFonts w:ascii="Arial" w:cs="Arial" w:eastAsia="Arial" w:hAnsi="Arial"/>
          <w:color w:val="404040"/>
          <w:sz w:val="24"/>
          <w:szCs w:val="24"/>
        </w:rPr>
        <w:t xml:space="preserve">Living Things, Bangalore Office</w:t>
      </w:r>
    </w:p>
    <w:p>
      <w:pPr>
        <w:spacing w:after="60" w:before="60"/>
        <w:jc w:val="center"/>
      </w:pPr>
      <w:r>
        <w:rPr>
          <w:rFonts w:ascii="Arial" w:cs="Arial" w:eastAsia="Arial" w:hAnsi="Arial"/>
          <w:color w:val="888888"/>
          <w:sz w:val="20"/>
          <w:szCs w:val="20"/>
        </w:rPr>
        <w:t xml:space="preserve">March 2026</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60"/>
        <w:jc w:val="center"/>
      </w:pPr>
      <w:r>
        <w:rPr>
          <w:rFonts w:ascii="Arial" w:cs="Arial" w:eastAsia="Arial" w:hAnsi="Arial"/>
          <w:color w:val="AAAAAA"/>
          <w:sz w:val="16"/>
          <w:szCs w:val="16"/>
        </w:rPr>
        <w:t xml:space="preserve">Confidential  |  Internal Use</w:t>
      </w:r>
    </w:p>
    <w:p>
      <w:r>
        <w:br w:type="page"/>
      </w:r>
    </w:p>
    <w:p>
      <w:pPr>
        <w:pStyle w:val="Heading1"/>
        <w:pBdr>
          <w:bottom w:val="single" w:color="2E75B6" w:sz="6" w:space="4"/>
        </w:pBdr>
        <w:spacing w:after="120" w:before="360"/>
      </w:pPr>
      <w:r>
        <w:rPr>
          <w:rFonts w:ascii="Arial" w:cs="Arial" w:eastAsia="Arial" w:hAnsi="Arial"/>
          <w:b/>
          <w:bCs/>
          <w:color w:val="1E3A5F"/>
          <w:sz w:val="28"/>
          <w:szCs w:val="28"/>
        </w:rPr>
        <w:t xml:space="preserve">Section 1  |  Opening — What Problem Does This Solve?</w:t>
      </w:r>
    </w:p>
    <w:p>
      <w:pPr>
        <w:pBdr>
          <w:left w:val="single" w:color="2E75B6" w:sz="12" w:space="8"/>
        </w:pBdr>
        <w:shd w:fill="F0F7FF" w:val="clear"/>
        <w:spacing w:after="80" w:before="80"/>
        <w:ind w:left="480" w:right="240"/>
      </w:pPr>
      <w:r>
        <w:rPr>
          <w:rFonts w:ascii="Arial" w:cs="Arial" w:eastAsia="Arial" w:hAnsi="Arial"/>
          <w:i/>
          <w:iCs/>
          <w:color w:val="1A3A5C"/>
          <w:sz w:val="20"/>
          <w:szCs w:val="20"/>
        </w:rPr>
        <w:t xml:space="preserve">Most offices have no idea whether their AC is actually doing its job. The AC runs, it feels cool-ish, and nobody knows if it's struggling or oversized. ThermoZone Analyst fixes that. It combines real sensor data from your building with physics-based simulation to tell you, at any hour of any day: is your AC keeping up with the heat entering this room? And if it isn’t — why not?</w:t>
      </w:r>
    </w:p>
    <w:p>
      <w:pPr>
        <w:pStyle w:val="Heading1"/>
        <w:pBdr>
          <w:bottom w:val="single" w:color="2E75B6" w:sz="6" w:space="4"/>
        </w:pBdr>
        <w:spacing w:after="120" w:before="360"/>
      </w:pPr>
      <w:r>
        <w:rPr>
          <w:rFonts w:ascii="Arial" w:cs="Arial" w:eastAsia="Arial" w:hAnsi="Arial"/>
          <w:b/>
          <w:bCs/>
          <w:color w:val="1E3A5F"/>
          <w:sz w:val="28"/>
          <w:szCs w:val="28"/>
        </w:rPr>
        <w:t xml:space="preserve">Section 2  |  The Header — Navigation &amp; Zone Selection</w:t>
      </w:r>
    </w:p>
    <w:p>
      <w:pPr>
        <w:spacing w:after="20" w:before="60"/>
      </w:pPr>
      <w:r>
        <w:rPr>
          <w:rFonts w:ascii="Arial" w:cs="Arial" w:eastAsia="Arial" w:hAnsi="Arial"/>
          <w:b/>
          <w:bCs/>
          <w:color w:val="2E75B6"/>
          <w:sz w:val="18"/>
          <w:szCs w:val="18"/>
        </w:rPr>
        <w:t xml:space="preserve">Point to the top bar.</w:t>
      </w:r>
    </w:p>
    <w:p>
      <w:pPr>
        <w:spacing w:after="80" w:before="80"/>
      </w:pPr>
      <w:r>
        <w:rPr>
          <w:rFonts w:ascii="Arial" w:cs="Arial" w:eastAsia="Arial" w:hAnsi="Arial"/>
          <w:color w:val="404040"/>
          <w:sz w:val="20"/>
          <w:szCs w:val="20"/>
        </w:rPr>
        <w:t xml:space="preserve">Across the top we have two sections: Monitor and Configure. The location is set to Bangalore, India — this matters because all solar and weather calculations are location-specific. The zone selector shows four zones: Main Working Area, Pantry, Meeting Room, and Corridor &amp; Reception. Each zone has its own physics model, its own AC units, and its own live sensor feed.</w:t>
      </w:r>
    </w:p>
    <w:p>
      <w:pPr>
        <w:pStyle w:val="Heading1"/>
        <w:pBdr>
          <w:bottom w:val="single" w:color="2E75B6" w:sz="6" w:space="4"/>
        </w:pBdr>
        <w:spacing w:after="120" w:before="360"/>
      </w:pPr>
      <w:r>
        <w:rPr>
          <w:rFonts w:ascii="Arial" w:cs="Arial" w:eastAsia="Arial" w:hAnsi="Arial"/>
          <w:b/>
          <w:bCs/>
          <w:color w:val="1E3A5F"/>
          <w:sz w:val="28"/>
          <w:szCs w:val="28"/>
        </w:rPr>
        <w:t xml:space="preserve">Section 3  |  The Live Temperature Badge</w:t>
      </w:r>
    </w:p>
    <w:p>
      <w:pPr>
        <w:spacing w:after="20" w:before="60"/>
      </w:pPr>
      <w:r>
        <w:rPr>
          <w:rFonts w:ascii="Arial" w:cs="Arial" w:eastAsia="Arial" w:hAnsi="Arial"/>
          <w:b/>
          <w:bCs/>
          <w:color w:val="2E75B6"/>
          <w:sz w:val="18"/>
          <w:szCs w:val="18"/>
        </w:rPr>
        <w:t xml:space="preserve">Point to: ZONE TEMP · Live · 28.4°C</w:t>
      </w:r>
    </w:p>
    <w:p>
      <w:pPr>
        <w:spacing w:after="80" w:before="80"/>
      </w:pPr>
      <w:r>
        <w:rPr>
          <w:rFonts w:ascii="Arial" w:cs="Arial" w:eastAsia="Arial" w:hAnsi="Arial"/>
          <w:color w:val="404040"/>
          <w:sz w:val="20"/>
          <w:szCs w:val="20"/>
        </w:rPr>
        <w:t xml:space="preserve">This number is live — it’s coming directly from the IoT sensors on the floor. Those sensors talk to our PostgreSQL database, which our Express backend queries every 30 seconds. The badge says “DB temps active · DB AC active” which means we have both room temperature data AND real AC power consumption flowing in from the database. This isn’t a guess — this is what the sensors are reporting right now.</w:t>
      </w:r>
    </w:p>
    <w:p>
      <w:pPr>
        <w:pStyle w:val="Heading1"/>
        <w:pBdr>
          <w:bottom w:val="single" w:color="2E75B6" w:sz="6" w:space="4"/>
        </w:pBdr>
        <w:spacing w:after="120" w:before="360"/>
      </w:pPr>
      <w:r>
        <w:rPr>
          <w:rFonts w:ascii="Arial" w:cs="Arial" w:eastAsia="Arial" w:hAnsi="Arial"/>
          <w:b/>
          <w:bCs/>
          <w:color w:val="1E3A5F"/>
          <w:sz w:val="28"/>
          <w:szCs w:val="28"/>
        </w:rPr>
        <w:t xml:space="preserve">Section 4  |  Analysis Date</w:t>
      </w:r>
    </w:p>
    <w:p>
      <w:pPr>
        <w:spacing w:after="80" w:before="80"/>
      </w:pPr>
      <w:r>
        <w:rPr>
          <w:rFonts w:ascii="Arial" w:cs="Arial" w:eastAsia="Arial" w:hAnsi="Arial"/>
          <w:color w:val="404040"/>
          <w:sz w:val="20"/>
          <w:szCs w:val="20"/>
        </w:rPr>
        <w:t xml:space="preserve">You can analyse any past date by clicking the date picker. When you select today, the charts show data only up to the current time — no future slots are shown. When you pick a past date, you get the full day: all 48 half-hour slots from 00:00 to 23:30.</w:t>
      </w:r>
    </w:p>
    <w:p>
      <w:pPr>
        <w:pBdr>
          <w:top w:val="single" w:color="D4A017" w:sz="4"/>
          <w:bottom w:val="single" w:color="D4A017" w:sz="4"/>
          <w:left w:val="single" w:color="D4A017" w:sz="12"/>
          <w:right w:val="single" w:color="D4A017" w:sz="4"/>
        </w:pBdr>
        <w:shd w:fill="FFF8DC" w:val="clear"/>
        <w:spacing w:after="80" w:before="80"/>
        <w:ind w:left="240" w:right="240"/>
      </w:pPr>
      <w:r>
        <w:rPr>
          <w:rFonts w:ascii="Arial" w:cs="Arial" w:eastAsia="Arial" w:hAnsi="Arial"/>
          <w:color w:val="5C4000"/>
          <w:sz w:val="18"/>
          <w:szCs w:val="18"/>
        </w:rPr>
        <w:t xml:space="preserve">Why 48 slots? The simulation runs at 30-minute resolution. Solar loads through west-facing glass can shift dramatically within a single hour. A 1-hour resolution would smooth over that peak and underestimate the worst-case load.</w:t>
      </w:r>
    </w:p>
    <w:p>
      <w:pPr>
        <w:pStyle w:val="Heading1"/>
        <w:pBdr>
          <w:bottom w:val="single" w:color="2E75B6" w:sz="6" w:space="4"/>
        </w:pBdr>
        <w:spacing w:after="120" w:before="360"/>
      </w:pPr>
      <w:r>
        <w:rPr>
          <w:rFonts w:ascii="Arial" w:cs="Arial" w:eastAsia="Arial" w:hAnsi="Arial"/>
          <w:b/>
          <w:bCs/>
          <w:color w:val="1E3A5F"/>
          <w:sz w:val="28"/>
          <w:szCs w:val="28"/>
        </w:rPr>
        <w:t xml:space="preserve">Section 5  |  The Four KPI Cards</w:t>
      </w:r>
    </w:p>
    <w:p>
      <w:pPr>
        <w:pStyle w:val="Heading2"/>
        <w:spacing w:after="80" w:before="240"/>
      </w:pPr>
      <w:r>
        <w:rPr>
          <w:rFonts w:ascii="Arial" w:cs="Arial" w:eastAsia="Arial" w:hAnsi="Arial"/>
          <w:b/>
          <w:bCs/>
          <w:color w:val="2E75B6"/>
          <w:sz w:val="22"/>
          <w:szCs w:val="22"/>
        </w:rPr>
        <w:t xml:space="preserve">Card 1 — Verdict</w:t>
      </w:r>
    </w:p>
    <w:p>
      <w:pPr>
        <w:spacing w:after="80" w:before="80"/>
      </w:pPr>
      <w:r>
        <w:rPr>
          <w:rFonts w:ascii="Arial" w:cs="Arial" w:eastAsia="Arial" w:hAnsi="Arial"/>
          <w:color w:val="404040"/>
          <w:sz w:val="20"/>
          <w:szCs w:val="20"/>
        </w:rPr>
        <w:t xml:space="preserve">The Verdict card answers one question: is the AC keeping the people comfortable right now? The app uses two tracks:</w:t>
      </w:r>
    </w:p>
    <w:p>
      <w:pPr>
        <w:pStyle w:val="Heading3"/>
        <w:spacing w:after="60" w:before="160"/>
      </w:pPr>
      <w:r>
        <w:rPr>
          <w:rFonts w:ascii="Arial" w:cs="Arial" w:eastAsia="Arial" w:hAnsi="Arial"/>
          <w:b/>
          <w:bCs/>
          <w:color w:val="2C5F8A"/>
          <w:sz w:val="20"/>
          <w:szCs w:val="20"/>
        </w:rPr>
        <w:t xml:space="preserve">Track A — Desk Sensor Track</w:t>
      </w:r>
    </w:p>
    <w:p>
      <w:pPr>
        <w:spacing w:after="80" w:before="80"/>
      </w:pPr>
      <w:r>
        <w:rPr>
          <w:rFonts w:ascii="Arial" w:cs="Arial" w:eastAsia="Arial" w:hAnsi="Arial"/>
          <w:color w:val="404040"/>
          <w:sz w:val="20"/>
          <w:szCs w:val="20"/>
        </w:rPr>
        <w:t xml:space="preserve">If we have desk-level sensors placed at sitting height, we compare the average desk temperature against ASHRAE Standard 55 / BEE thresholds:</w:t>
      </w:r>
    </w:p>
    <w:p>
      <w:pPr>
        <w:pStyle w:val="ListParagraph"/>
        <w:numPr>
          <w:ilvl w:val="0"/>
          <w:numId w:val="2"/>
        </w:numPr>
        <w:spacing w:after="40" w:before="40"/>
      </w:pPr>
      <w:r>
        <w:rPr>
          <w:rFonts w:ascii="Arial" w:cs="Arial" w:eastAsia="Arial" w:hAnsi="Arial"/>
          <w:color w:val="404040"/>
          <w:sz w:val="20"/>
          <w:szCs w:val="20"/>
        </w:rPr>
        <w:t xml:space="preserve">≤ 26°C → COMFORTABLE (green)</w:t>
      </w:r>
    </w:p>
    <w:p>
      <w:pPr>
        <w:pStyle w:val="ListParagraph"/>
        <w:numPr>
          <w:ilvl w:val="0"/>
          <w:numId w:val="2"/>
        </w:numPr>
        <w:spacing w:after="40" w:before="40"/>
      </w:pPr>
      <w:r>
        <w:rPr>
          <w:rFonts w:ascii="Arial" w:cs="Arial" w:eastAsia="Arial" w:hAnsi="Arial"/>
          <w:color w:val="404040"/>
          <w:sz w:val="20"/>
          <w:szCs w:val="20"/>
        </w:rPr>
        <w:t xml:space="preserve">26–28°C → WARM (yellow)</w:t>
      </w:r>
    </w:p>
    <w:p>
      <w:pPr>
        <w:pStyle w:val="ListParagraph"/>
        <w:numPr>
          <w:ilvl w:val="0"/>
          <w:numId w:val="2"/>
        </w:numPr>
        <w:spacing w:after="40" w:before="40"/>
      </w:pPr>
      <w:r>
        <w:rPr>
          <w:rFonts w:ascii="Arial" w:cs="Arial" w:eastAsia="Arial" w:hAnsi="Arial"/>
          <w:color w:val="404040"/>
          <w:sz w:val="20"/>
          <w:szCs w:val="20"/>
        </w:rPr>
        <w:t xml:space="preserve">&gt; 28°C → STRUGGLING (red)</w:t>
      </w:r>
    </w:p>
    <w:p>
      <w:pPr>
        <w:pStyle w:val="ListParagraph"/>
        <w:numPr>
          <w:ilvl w:val="0"/>
          <w:numId w:val="2"/>
        </w:numPr>
        <w:spacing w:after="40" w:before="40"/>
      </w:pPr>
      <w:r>
        <w:rPr>
          <w:rFonts w:ascii="Arial" w:cs="Arial" w:eastAsia="Arial" w:hAnsi="Arial"/>
          <w:color w:val="404040"/>
          <w:sz w:val="20"/>
          <w:szCs w:val="20"/>
        </w:rPr>
        <w:t xml:space="preserve">AC power status = OFF → AC OFF (grey)</w:t>
      </w:r>
    </w:p>
    <w:p>
      <w:pPr>
        <w:pStyle w:val="Heading3"/>
        <w:spacing w:after="60" w:before="160"/>
      </w:pPr>
      <w:r>
        <w:rPr>
          <w:rFonts w:ascii="Arial" w:cs="Arial" w:eastAsia="Arial" w:hAnsi="Arial"/>
          <w:b/>
          <w:bCs/>
          <w:color w:val="2C5F8A"/>
          <w:sz w:val="20"/>
          <w:szCs w:val="20"/>
        </w:rPr>
        <w:t xml:space="preserve">Track B — Capacity Track (zones with no desk sensors)</w:t>
      </w:r>
    </w:p>
    <w:p>
      <w:pPr>
        <w:spacing w:after="80" w:before="80"/>
      </w:pPr>
      <w:r>
        <w:rPr>
          <w:rFonts w:ascii="Arial" w:cs="Arial" w:eastAsia="Arial" w:hAnsi="Arial"/>
          <w:color w:val="404040"/>
          <w:sz w:val="20"/>
          <w:szCs w:val="20"/>
        </w:rPr>
        <w:t xml:space="preserve">In zones like the Pantry where sensors are only at AC-level (ceiling-mounted), when the AC is on the sensor reads cold supply air (8–12°C) not room air. In that case we switch to a load-vs-capacity ratio check:</w:t>
      </w:r>
    </w:p>
    <w:p>
      <w:pPr>
        <w:pStyle w:val="ListParagraph"/>
        <w:numPr>
          <w:ilvl w:val="0"/>
          <w:numId w:val="2"/>
        </w:numPr>
        <w:spacing w:after="40" w:before="40"/>
      </w:pPr>
      <w:r>
        <w:rPr>
          <w:rFonts w:ascii="Arial" w:cs="Arial" w:eastAsia="Arial" w:hAnsi="Arial"/>
          <w:color w:val="404040"/>
          <w:sz w:val="20"/>
          <w:szCs w:val="20"/>
        </w:rPr>
        <w:t xml:space="preserve">Load / Capacity ≤ 0.85 → SUFFICIENT</w:t>
      </w:r>
    </w:p>
    <w:p>
      <w:pPr>
        <w:pStyle w:val="ListParagraph"/>
        <w:numPr>
          <w:ilvl w:val="0"/>
          <w:numId w:val="2"/>
        </w:numPr>
        <w:spacing w:after="40" w:before="40"/>
      </w:pPr>
      <w:r>
        <w:rPr>
          <w:rFonts w:ascii="Arial" w:cs="Arial" w:eastAsia="Arial" w:hAnsi="Arial"/>
          <w:color w:val="404040"/>
          <w:sz w:val="20"/>
          <w:szCs w:val="20"/>
        </w:rPr>
        <w:t xml:space="preserve">0.85–1.0 → MARGINAL</w:t>
      </w:r>
    </w:p>
    <w:p>
      <w:pPr>
        <w:pStyle w:val="ListParagraph"/>
        <w:numPr>
          <w:ilvl w:val="0"/>
          <w:numId w:val="2"/>
        </w:numPr>
        <w:spacing w:after="40" w:before="40"/>
      </w:pPr>
      <w:r>
        <w:rPr>
          <w:rFonts w:ascii="Arial" w:cs="Arial" w:eastAsia="Arial" w:hAnsi="Arial"/>
          <w:color w:val="404040"/>
          <w:sz w:val="20"/>
          <w:szCs w:val="20"/>
        </w:rPr>
        <w:t xml:space="preserve">&gt; 1.0 → INSUFFICIENT</w:t>
      </w:r>
    </w:p>
    <w:p>
      <w:pPr>
        <w:pStyle w:val="Heading2"/>
        <w:spacing w:after="80" w:before="240"/>
      </w:pPr>
      <w:r>
        <w:rPr>
          <w:rFonts w:ascii="Arial" w:cs="Arial" w:eastAsia="Arial" w:hAnsi="Arial"/>
          <w:b/>
          <w:bCs/>
          <w:color w:val="2E75B6"/>
          <w:sz w:val="22"/>
          <w:szCs w:val="22"/>
        </w:rPr>
        <w:t xml:space="preserve">Card 2 — Peak Load</w:t>
      </w:r>
    </w:p>
    <w:p>
      <w:pPr>
        <w:spacing w:after="80" w:before="80"/>
      </w:pPr>
      <w:r>
        <w:rPr>
          <w:rFonts w:ascii="Arial" w:cs="Arial" w:eastAsia="Arial" w:hAnsi="Arial"/>
          <w:color w:val="404040"/>
          <w:sz w:val="20"/>
          <w:szCs w:val="20"/>
        </w:rPr>
        <w:t xml:space="preserve">Peak Load tells you the maximum calculated heat entering the room at any point during the day, expressed in both Watts and Tons of Refrigeration (TR).</w:t>
      </w:r>
    </w:p>
    <w:p>
      <w:pPr>
        <w:pBdr>
          <w:top w:val="single" w:color="D4A017" w:sz="4"/>
          <w:bottom w:val="single" w:color="D4A017" w:sz="4"/>
          <w:left w:val="single" w:color="D4A017" w:sz="12"/>
          <w:right w:val="single" w:color="D4A017" w:sz="4"/>
        </w:pBdr>
        <w:shd w:fill="FFF8DC" w:val="clear"/>
        <w:spacing w:after="80" w:before="80"/>
        <w:ind w:left="240" w:right="240"/>
      </w:pPr>
      <w:r>
        <w:rPr>
          <w:rFonts w:ascii="Arial" w:cs="Arial" w:eastAsia="Arial" w:hAnsi="Arial"/>
          <w:color w:val="5C4000"/>
          <w:sz w:val="18"/>
          <w:szCs w:val="18"/>
        </w:rPr>
        <w:t xml:space="preserve">1 TR = 3,517 W — a legacy unit from the era of ice cooling: the rate of heat absorption of one short ton of ice melting over 24 hours.</w:t>
      </w:r>
    </w:p>
    <w:p>
      <w:pPr>
        <w:spacing w:after="80" w:before="80"/>
      </w:pPr>
      <w:r>
        <w:rPr>
          <w:rFonts w:ascii="Arial" w:cs="Arial" w:eastAsia="Arial" w:hAnsi="Arial"/>
          <w:color w:val="404040"/>
          <w:sz w:val="20"/>
          <w:szCs w:val="20"/>
        </w:rPr>
        <w:t xml:space="preserve">This is the number your AC must beat. If your AC’s rated capacity is below this, you’re structurally undersized for that day’s conditions.</w:t>
      </w:r>
    </w:p>
    <w:p>
      <w:pPr>
        <w:spacing w:after="80" w:before="80"/>
      </w:pPr>
      <w:r>
        <w:rPr>
          <w:rFonts w:ascii="Arial" w:cs="Arial" w:eastAsia="Arial" w:hAnsi="Arial"/>
          <w:color w:val="404040"/>
          <w:sz w:val="20"/>
          <w:szCs w:val="20"/>
        </w:rPr>
        <w:t xml:space="preserve">You’ll also see the design day note: “Design day 37°C · today 26.7°C · load is conservative”. This means the 95th-percentile peak temperature for Bangalore was fetched from the past 5 years, and today is cooler than that worst-case.</w:t>
      </w:r>
    </w:p>
    <w:p>
      <w:pPr>
        <w:pStyle w:val="Heading2"/>
        <w:spacing w:after="80" w:before="240"/>
      </w:pPr>
      <w:r>
        <w:rPr>
          <w:rFonts w:ascii="Arial" w:cs="Arial" w:eastAsia="Arial" w:hAnsi="Arial"/>
          <w:b/>
          <w:bCs/>
          <w:color w:val="2E75B6"/>
          <w:sz w:val="22"/>
          <w:szCs w:val="22"/>
        </w:rPr>
        <w:t xml:space="preserve">Card 3 — AC Output at Peak</w:t>
      </w:r>
    </w:p>
    <w:p>
      <w:pPr>
        <w:spacing w:after="80" w:before="80"/>
      </w:pPr>
      <w:r>
        <w:rPr>
          <w:rFonts w:ascii="Arial" w:cs="Arial" w:eastAsia="Arial" w:hAnsi="Arial"/>
          <w:color w:val="404040"/>
          <w:sz w:val="20"/>
          <w:szCs w:val="20"/>
        </w:rPr>
        <w:t xml:space="preserve">This is the actual AC cooling output at the hour when peak load occurred — derived from real DB sensor data. Electrical watts from the power sensor × the AC’s ISEER (Indian Seasonal Energy Efficiency Ratio). This is not rated capacity — this is what the AC actually delivered according to the power meter.</w:t>
      </w:r>
    </w:p>
    <w:p>
      <w:pPr>
        <w:pStyle w:val="Heading2"/>
        <w:spacing w:after="80" w:before="240"/>
      </w:pPr>
      <w:r>
        <w:rPr>
          <w:rFonts w:ascii="Arial" w:cs="Arial" w:eastAsia="Arial" w:hAnsi="Arial"/>
          <w:b/>
          <w:bCs/>
          <w:color w:val="2E75B6"/>
          <w:sz w:val="22"/>
          <w:szCs w:val="22"/>
        </w:rPr>
        <w:t xml:space="preserve">Card 4 — Total Electricity Consumed</w:t>
      </w:r>
    </w:p>
    <w:p>
      <w:pPr>
        <w:spacing w:after="80" w:before="80"/>
      </w:pPr>
      <w:r>
        <w:rPr>
          <w:rFonts w:ascii="Arial" w:cs="Arial" w:eastAsia="Arial" w:hAnsi="Arial"/>
          <w:color w:val="404040"/>
          <w:sz w:val="20"/>
          <w:szCs w:val="20"/>
        </w:rPr>
        <w:t xml:space="preserve">Total energy consumed by the AC system for the day so far, in kWh. This is summed from the 30-minute slot readings: each slot’s electrical watts × 0.5 hours = kWh.</w:t>
      </w:r>
    </w:p>
    <w:p>
      <w:pPr>
        <w:pStyle w:val="Heading1"/>
        <w:pBdr>
          <w:bottom w:val="single" w:color="2E75B6" w:sz="6" w:space="4"/>
        </w:pBdr>
        <w:spacing w:after="120" w:before="360"/>
      </w:pPr>
      <w:r>
        <w:rPr>
          <w:rFonts w:ascii="Arial" w:cs="Arial" w:eastAsia="Arial" w:hAnsi="Arial"/>
          <w:b/>
          <w:bCs/>
          <w:color w:val="1E3A5F"/>
          <w:sz w:val="28"/>
          <w:szCs w:val="28"/>
        </w:rPr>
        <w:t xml:space="preserve">Section 6  |  AC Unit Breakdown Table</w:t>
      </w:r>
    </w:p>
    <w:p>
      <w:pPr>
        <w:spacing w:after="80" w:before="80"/>
      </w:pPr>
      <w:r>
        <w:rPr>
          <w:rFonts w:ascii="Arial" w:cs="Arial" w:eastAsia="Arial" w:hAnsi="Arial"/>
          <w:color w:val="404040"/>
          <w:sz w:val="20"/>
          <w:szCs w:val="20"/>
        </w:rPr>
        <w:t xml:space="preserve">Below the KPI cards is the per-AC breakdown. Each AC sensor in the database gets its own row:</w:t>
      </w:r>
    </w:p>
    <w:p>
      <w:pPr>
        <w:pStyle w:val="ListParagraph"/>
        <w:numPr>
          <w:ilvl w:val="0"/>
          <w:numId w:val="2"/>
        </w:numPr>
        <w:spacing w:after="40" w:before="40"/>
      </w:pPr>
      <w:r>
        <w:rPr>
          <w:rFonts w:ascii="Arial" w:cs="Arial" w:eastAsia="Arial" w:hAnsi="Arial"/>
          <w:color w:val="404040"/>
          <w:sz w:val="20"/>
          <w:szCs w:val="20"/>
        </w:rPr>
        <w:t xml:space="preserve">Peak Draw — highest power reading (W) recorded during the analysis window</w:t>
      </w:r>
    </w:p>
    <w:p>
      <w:pPr>
        <w:pStyle w:val="ListParagraph"/>
        <w:numPr>
          <w:ilvl w:val="0"/>
          <w:numId w:val="2"/>
        </w:numPr>
        <w:spacing w:after="40" w:before="40"/>
      </w:pPr>
      <w:r>
        <w:rPr>
          <w:rFonts w:ascii="Arial" w:cs="Arial" w:eastAsia="Arial" w:hAnsi="Arial"/>
          <w:color w:val="404040"/>
          <w:sz w:val="20"/>
          <w:szCs w:val="20"/>
        </w:rPr>
        <w:t xml:space="preserve">Total Input — total electrical energy consumed (kWh)</w:t>
      </w:r>
    </w:p>
    <w:p>
      <w:pPr>
        <w:pStyle w:val="ListParagraph"/>
        <w:numPr>
          <w:ilvl w:val="0"/>
          <w:numId w:val="2"/>
        </w:numPr>
        <w:spacing w:after="40" w:before="40"/>
      </w:pPr>
      <w:r>
        <w:rPr>
          <w:rFonts w:ascii="Arial" w:cs="Arial" w:eastAsia="Arial" w:hAnsi="Arial"/>
          <w:color w:val="404040"/>
          <w:sz w:val="20"/>
          <w:szCs w:val="20"/>
        </w:rPr>
        <w:t xml:space="preserve">Hours On — how many hours that AC was drawing power</w:t>
      </w:r>
    </w:p>
    <w:p>
      <w:pPr>
        <w:spacing w:after="80" w:before="80"/>
      </w:pPr>
      <w:r>
        <w:rPr>
          <w:rFonts w:ascii="Arial" w:cs="Arial" w:eastAsia="Arial" w:hAnsi="Arial"/>
          <w:color w:val="404040"/>
          <w:sz w:val="20"/>
          <w:szCs w:val="20"/>
        </w:rPr>
        <w:t xml:space="preserve">The ZONE COMBINED row gives the aggregate for the whole zone.</w:t>
      </w:r>
    </w:p>
    <w:p>
      <w:pPr>
        <w:pStyle w:val="Heading1"/>
        <w:pBdr>
          <w:bottom w:val="single" w:color="2E75B6" w:sz="6" w:space="4"/>
        </w:pBdr>
        <w:spacing w:after="120" w:before="360"/>
      </w:pPr>
      <w:r>
        <w:rPr>
          <w:rFonts w:ascii="Arial" w:cs="Arial" w:eastAsia="Arial" w:hAnsi="Arial"/>
          <w:b/>
          <w:bCs/>
          <w:color w:val="1E3A5F"/>
          <w:sz w:val="28"/>
          <w:szCs w:val="28"/>
        </w:rPr>
        <w:t xml:space="preserve">Section 7  |  The Physics — How Heat Load is Calculated</w:t>
      </w:r>
    </w:p>
    <w:p>
      <w:pPr>
        <w:spacing w:after="80" w:before="80"/>
      </w:pPr>
      <w:r>
        <w:rPr>
          <w:rFonts w:ascii="Arial" w:cs="Arial" w:eastAsia="Arial" w:hAnsi="Arial"/>
          <w:color w:val="404040"/>
          <w:sz w:val="20"/>
          <w:szCs w:val="20"/>
        </w:rPr>
        <w:t xml:space="preserve">The simulation calculates six categories of heat gain every 30-minute slot, then sums them to get the total load.</w:t>
      </w:r>
    </w:p>
    <w:p>
      <w:pPr>
        <w:pStyle w:val="Heading2"/>
        <w:spacing w:after="80" w:before="240"/>
      </w:pPr>
      <w:r>
        <w:rPr>
          <w:rFonts w:ascii="Arial" w:cs="Arial" w:eastAsia="Arial" w:hAnsi="Arial"/>
          <w:b/>
          <w:bCs/>
          <w:color w:val="2E75B6"/>
          <w:sz w:val="22"/>
          <w:szCs w:val="22"/>
        </w:rPr>
        <w:t xml:space="preserve">7.1  Solar Heat Gain Through Glass</w:t>
      </w:r>
    </w:p>
    <w:p>
      <w:pPr>
        <w:shd w:fill="1E3A5F" w:val="clear"/>
        <w:spacing w:after="100" w:before="100"/>
        <w:ind w:left="360" w:right="360"/>
      </w:pPr>
      <w:r>
        <w:rPr>
          <w:rFonts w:ascii="Courier New" w:cs="Courier New" w:eastAsia="Courier New" w:hAnsi="Courier New"/>
          <w:b/>
          <w:bCs/>
          <w:color w:val="E8F4FD"/>
          <w:sz w:val="20"/>
          <w:szCs w:val="20"/>
        </w:rPr>
        <w:t xml:space="preserve">Q_solar  =  A_window x FF x SHGC x I_incident  [W]</w:t>
      </w:r>
    </w:p>
    <w:p>
      <w:pPr>
        <w:spacing w:after="80" w:before="80"/>
      </w:pPr>
      <w:r>
        <w:rPr>
          <w:rFonts w:ascii="Arial" w:cs="Arial" w:eastAsia="Arial" w:hAnsi="Arial"/>
          <w:color w:val="404040"/>
          <w:sz w:val="20"/>
          <w:szCs w:val="20"/>
        </w:rPr>
        <w:t xml:space="preserve">Key constants:</w:t>
      </w:r>
    </w:p>
    <w:p>
      <w:pPr>
        <w:pStyle w:val="ListParagraph"/>
        <w:numPr>
          <w:ilvl w:val="0"/>
          <w:numId w:val="2"/>
        </w:numPr>
        <w:spacing w:after="40" w:before="40"/>
      </w:pPr>
      <w:r>
        <w:rPr>
          <w:rFonts w:ascii="Arial" w:cs="Arial" w:eastAsia="Arial" w:hAnsi="Arial"/>
          <w:color w:val="404040"/>
          <w:sz w:val="20"/>
          <w:szCs w:val="20"/>
        </w:rPr>
        <w:t xml:space="preserve">FF (Frame Factor) = 0.85 — the fraction of the window opening that is glass, not frame. A 3 m² nominal opening has ~15% frame, giving 2.55 m² effective glass. Source: ASHRAE Fundamentals 2021, Ch.15.</w:t>
      </w:r>
    </w:p>
    <w:p>
      <w:pPr>
        <w:pStyle w:val="ListParagraph"/>
        <w:numPr>
          <w:ilvl w:val="0"/>
          <w:numId w:val="2"/>
        </w:numPr>
        <w:spacing w:after="40" w:before="40"/>
      </w:pPr>
      <w:r>
        <w:rPr>
          <w:rFonts w:ascii="Arial" w:cs="Arial" w:eastAsia="Arial" w:hAnsi="Arial"/>
          <w:color w:val="404040"/>
          <w:sz w:val="20"/>
          <w:szCs w:val="20"/>
        </w:rPr>
        <w:t xml:space="preserve">SHGC = 0.30 — Solar Heat Gain Coefficient. Clear single glass = 0.86. Double-glazed tinted glass (standard Bangalore commercial) = 0.25–0.35. Source: BEE ECBC 2017, Table 4.3.</w:t>
      </w:r>
    </w:p>
    <w:p>
      <w:pPr>
        <w:spacing w:after="80" w:before="80"/>
      </w:pPr>
      <w:r>
        <w:rPr>
          <w:rFonts w:ascii="Arial" w:cs="Arial" w:eastAsia="Arial" w:hAnsi="Arial"/>
          <w:color w:val="404040"/>
          <w:sz w:val="20"/>
          <w:szCs w:val="20"/>
        </w:rPr>
        <w:t xml:space="preserve">Incident irradiance on a vertical surface:</w:t>
      </w:r>
    </w:p>
    <w:p>
      <w:pPr>
        <w:shd w:fill="1E3A5F" w:val="clear"/>
        <w:spacing w:after="100" w:before="100"/>
        <w:ind w:left="360" w:right="360"/>
      </w:pPr>
      <w:r>
        <w:rPr>
          <w:rFonts w:ascii="Courier New" w:cs="Courier New" w:eastAsia="Courier New" w:hAnsi="Courier New"/>
          <w:b/>
          <w:bCs/>
          <w:color w:val="E8F4FD"/>
          <w:sz w:val="20"/>
          <w:szCs w:val="20"/>
        </w:rPr>
        <w:t xml:space="preserve">I_vert  =  (DNI x cosθ)  +  (0.5 x DHI x (1 + sinα))  +  (0.5 x 0.20 x GHI)</w:t>
      </w:r>
    </w:p>
    <w:p>
      <w:pPr>
        <w:spacing w:after="80" w:before="80"/>
      </w:pPr>
      <w:r>
        <w:rPr>
          <w:rFonts w:ascii="Arial" w:cs="Arial" w:eastAsia="Arial" w:hAnsi="Arial"/>
          <w:color w:val="404040"/>
          <w:sz w:val="20"/>
          <w:szCs w:val="20"/>
        </w:rPr>
        <w:t xml:space="preserve">Where: DNI = Direct Normal Irradiance | DHI = Diffuse Horizontal Irradiance | GHI = Global Horizontal Irradiance | α = solar altitude angle | θ = angle between sun ray and window normal | 0.20 = ground reflectance (ASHRAE urban default).</w:t>
      </w:r>
    </w:p>
    <w:p>
      <w:pPr>
        <w:pStyle w:val="Heading2"/>
        <w:spacing w:after="80" w:before="240"/>
      </w:pPr>
      <w:r>
        <w:rPr>
          <w:rFonts w:ascii="Arial" w:cs="Arial" w:eastAsia="Arial" w:hAnsi="Arial"/>
          <w:b/>
          <w:bCs/>
          <w:color w:val="2E75B6"/>
          <w:sz w:val="22"/>
          <w:szCs w:val="22"/>
        </w:rPr>
        <w:t xml:space="preserve">7.2  Glass Conduction</w:t>
      </w:r>
    </w:p>
    <w:p>
      <w:pPr>
        <w:shd w:fill="1E3A5F" w:val="clear"/>
        <w:spacing w:after="100" w:before="100"/>
        <w:ind w:left="360" w:right="360"/>
      </w:pPr>
      <w:r>
        <w:rPr>
          <w:rFonts w:ascii="Courier New" w:cs="Courier New" w:eastAsia="Courier New" w:hAnsi="Courier New"/>
          <w:b/>
          <w:bCs/>
          <w:color w:val="E8F4FD"/>
          <w:sz w:val="20"/>
          <w:szCs w:val="20"/>
        </w:rPr>
        <w:t xml:space="preserve">Q_glass  =  U_glass x A_window x (T_outdoor - T_indoor)  [W]</w:t>
      </w:r>
    </w:p>
    <w:p>
      <w:pPr>
        <w:spacing w:after="80" w:before="80"/>
      </w:pPr>
      <w:r>
        <w:rPr>
          <w:rFonts w:ascii="Arial" w:cs="Arial" w:eastAsia="Arial" w:hAnsi="Arial"/>
          <w:color w:val="404040"/>
          <w:sz w:val="20"/>
          <w:szCs w:val="20"/>
        </w:rPr>
        <w:t xml:space="preserve">U_glass = 2.7 W/m²·K  (double-glazed tinted, ECBC 2017)</w:t>
      </w:r>
    </w:p>
    <w:p>
      <w:pPr>
        <w:pStyle w:val="Heading2"/>
        <w:spacing w:after="80" w:before="240"/>
      </w:pPr>
      <w:r>
        <w:rPr>
          <w:rFonts w:ascii="Arial" w:cs="Arial" w:eastAsia="Arial" w:hAnsi="Arial"/>
          <w:b/>
          <w:bCs/>
          <w:color w:val="2E75B6"/>
          <w:sz w:val="22"/>
          <w:szCs w:val="22"/>
        </w:rPr>
        <w:t xml:space="preserve">7.3  Wall Conduction via Sol-Air Temperature</w:t>
      </w:r>
    </w:p>
    <w:p>
      <w:pPr>
        <w:shd w:fill="1E3A5F" w:val="clear"/>
        <w:spacing w:after="100" w:before="100"/>
        <w:ind w:left="360" w:right="360"/>
      </w:pPr>
      <w:r>
        <w:rPr>
          <w:rFonts w:ascii="Courier New" w:cs="Courier New" w:eastAsia="Courier New" w:hAnsi="Courier New"/>
          <w:b/>
          <w:bCs/>
          <w:color w:val="E8F4FD"/>
          <w:sz w:val="20"/>
          <w:szCs w:val="20"/>
        </w:rPr>
        <w:t xml:space="preserve">T_solair  =  T_outdoor  +  (α_wall x I_wall / h_out)</w:t>
      </w:r>
    </w:p>
    <w:p>
      <w:pPr>
        <w:shd w:fill="1E3A5F" w:val="clear"/>
        <w:spacing w:after="100" w:before="100"/>
        <w:ind w:left="360" w:right="360"/>
      </w:pPr>
      <w:r>
        <w:rPr>
          <w:rFonts w:ascii="Courier New" w:cs="Courier New" w:eastAsia="Courier New" w:hAnsi="Courier New"/>
          <w:b/>
          <w:bCs/>
          <w:color w:val="E8F4FD"/>
          <w:sz w:val="20"/>
          <w:szCs w:val="20"/>
        </w:rPr>
        <w:t xml:space="preserve">Q_wall    =  TMF x U_wall x A_wall_net x (T_solair - T_indoor)  [W]</w:t>
      </w:r>
    </w:p>
    <w:p>
      <w:pPr>
        <w:pStyle w:val="ListParagraph"/>
        <w:numPr>
          <w:ilvl w:val="0"/>
          <w:numId w:val="2"/>
        </w:numPr>
        <w:spacing w:after="40" w:before="40"/>
      </w:pPr>
      <w:r>
        <w:rPr>
          <w:rFonts w:ascii="Arial" w:cs="Arial" w:eastAsia="Arial" w:hAnsi="Arial"/>
          <w:color w:val="404040"/>
          <w:sz w:val="20"/>
          <w:szCs w:val="20"/>
        </w:rPr>
        <w:t xml:space="preserve">α_wall = 0.60  (solar absorptance, medium-coloured masonry, ASHRAE Fundamentals 2021)</w:t>
      </w:r>
    </w:p>
    <w:p>
      <w:pPr>
        <w:pStyle w:val="ListParagraph"/>
        <w:numPr>
          <w:ilvl w:val="0"/>
          <w:numId w:val="2"/>
        </w:numPr>
        <w:spacing w:after="40" w:before="40"/>
      </w:pPr>
      <w:r>
        <w:rPr>
          <w:rFonts w:ascii="Arial" w:cs="Arial" w:eastAsia="Arial" w:hAnsi="Arial"/>
          <w:color w:val="404040"/>
          <w:sz w:val="20"/>
          <w:szCs w:val="20"/>
        </w:rPr>
        <w:t xml:space="preserve">h_out = 20 W/m²·K  (outside surface film coefficient, ASHRAE Fundamentals 2021)</w:t>
      </w:r>
    </w:p>
    <w:p>
      <w:pPr>
        <w:pStyle w:val="ListParagraph"/>
        <w:numPr>
          <w:ilvl w:val="0"/>
          <w:numId w:val="2"/>
        </w:numPr>
        <w:spacing w:after="40" w:before="40"/>
      </w:pPr>
      <w:r>
        <w:rPr>
          <w:rFonts w:ascii="Arial" w:cs="Arial" w:eastAsia="Arial" w:hAnsi="Arial"/>
          <w:color w:val="404040"/>
          <w:sz w:val="20"/>
          <w:szCs w:val="20"/>
        </w:rPr>
        <w:t xml:space="preserve">U_wall = 1.8 W/m²·K  (brick/block wall without insulation, ECBC 2017 baseline)</w:t>
      </w:r>
    </w:p>
    <w:p>
      <w:pPr>
        <w:pStyle w:val="ListParagraph"/>
        <w:numPr>
          <w:ilvl w:val="0"/>
          <w:numId w:val="2"/>
        </w:numPr>
        <w:spacing w:after="40" w:before="40"/>
      </w:pPr>
      <w:r>
        <w:rPr>
          <w:rFonts w:ascii="Arial" w:cs="Arial" w:eastAsia="Arial" w:hAnsi="Arial"/>
          <w:color w:val="404040"/>
          <w:sz w:val="20"/>
          <w:szCs w:val="20"/>
        </w:rPr>
        <w:t xml:space="preserve">TMF = 0.70  (Thermal Mass Factor, ASHRAE RTS method, medium-weight construction)</w:t>
      </w:r>
    </w:p>
    <w:p>
      <w:pPr>
        <w:pStyle w:val="Heading2"/>
        <w:spacing w:after="80" w:before="240"/>
      </w:pPr>
      <w:r>
        <w:rPr>
          <w:rFonts w:ascii="Arial" w:cs="Arial" w:eastAsia="Arial" w:hAnsi="Arial"/>
          <w:b/>
          <w:bCs/>
          <w:color w:val="2E75B6"/>
          <w:sz w:val="22"/>
          <w:szCs w:val="22"/>
        </w:rPr>
        <w:t xml:space="preserve">7.4  Roof Conduction (Top Floor Only)</w:t>
      </w:r>
    </w:p>
    <w:p>
      <w:pPr>
        <w:shd w:fill="1E3A5F" w:val="clear"/>
        <w:spacing w:after="100" w:before="100"/>
        <w:ind w:left="360" w:right="360"/>
      </w:pPr>
      <w:r>
        <w:rPr>
          <w:rFonts w:ascii="Courier New" w:cs="Courier New" w:eastAsia="Courier New" w:hAnsi="Courier New"/>
          <w:b/>
          <w:bCs/>
          <w:color w:val="E8F4FD"/>
          <w:sz w:val="20"/>
          <w:szCs w:val="20"/>
        </w:rPr>
        <w:t xml:space="preserve">Q_roof  =  U_roof x A_floor x (T_solair_roof - T_indoor)  [W]</w:t>
      </w:r>
    </w:p>
    <w:p>
      <w:pPr>
        <w:spacing w:after="80" w:before="80"/>
      </w:pPr>
      <w:r>
        <w:rPr>
          <w:rFonts w:ascii="Arial" w:cs="Arial" w:eastAsia="Arial" w:hAnsi="Arial"/>
          <w:color w:val="404040"/>
          <w:sz w:val="20"/>
          <w:szCs w:val="20"/>
        </w:rPr>
        <w:t xml:space="preserve">U_roof = 1.5 W/m²·K (RCC flat roof, no insulation, ECBC 2017) | α_roof = 0.80 (dark bitumen flat roof, ASHRAE Fundamentals)</w:t>
      </w:r>
    </w:p>
    <w:p>
      <w:pPr>
        <w:pStyle w:val="Heading2"/>
        <w:spacing w:after="80" w:before="240"/>
      </w:pPr>
      <w:r>
        <w:rPr>
          <w:rFonts w:ascii="Arial" w:cs="Arial" w:eastAsia="Arial" w:hAnsi="Arial"/>
          <w:b/>
          <w:bCs/>
          <w:color w:val="2E75B6"/>
          <w:sz w:val="22"/>
          <w:szCs w:val="22"/>
        </w:rPr>
        <w:t xml:space="preserve">7.5  Infiltration</w:t>
      </w:r>
    </w:p>
    <w:p>
      <w:pPr>
        <w:shd w:fill="1E3A5F" w:val="clear"/>
        <w:spacing w:after="100" w:before="100"/>
        <w:ind w:left="360" w:right="360"/>
      </w:pPr>
      <w:r>
        <w:rPr>
          <w:rFonts w:ascii="Courier New" w:cs="Courier New" w:eastAsia="Courier New" w:hAnsi="Courier New"/>
          <w:b/>
          <w:bCs/>
          <w:color w:val="E8F4FD"/>
          <w:sz w:val="20"/>
          <w:szCs w:val="20"/>
        </w:rPr>
        <w:t xml:space="preserve">Q_inf  =  m_dot x (h_out - h_in) x 1000  [W]</w:t>
      </w:r>
    </w:p>
    <w:p>
      <w:pPr>
        <w:shd w:fill="1E3A5F" w:val="clear"/>
        <w:spacing w:after="100" w:before="100"/>
        <w:ind w:left="360" w:right="360"/>
      </w:pPr>
      <w:r>
        <w:rPr>
          <w:rFonts w:ascii="Courier New" w:cs="Courier New" w:eastAsia="Courier New" w:hAnsi="Courier New"/>
          <w:b/>
          <w:bCs/>
          <w:color w:val="E8F4FD"/>
          <w:sz w:val="20"/>
          <w:szCs w:val="20"/>
        </w:rPr>
        <w:t xml:space="preserve">m_dot  =  rho_air x ACH x V_room / 3600  [kg/s]</w:t>
      </w:r>
    </w:p>
    <w:p>
      <w:pPr>
        <w:shd w:fill="1E3A5F" w:val="clear"/>
        <w:spacing w:after="100" w:before="100"/>
        <w:ind w:left="360" w:right="360"/>
      </w:pPr>
      <w:r>
        <w:rPr>
          <w:rFonts w:ascii="Courier New" w:cs="Courier New" w:eastAsia="Courier New" w:hAnsi="Courier New"/>
          <w:b/>
          <w:bCs/>
          <w:color w:val="E8F4FD"/>
          <w:sz w:val="20"/>
          <w:szCs w:val="20"/>
        </w:rPr>
        <w:t xml:space="preserve">h      =  1.006 x T  +  W x (2501 + 1.86 x T)  [kJ/kg]</w:t>
      </w:r>
    </w:p>
    <w:p>
      <w:pPr>
        <w:spacing w:after="80" w:before="80"/>
      </w:pPr>
      <w:r>
        <w:rPr>
          <w:rFonts w:ascii="Arial" w:cs="Arial" w:eastAsia="Arial" w:hAnsi="Arial"/>
          <w:color w:val="404040"/>
          <w:sz w:val="20"/>
          <w:szCs w:val="20"/>
        </w:rPr>
        <w:t xml:space="preserve">ACH = 0.5 (ASHRAE 62.1, commercial office) | ρ_air = 1.2 kg/m³ (standard atmospheric)</w:t>
      </w:r>
    </w:p>
    <w:p>
      <w:pPr>
        <w:pStyle w:val="Heading2"/>
        <w:spacing w:after="80" w:before="240"/>
      </w:pPr>
      <w:r>
        <w:rPr>
          <w:rFonts w:ascii="Arial" w:cs="Arial" w:eastAsia="Arial" w:hAnsi="Arial"/>
          <w:b/>
          <w:bCs/>
          <w:color w:val="2E75B6"/>
          <w:sz w:val="22"/>
          <w:szCs w:val="22"/>
        </w:rPr>
        <w:t xml:space="preserve">7.6  Internal Loads</w:t>
      </w:r>
    </w:p>
    <w:p>
      <w:pPr>
        <w:shd w:fill="1E3A5F" w:val="clear"/>
        <w:spacing w:after="100" w:before="100"/>
        <w:ind w:left="360" w:right="360"/>
      </w:pPr>
      <w:r>
        <w:rPr>
          <w:rFonts w:ascii="Courier New" w:cs="Courier New" w:eastAsia="Courier New" w:hAnsi="Courier New"/>
          <w:b/>
          <w:bCs/>
          <w:color w:val="E8F4FD"/>
          <w:sz w:val="20"/>
          <w:szCs w:val="20"/>
        </w:rPr>
        <w:t xml:space="preserve">Q_people  =  N x schedule_factor(h) x 130 W/person</w:t>
      </w:r>
    </w:p>
    <w:p>
      <w:pPr>
        <w:shd w:fill="1E3A5F" w:val="clear"/>
        <w:spacing w:after="100" w:before="100"/>
        <w:ind w:left="360" w:right="360"/>
      </w:pPr>
      <w:r>
        <w:rPr>
          <w:rFonts w:ascii="Courier New" w:cs="Courier New" w:eastAsia="Courier New" w:hAnsi="Courier New"/>
          <w:b/>
          <w:bCs/>
          <w:color w:val="E8F4FD"/>
          <w:sz w:val="20"/>
          <w:szCs w:val="20"/>
        </w:rPr>
        <w:t xml:space="preserve">Q_equip   =  Sum(count x watts_per_unit x schedule_factor(h))</w:t>
      </w:r>
    </w:p>
    <w:p>
      <w:pPr>
        <w:spacing w:after="80" w:before="80"/>
      </w:pPr>
      <w:r>
        <w:rPr>
          <w:rFonts w:ascii="Arial" w:cs="Arial" w:eastAsia="Arial" w:hAnsi="Arial"/>
          <w:color w:val="404040"/>
          <w:sz w:val="20"/>
          <w:szCs w:val="20"/>
        </w:rPr>
        <w:t xml:space="preserve">130 W/person = 75 W sensible + 55 W latent. Source: ASHRAE Fundamentals 2021, Chapter 18, Table 1.</w:t>
      </w:r>
    </w:p>
    <w:p>
      <w:pPr>
        <w:pStyle w:val="Heading2"/>
        <w:spacing w:after="80" w:before="240"/>
      </w:pPr>
      <w:r>
        <w:rPr>
          <w:rFonts w:ascii="Arial" w:cs="Arial" w:eastAsia="Arial" w:hAnsi="Arial"/>
          <w:b/>
          <w:bCs/>
          <w:color w:val="2E75B6"/>
          <w:sz w:val="22"/>
          <w:szCs w:val="22"/>
        </w:rPr>
        <w:t xml:space="preserve">7.7  Total Heat Load</w:t>
      </w:r>
    </w:p>
    <w:p>
      <w:pPr>
        <w:shd w:fill="1E3A5F" w:val="clear"/>
        <w:spacing w:after="100" w:before="100"/>
        <w:ind w:left="360" w:right="360"/>
      </w:pPr>
      <w:r>
        <w:rPr>
          <w:rFonts w:ascii="Courier New" w:cs="Courier New" w:eastAsia="Courier New" w:hAnsi="Courier New"/>
          <w:b/>
          <w:bCs/>
          <w:color w:val="E8F4FD"/>
          <w:sz w:val="20"/>
          <w:szCs w:val="20"/>
        </w:rPr>
        <w:t xml:space="preserve">Q_total  =  Q_solar_delayed + Q_glass + Q_wall_delayed</w:t>
      </w:r>
    </w:p>
    <w:p>
      <w:pPr>
        <w:shd w:fill="1E3A5F" w:val="clear"/>
        <w:spacing w:after="100" w:before="100"/>
        <w:ind w:left="360" w:right="360"/>
      </w:pPr>
      <w:r>
        <w:rPr>
          <w:rFonts w:ascii="Courier New" w:cs="Courier New" w:eastAsia="Courier New" w:hAnsi="Courier New"/>
          <w:b/>
          <w:bCs/>
          <w:color w:val="E8F4FD"/>
          <w:sz w:val="20"/>
          <w:szCs w:val="20"/>
        </w:rPr>
        <w:t xml:space="preserve">         +  Q_roof_delayed + Q_inf + Q_equip + Q_people + Q_zone_transfer</w:t>
      </w:r>
    </w:p>
    <w:p>
      <w:pPr>
        <w:pStyle w:val="Heading1"/>
        <w:pBdr>
          <w:bottom w:val="single" w:color="2E75B6" w:sz="6" w:space="4"/>
        </w:pBdr>
        <w:spacing w:after="120" w:before="360"/>
      </w:pPr>
      <w:r>
        <w:rPr>
          <w:rFonts w:ascii="Arial" w:cs="Arial" w:eastAsia="Arial" w:hAnsi="Arial"/>
          <w:b/>
          <w:bCs/>
          <w:color w:val="1E3A5F"/>
          <w:sz w:val="28"/>
          <w:szCs w:val="28"/>
        </w:rPr>
        <w:t xml:space="preserve">Section 8  |  ISEER — The AC Efficiency Number</w:t>
      </w:r>
    </w:p>
    <w:p>
      <w:pPr>
        <w:spacing w:after="80" w:before="80"/>
      </w:pPr>
      <w:r>
        <w:rPr>
          <w:rFonts w:ascii="Arial" w:cs="Arial" w:eastAsia="Arial" w:hAnsi="Arial"/>
          <w:color w:val="404040"/>
          <w:sz w:val="20"/>
          <w:szCs w:val="20"/>
        </w:rPr>
        <w:t xml:space="preserve">ISEER (Indian Seasonal Energy Efficiency Ratio) is the ratio of cooling output to electrical input averaged over India’s seasonal cycle. Mandated by BEE for all split ACs sold in India since 2016.</w:t>
      </w:r>
    </w:p>
    <w:p>
      <w:pPr>
        <w:shd w:fill="1E3A5F" w:val="clear"/>
        <w:spacing w:after="100" w:before="100"/>
        <w:ind w:left="360" w:right="360"/>
      </w:pPr>
      <w:r>
        <w:rPr>
          <w:rFonts w:ascii="Courier New" w:cs="Courier New" w:eastAsia="Courier New" w:hAnsi="Courier New"/>
          <w:b/>
          <w:bCs/>
          <w:color w:val="E8F4FD"/>
          <w:sz w:val="20"/>
          <w:szCs w:val="20"/>
        </w:rPr>
        <w:t xml:space="preserve">Cooling Output (W)  =  Electrical Input (W) x ISEER</w:t>
      </w:r>
    </w:p>
    <w:p>
      <w:pPr>
        <w:shd w:fill="1E3A5F" w:val="clear"/>
        <w:spacing w:after="100" w:before="100"/>
        <w:ind w:left="360" w:right="360"/>
      </w:pPr>
      <w:r>
        <w:rPr>
          <w:rFonts w:ascii="Courier New" w:cs="Courier New" w:eastAsia="Courier New" w:hAnsi="Courier New"/>
          <w:b/>
          <w:bCs/>
          <w:color w:val="E8F4FD"/>
          <w:sz w:val="20"/>
          <w:szCs w:val="20"/>
        </w:rPr>
        <w:t xml:space="preserve">ISEER_corrected     =  ISEER_rated x Age_Factor x Temp_Factor</w:t>
      </w:r>
    </w:p>
    <w:p>
      <w:pPr>
        <w:shd w:fill="1E3A5F" w:val="clear"/>
        <w:spacing w:after="100" w:before="100"/>
        <w:ind w:left="360" w:right="360"/>
      </w:pPr>
      <w:r>
        <w:rPr>
          <w:rFonts w:ascii="Courier New" w:cs="Courier New" w:eastAsia="Courier New" w:hAnsi="Courier New"/>
          <w:b/>
          <w:bCs/>
          <w:color w:val="E8F4FD"/>
          <w:sz w:val="20"/>
          <w:szCs w:val="20"/>
        </w:rPr>
        <w:t xml:space="preserve">Age_Factor          =  max(0.70,  1 - age_years x 0.02)</w:t>
      </w:r>
    </w:p>
    <w:p>
      <w:pPr>
        <w:shd w:fill="1E3A5F" w:val="clear"/>
        <w:spacing w:after="100" w:before="100"/>
        <w:ind w:left="360" w:right="360"/>
      </w:pPr>
      <w:r>
        <w:rPr>
          <w:rFonts w:ascii="Courier New" w:cs="Courier New" w:eastAsia="Courier New" w:hAnsi="Courier New"/>
          <w:b/>
          <w:bCs/>
          <w:color w:val="E8F4FD"/>
          <w:sz w:val="20"/>
          <w:szCs w:val="20"/>
        </w:rPr>
        <w:t xml:space="preserve">Temp_Factor         =  max(0.50,  1 - (T_outdoor_peak - 35) x 0.025)</w:t>
      </w:r>
    </w:p>
    <w:p>
      <w:pPr>
        <w:pBdr>
          <w:top w:val="single" w:color="D4A017" w:sz="4"/>
          <w:bottom w:val="single" w:color="D4A017" w:sz="4"/>
          <w:left w:val="single" w:color="D4A017" w:sz="12"/>
          <w:right w:val="single" w:color="D4A017" w:sz="4"/>
        </w:pBdr>
        <w:shd w:fill="FFF8DC" w:val="clear"/>
        <w:spacing w:after="80" w:before="80"/>
        <w:ind w:left="240" w:right="240"/>
      </w:pPr>
      <w:r>
        <w:rPr>
          <w:rFonts w:ascii="Arial" w:cs="Arial" w:eastAsia="Arial" w:hAnsi="Arial"/>
          <w:color w:val="5C4000"/>
          <w:sz w:val="18"/>
          <w:szCs w:val="18"/>
        </w:rPr>
        <w:t xml:space="preserve">Example: A 3-star AC (ISEER 3.70), 4 years old, on a 38°C day: ISEER_corrected = 3.70 × 0.92 × 0.925 = 3.15. A 1,500 W power reading means 4,725 W of actual cooling.</w:t>
      </w:r>
    </w:p>
    <w:p>
      <w:pPr>
        <w:pStyle w:val="Heading1"/>
        <w:pBdr>
          <w:bottom w:val="single" w:color="2E75B6" w:sz="6" w:space="4"/>
        </w:pBdr>
        <w:spacing w:after="120" w:before="360"/>
      </w:pPr>
      <w:r>
        <w:rPr>
          <w:rFonts w:ascii="Arial" w:cs="Arial" w:eastAsia="Arial" w:hAnsi="Arial"/>
          <w:b/>
          <w:bCs/>
          <w:color w:val="1E3A5F"/>
          <w:sz w:val="28"/>
          <w:szCs w:val="28"/>
        </w:rPr>
        <w:t xml:space="preserve">Section 9  |  Inter-Zone Heat Transfer</w:t>
      </w:r>
    </w:p>
    <w:p>
      <w:pPr>
        <w:spacing w:after="80" w:before="80"/>
      </w:pPr>
      <w:r>
        <w:rPr>
          <w:rFonts w:ascii="Arial" w:cs="Arial" w:eastAsia="Arial" w:hAnsi="Arial"/>
          <w:color w:val="404040"/>
          <w:sz w:val="20"/>
          <w:szCs w:val="20"/>
        </w:rPr>
        <w:t xml:space="preserve">The office zones share glass partition walls. Heat conducts between zones based on the temperature difference across each shared wall.</w:t>
      </w:r>
    </w:p>
    <w:p>
      <w:pPr>
        <w:shd w:fill="1E3A5F" w:val="clear"/>
        <w:spacing w:after="100" w:before="100"/>
        <w:ind w:left="360" w:right="360"/>
      </w:pPr>
      <w:r>
        <w:rPr>
          <w:rFonts w:ascii="Courier New" w:cs="Courier New" w:eastAsia="Courier New" w:hAnsi="Courier New"/>
          <w:b/>
          <w:bCs/>
          <w:color w:val="E8F4FD"/>
          <w:sz w:val="20"/>
          <w:szCs w:val="20"/>
        </w:rPr>
        <w:t xml:space="preserve">Q_transfer  =  U_eff x A_wall x (T_adjacent - T_this_zone)  [W]</w:t>
      </w:r>
    </w:p>
    <w:p>
      <w:pPr>
        <w:spacing w:after="80" w:before="80"/>
      </w:pPr>
      <w:r>
        <w:rPr>
          <w:rFonts w:ascii="Arial" w:cs="Arial" w:eastAsia="Arial" w:hAnsi="Arial"/>
          <w:color w:val="404040"/>
          <w:sz w:val="20"/>
          <w:szCs w:val="20"/>
        </w:rPr>
        <w:t xml:space="preserve">Positive = heat flowing IN (adjacent is hotter). Negative = heat leaving (this zone is hotter than adjacent). The unconditioned Corridor can push significant heat into the Main Working Area on summer afternoons.</w:t>
      </w:r>
    </w:p>
    <w:p>
      <w:pPr>
        <w:pStyle w:val="Heading1"/>
        <w:pBdr>
          <w:bottom w:val="single" w:color="2E75B6" w:sz="6" w:space="4"/>
        </w:pBdr>
        <w:spacing w:after="120" w:before="360"/>
      </w:pPr>
      <w:r>
        <w:rPr>
          <w:rFonts w:ascii="Arial" w:cs="Arial" w:eastAsia="Arial" w:hAnsi="Arial"/>
          <w:b/>
          <w:bCs/>
          <w:color w:val="1E3A5F"/>
          <w:sz w:val="28"/>
          <w:szCs w:val="28"/>
        </w:rPr>
        <w:t xml:space="preserve">Section 10  |  The Configure Tab</w:t>
      </w:r>
    </w:p>
    <w:p>
      <w:pPr>
        <w:pStyle w:val="Heading2"/>
        <w:spacing w:after="80" w:before="240"/>
      </w:pPr>
      <w:r>
        <w:rPr>
          <w:rFonts w:ascii="Arial" w:cs="Arial" w:eastAsia="Arial" w:hAnsi="Arial"/>
          <w:b/>
          <w:bCs/>
          <w:color w:val="2E75B6"/>
          <w:sz w:val="22"/>
          <w:szCs w:val="22"/>
        </w:rPr>
        <w:t xml:space="preserve">Zone Configuration</w:t>
      </w:r>
    </w:p>
    <w:p>
      <w:pPr>
        <w:spacing w:after="80" w:before="80"/>
      </w:pPr>
      <w:r>
        <w:rPr>
          <w:rFonts w:ascii="Arial" w:cs="Arial" w:eastAsia="Arial" w:hAnsi="Arial"/>
          <w:color w:val="404040"/>
          <w:sz w:val="20"/>
          <w:szCs w:val="20"/>
        </w:rPr>
        <w:t xml:space="preserve">Define the physical geometry: ceiling height, top floor toggle, each wall (length, compass direction, type: external or internal), windows (area + optional obstruction data), and internal partition links to adjacent zones.</w:t>
      </w:r>
    </w:p>
    <w:p>
      <w:pPr>
        <w:pStyle w:val="Heading2"/>
        <w:spacing w:after="80" w:before="240"/>
      </w:pPr>
      <w:r>
        <w:rPr>
          <w:rFonts w:ascii="Arial" w:cs="Arial" w:eastAsia="Arial" w:hAnsi="Arial"/>
          <w:b/>
          <w:bCs/>
          <w:color w:val="2E75B6"/>
          <w:sz w:val="22"/>
          <w:szCs w:val="22"/>
        </w:rPr>
        <w:t xml:space="preserve">AC Unit Configuration</w:t>
      </w:r>
    </w:p>
    <w:p>
      <w:pPr>
        <w:spacing w:after="80" w:before="80"/>
      </w:pPr>
      <w:r>
        <w:rPr>
          <w:rFonts w:ascii="Arial" w:cs="Arial" w:eastAsia="Arial" w:hAnsi="Arial"/>
          <w:color w:val="404040"/>
          <w:sz w:val="20"/>
          <w:szCs w:val="20"/>
        </w:rPr>
        <w:t xml:space="preserve">Enter: rated capacity (from the spec sheet), ISEER rating (from the BEE star label), and age in years. AC units are auto-detected from live sensor names. BEE sizing rule: 0.0625 TR/m² (1 TR per 16 m²).</w:t>
      </w:r>
    </w:p>
    <w:p>
      <w:pPr>
        <w:pStyle w:val="Heading2"/>
        <w:spacing w:after="80" w:before="240"/>
      </w:pPr>
      <w:r>
        <w:rPr>
          <w:rFonts w:ascii="Arial" w:cs="Arial" w:eastAsia="Arial" w:hAnsi="Arial"/>
          <w:b/>
          <w:bCs/>
          <w:color w:val="2E75B6"/>
          <w:sz w:val="22"/>
          <w:szCs w:val="22"/>
        </w:rPr>
        <w:t xml:space="preserve">Internal Loads</w:t>
      </w:r>
    </w:p>
    <w:p>
      <w:pPr>
        <w:spacing w:after="80" w:before="80"/>
      </w:pPr>
      <w:r>
        <w:rPr>
          <w:rFonts w:ascii="Arial" w:cs="Arial" w:eastAsia="Arial" w:hAnsi="Arial"/>
          <w:color w:val="404040"/>
          <w:sz w:val="20"/>
          <w:szCs w:val="20"/>
        </w:rPr>
        <w:t xml:space="preserve">An inventory table of every heat-generating item. Each item: category (people / lighting / equipment / appliance), count, watts per unit, and schedule preset.</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880"/>
      </w:tblGrid>
      <w:tr>
        <w:trPr>
          <w:tblHeader/>
        </w:trPr>
        <w:tc>
          <w:tcPr>
            <w:tcW w:type="dxa" w:w="2400"/>
            <w:tcBorders>
              <w:top w:val="single" w:color="CCCCCC" w:sz="4"/>
              <w:left w:val="single" w:color="CCCCCC" w:sz="4"/>
              <w:bottom w:val="single" w:color="CCCCCC" w:sz="4"/>
              <w:right w:val="single" w:color="CCCCCC" w:sz="4"/>
            </w:tcBorders>
            <w:shd w:fill="D0E4F7" w:val="clear"/>
            <w:tcMar>
              <w:top w:type="dxa" w:w="100"/>
              <w:left w:type="dxa" w:w="120"/>
              <w:bottom w:type="dxa" w:w="100"/>
              <w:right w:type="dxa" w:w="120"/>
            </w:tcMar>
            <w:vAlign w:val="center"/>
          </w:tcPr>
          <w:p>
            <w:r>
              <w:rPr>
                <w:rFonts w:ascii="Arial" w:cs="Arial" w:eastAsia="Arial" w:hAnsi="Arial"/>
                <w:b/>
                <w:bCs/>
                <w:color w:val="1E3A5F"/>
                <w:sz w:val="18"/>
                <w:szCs w:val="18"/>
              </w:rPr>
              <w:t xml:space="preserve">Preset</w:t>
            </w:r>
          </w:p>
        </w:tc>
        <w:tc>
          <w:tcPr>
            <w:tcW w:type="dxa" w:w="1800"/>
            <w:tcBorders>
              <w:top w:val="single" w:color="CCCCCC" w:sz="4"/>
              <w:left w:val="single" w:color="CCCCCC" w:sz="4"/>
              <w:bottom w:val="single" w:color="CCCCCC" w:sz="4"/>
              <w:right w:val="single" w:color="CCCCCC" w:sz="4"/>
            </w:tcBorders>
            <w:shd w:fill="D0E4F7" w:val="clear"/>
            <w:tcMar>
              <w:top w:type="dxa" w:w="100"/>
              <w:left w:type="dxa" w:w="120"/>
              <w:bottom w:type="dxa" w:w="100"/>
              <w:right w:type="dxa" w:w="120"/>
            </w:tcMar>
            <w:vAlign w:val="center"/>
          </w:tcPr>
          <w:p>
            <w:r>
              <w:rPr>
                <w:rFonts w:ascii="Arial" w:cs="Arial" w:eastAsia="Arial" w:hAnsi="Arial"/>
                <w:b/>
                <w:bCs/>
                <w:color w:val="1E3A5F"/>
                <w:sz w:val="18"/>
                <w:szCs w:val="18"/>
              </w:rPr>
              <w:t xml:space="preserve">Used For</w:t>
            </w:r>
          </w:p>
        </w:tc>
        <w:tc>
          <w:tcPr>
            <w:tcW w:type="dxa" w:w="5880"/>
            <w:tcBorders>
              <w:top w:val="single" w:color="CCCCCC" w:sz="4"/>
              <w:left w:val="single" w:color="CCCCCC" w:sz="4"/>
              <w:bottom w:val="single" w:color="CCCCCC" w:sz="4"/>
              <w:right w:val="single" w:color="CCCCCC" w:sz="4"/>
            </w:tcBorders>
            <w:shd w:fill="D0E4F7" w:val="clear"/>
            <w:tcMar>
              <w:top w:type="dxa" w:w="100"/>
              <w:left w:type="dxa" w:w="120"/>
              <w:bottom w:type="dxa" w:w="100"/>
              <w:right w:type="dxa" w:w="120"/>
            </w:tcMar>
            <w:vAlign w:val="center"/>
          </w:tcPr>
          <w:p>
            <w:r>
              <w:rPr>
                <w:rFonts w:ascii="Arial" w:cs="Arial" w:eastAsia="Arial" w:hAnsi="Arial"/>
                <w:b/>
                <w:bCs/>
                <w:color w:val="1E3A5F"/>
                <w:sz w:val="18"/>
                <w:szCs w:val="18"/>
              </w:rPr>
              <w:t xml:space="preserve">Schedule Pattern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333333"/>
                <w:sz w:val="18"/>
                <w:szCs w:val="18"/>
              </w:rPr>
              <w:t xml:space="preserve">office_occupancy</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People, fans</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Ramp 8→9, full 10–16, ramp 17→18, off after 18:00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333333"/>
                <w:sz w:val="18"/>
                <w:szCs w:val="18"/>
              </w:rPr>
              <w:t xml:space="preserve">office_lighting</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Lights</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On 08–18 with 0.4 shoulders; off outside</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333333"/>
                <w:sz w:val="18"/>
                <w:szCs w:val="18"/>
              </w:rPr>
              <w:t xml:space="preserve">office_equipment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Monitors</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0.2 standby overnight, full 09–17, taper 18–20</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333333"/>
                <w:sz w:val="18"/>
                <w:szCs w:val="18"/>
              </w:rPr>
              <w:t xml:space="preserve">always_on</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Fridge</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Constant 0.6 duty cycle all 24 hours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333333"/>
                <w:sz w:val="18"/>
                <w:szCs w:val="18"/>
              </w:rPr>
              <w:t xml:space="preserve">intermittent</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Printer</w:t>
            </w:r>
          </w:p>
        </w:tc>
        <w:tc>
          <w:tcPr>
            <w:tcW w:type="dxa" w:w="58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Office hours only, 0.3 average utilisation</w:t>
            </w:r>
          </w:p>
        </w:tc>
      </w:tr>
    </w:tbl>
    <w:p>
      <w:pPr>
        <w:pStyle w:val="Heading1"/>
        <w:pBdr>
          <w:bottom w:val="single" w:color="2E75B6" w:sz="6" w:space="4"/>
        </w:pBdr>
        <w:spacing w:after="120" w:before="360"/>
      </w:pPr>
      <w:r>
        <w:rPr>
          <w:rFonts w:ascii="Arial" w:cs="Arial" w:eastAsia="Arial" w:hAnsi="Arial"/>
          <w:b/>
          <w:bCs/>
          <w:color w:val="1E3A5F"/>
          <w:sz w:val="28"/>
          <w:szCs w:val="28"/>
        </w:rPr>
        <w:t xml:space="preserve">Section 11  |  Design Day Context</w:t>
      </w:r>
    </w:p>
    <w:p>
      <w:pPr>
        <w:spacing w:after="80" w:before="80"/>
      </w:pPr>
      <w:r>
        <w:rPr>
          <w:rFonts w:ascii="Arial" w:cs="Arial" w:eastAsia="Arial" w:hAnsi="Arial"/>
          <w:color w:val="404040"/>
          <w:sz w:val="20"/>
          <w:szCs w:val="20"/>
        </w:rPr>
        <w:t xml:space="preserve">The design day temperature is the 95th-percentile daily maximum across April–June for the past 5 years, fetched from the Open-Meteo historical archive.</w:t>
      </w:r>
    </w:p>
    <w:p>
      <w:pPr>
        <w:pBdr>
          <w:top w:val="single" w:color="D4A017" w:sz="4"/>
          <w:bottom w:val="single" w:color="D4A017" w:sz="4"/>
          <w:left w:val="single" w:color="D4A017" w:sz="12"/>
          <w:right w:val="single" w:color="D4A017" w:sz="4"/>
        </w:pBdr>
        <w:shd w:fill="FFF8DC" w:val="clear"/>
        <w:spacing w:after="80" w:before="80"/>
        <w:ind w:left="240" w:right="240"/>
      </w:pPr>
      <w:r>
        <w:rPr>
          <w:rFonts w:ascii="Arial" w:cs="Arial" w:eastAsia="Arial" w:hAnsi="Arial"/>
          <w:color w:val="5C4000"/>
          <w:sz w:val="18"/>
          <w:szCs w:val="18"/>
        </w:rPr>
        <w:t xml:space="preserve">Why 95th percentile? BEE ECBC 2017 and ASHRAE recommend designing for the 95th–99th percentile. Using 99th would massively oversize equipment for a condition occurring only 3–4 days per year.</w:t>
      </w:r>
    </w:p>
    <w:p>
      <w:pPr>
        <w:pStyle w:val="Heading1"/>
        <w:pBdr>
          <w:bottom w:val="single" w:color="2E75B6" w:sz="6" w:space="4"/>
        </w:pBdr>
        <w:spacing w:after="120" w:before="360"/>
      </w:pPr>
      <w:r>
        <w:rPr>
          <w:rFonts w:ascii="Arial" w:cs="Arial" w:eastAsia="Arial" w:hAnsi="Arial"/>
          <w:b/>
          <w:bCs/>
          <w:color w:val="1E3A5F"/>
          <w:sz w:val="28"/>
          <w:szCs w:val="28"/>
        </w:rPr>
        <w:t xml:space="preserve">Section 12  |  Constants Reference Table</w:t>
      </w:r>
    </w:p>
    <w:p>
      <w:pPr>
        <w:spacing w:after="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480"/>
        <w:gridCol w:w="4200"/>
      </w:tblGrid>
      <w:tr>
        <w:trPr>
          <w:tblHeader/>
        </w:trPr>
        <w:tc>
          <w:tcPr>
            <w:tcW w:type="dxa" w:w="2200"/>
            <w:tcBorders>
              <w:top w:val="single" w:color="CCCCCC" w:sz="4"/>
              <w:left w:val="single" w:color="CCCCCC" w:sz="4"/>
              <w:bottom w:val="single" w:color="CCCCCC" w:sz="4"/>
              <w:right w:val="single" w:color="CCCCCC" w:sz="4"/>
            </w:tcBorders>
            <w:shd w:fill="D0E4F7" w:val="clear"/>
            <w:tcMar>
              <w:top w:type="dxa" w:w="100"/>
              <w:left w:type="dxa" w:w="120"/>
              <w:bottom w:type="dxa" w:w="100"/>
              <w:right w:type="dxa" w:w="120"/>
            </w:tcMar>
            <w:vAlign w:val="center"/>
          </w:tcPr>
          <w:p>
            <w:r>
              <w:rPr>
                <w:rFonts w:ascii="Arial" w:cs="Arial" w:eastAsia="Arial" w:hAnsi="Arial"/>
                <w:b/>
                <w:bCs/>
                <w:color w:val="1E3A5F"/>
                <w:sz w:val="18"/>
                <w:szCs w:val="18"/>
              </w:rPr>
              <w:t xml:space="preserve">Constant</w:t>
            </w:r>
          </w:p>
        </w:tc>
        <w:tc>
          <w:tcPr>
            <w:tcW w:type="dxa" w:w="1200"/>
            <w:tcBorders>
              <w:top w:val="single" w:color="CCCCCC" w:sz="4"/>
              <w:left w:val="single" w:color="CCCCCC" w:sz="4"/>
              <w:bottom w:val="single" w:color="CCCCCC" w:sz="4"/>
              <w:right w:val="single" w:color="CCCCCC" w:sz="4"/>
            </w:tcBorders>
            <w:shd w:fill="D0E4F7" w:val="clear"/>
            <w:tcMar>
              <w:top w:type="dxa" w:w="100"/>
              <w:left w:type="dxa" w:w="120"/>
              <w:bottom w:type="dxa" w:w="100"/>
              <w:right w:type="dxa" w:w="120"/>
            </w:tcMar>
            <w:vAlign w:val="center"/>
          </w:tcPr>
          <w:p>
            <w:r>
              <w:rPr>
                <w:rFonts w:ascii="Arial" w:cs="Arial" w:eastAsia="Arial" w:hAnsi="Arial"/>
                <w:b/>
                <w:bCs/>
                <w:color w:val="1E3A5F"/>
                <w:sz w:val="18"/>
                <w:szCs w:val="18"/>
              </w:rPr>
              <w:t xml:space="preserve">Value</w:t>
            </w:r>
          </w:p>
        </w:tc>
        <w:tc>
          <w:tcPr>
            <w:tcW w:type="dxa" w:w="2480"/>
            <w:tcBorders>
              <w:top w:val="single" w:color="CCCCCC" w:sz="4"/>
              <w:left w:val="single" w:color="CCCCCC" w:sz="4"/>
              <w:bottom w:val="single" w:color="CCCCCC" w:sz="4"/>
              <w:right w:val="single" w:color="CCCCCC" w:sz="4"/>
            </w:tcBorders>
            <w:shd w:fill="D0E4F7" w:val="clear"/>
            <w:tcMar>
              <w:top w:type="dxa" w:w="100"/>
              <w:left w:type="dxa" w:w="120"/>
              <w:bottom w:type="dxa" w:w="100"/>
              <w:right w:type="dxa" w:w="120"/>
            </w:tcMar>
            <w:vAlign w:val="center"/>
          </w:tcPr>
          <w:p>
            <w:r>
              <w:rPr>
                <w:rFonts w:ascii="Arial" w:cs="Arial" w:eastAsia="Arial" w:hAnsi="Arial"/>
                <w:b/>
                <w:bCs/>
                <w:color w:val="1E3A5F"/>
                <w:sz w:val="18"/>
                <w:szCs w:val="18"/>
              </w:rPr>
              <w:t xml:space="preserve">What It Is</w:t>
            </w:r>
          </w:p>
        </w:tc>
        <w:tc>
          <w:tcPr>
            <w:tcW w:type="dxa" w:w="4200"/>
            <w:tcBorders>
              <w:top w:val="single" w:color="CCCCCC" w:sz="4"/>
              <w:left w:val="single" w:color="CCCCCC" w:sz="4"/>
              <w:bottom w:val="single" w:color="CCCCCC" w:sz="4"/>
              <w:right w:val="single" w:color="CCCCCC" w:sz="4"/>
            </w:tcBorders>
            <w:shd w:fill="D0E4F7" w:val="clear"/>
            <w:tcMar>
              <w:top w:type="dxa" w:w="100"/>
              <w:left w:type="dxa" w:w="120"/>
              <w:bottom w:type="dxa" w:w="100"/>
              <w:right w:type="dxa" w:w="120"/>
            </w:tcMar>
            <w:vAlign w:val="center"/>
          </w:tcPr>
          <w:p>
            <w:r>
              <w:rPr>
                <w:rFonts w:ascii="Arial" w:cs="Arial" w:eastAsia="Arial" w:hAnsi="Arial"/>
                <w:b/>
                <w:bCs/>
                <w:color w:val="1E3A5F"/>
                <w:sz w:val="18"/>
                <w:szCs w:val="18"/>
              </w:rPr>
              <w:t xml:space="preserve">Standard / Source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FRAME_FACTOR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0.85</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Fraction of window opening that is glass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Fundamentals 2021, Ch.15</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SHGC</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0.30</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Solar Heat Gain Coefficient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BEE ECBC 2017, Table 4.3</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U_GLASS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2.7 W/m²·K</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Thermal transmittance, double-glazed tinted glass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ECBC 2017 / ASHRAE 90.1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U_WALL</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1.8 W/m²·K</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Thermal transmittance, brick/block, no insulation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ECBC 2017 baseline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U_ROOF</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1.5 W/m²·K</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Thermal transmittance, RCC flat roof, no insulation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ECBC 2017 Table 4.2</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ALPHA_WALL</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0.60</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Solar absorptance, medium-dark painted masonry</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Fundamentals 2021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ALPHA_ROOF</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0.80</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Solar absorptance, dark bitumen flat roof</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Fundamentals 2021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H_OUT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20 W/m²·K</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Outside surface film coefficient (15 km/h wind)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Fundamentals 2021, Table 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THERMAL_MASS_FACTOR</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0.70</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RTS dampening, medium-weight construction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RTS Method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THERMAL_MASS_C</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150,000 J/(m²·K)</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Volumetric heat capacity per floor area</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CIBSE Guide A 2006</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ACH</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0.5</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Air changes per hour, commercial office infiltration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62.1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AIR_DENSITY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1.2 kg/m³</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Density of dry air at standard conditions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Atmospheric standard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GROUND_REFLECTANCE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0.20</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Ground albedo, urban surface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 Perez model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RTS Coefficients</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0.35, 0.25, 0.20, 0.12, 0.08</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Radiant time series, medium-weight zone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Fundamentals 2021, Ch.18</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AGE_DEGRADATION</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2%/year, floor 70%</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Annual AC capacity loss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Standard 180</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TEMP_PENALTY</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2.5%/°C above 35°C</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COP reduction above rated test condition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R-410A performance map</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PEOPLE_SENSIBLE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75 W/person</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Sensible heat, seated office work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Fundamentals 2021, Table 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PEOPLE_LATENT</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55 W/person</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Latent heat, seated office work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ASHRAE Fundamentals 2021, Table 1</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BEE_SIZING_RULE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0.0625 TR/m²</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Recommended AC sizing for offices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BEE Star Buildings Programme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ISEER_3STAR_MIN</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3.70</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Minimum ISEER, BEE 3-star split AC</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BEE Star Rating Programme 2023</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1A3A5C"/>
                <w:sz w:val="18"/>
                <w:szCs w:val="18"/>
              </w:rPr>
              <w:t xml:space="preserve">DESIGN_DAY_PERCENTILE</w:t>
            </w:r>
          </w:p>
        </w:tc>
        <w:tc>
          <w:tcPr>
            <w:tcW w:type="dxa" w:w="1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333333"/>
                <w:sz w:val="16"/>
                <w:szCs w:val="16"/>
              </w:rPr>
              <w:t xml:space="preserve">95th</w:t>
            </w:r>
          </w:p>
        </w:tc>
        <w:tc>
          <w:tcPr>
            <w:tcW w:type="dxa" w:w="24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333333"/>
                <w:sz w:val="18"/>
                <w:szCs w:val="18"/>
              </w:rPr>
              <w:t xml:space="preserve">Percentile for design day temperature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555555"/>
                <w:sz w:val="18"/>
                <w:szCs w:val="18"/>
              </w:rPr>
              <w:t xml:space="preserve">BEE ECBC 2017</w:t>
            </w:r>
          </w:p>
        </w:tc>
      </w:tr>
    </w:tbl>
    <w:p>
      <w:pPr>
        <w:pStyle w:val="Heading1"/>
        <w:pBdr>
          <w:bottom w:val="single" w:color="2E75B6" w:sz="6" w:space="4"/>
        </w:pBdr>
        <w:spacing w:after="120" w:before="360"/>
      </w:pPr>
      <w:r>
        <w:rPr>
          <w:rFonts w:ascii="Arial" w:cs="Arial" w:eastAsia="Arial" w:hAnsi="Arial"/>
          <w:b/>
          <w:bCs/>
          <w:color w:val="1E3A5F"/>
          <w:sz w:val="28"/>
          <w:szCs w:val="28"/>
        </w:rPr>
        <w:t xml:space="preserve">Section 13  |  Closing Summary</w:t>
      </w:r>
    </w:p>
    <w:p>
      <w:pPr>
        <w:spacing w:after="80" w:before="80"/>
      </w:pPr>
      <w:r>
        <w:rPr>
          <w:rFonts w:ascii="Arial" w:cs="Arial" w:eastAsia="Arial" w:hAnsi="Arial"/>
          <w:color w:val="404040"/>
          <w:sz w:val="20"/>
          <w:szCs w:val="20"/>
        </w:rPr>
        <w:t xml:space="preserve">ThermoZone Analyst delivers five things in one dashboard:</w:t>
      </w:r>
    </w:p>
    <w:p>
      <w:pPr>
        <w:pStyle w:val="ListParagraph"/>
        <w:numPr>
          <w:ilvl w:val="0"/>
          <w:numId w:val="3"/>
        </w:numPr>
        <w:spacing w:after="60" w:before="60"/>
      </w:pPr>
      <w:r>
        <w:rPr>
          <w:rFonts w:ascii="Arial" w:cs="Arial" w:eastAsia="Arial" w:hAnsi="Arial"/>
          <w:color w:val="404040"/>
          <w:sz w:val="20"/>
          <w:szCs w:val="20"/>
        </w:rPr>
        <w:t xml:space="preserve">Live comfort verdict — right now, is the AC keeping up? Based on real sensor temperatures, not assumptions.</w:t>
      </w:r>
    </w:p>
    <w:p>
      <w:pPr>
        <w:pStyle w:val="ListParagraph"/>
        <w:numPr>
          <w:ilvl w:val="0"/>
          <w:numId w:val="3"/>
        </w:numPr>
        <w:spacing w:after="60" w:before="60"/>
      </w:pPr>
      <w:r>
        <w:rPr>
          <w:rFonts w:ascii="Arial" w:cs="Arial" w:eastAsia="Arial" w:hAnsi="Arial"/>
          <w:color w:val="404040"/>
          <w:sz w:val="20"/>
          <w:szCs w:val="20"/>
        </w:rPr>
        <w:t xml:space="preserve">Physics-based heat load — computed from actual building geometry, solar angles, weather, occupancy, and equipment — not a rule-of-thumb.</w:t>
      </w:r>
    </w:p>
    <w:p>
      <w:pPr>
        <w:pStyle w:val="ListParagraph"/>
        <w:numPr>
          <w:ilvl w:val="0"/>
          <w:numId w:val="3"/>
        </w:numPr>
        <w:spacing w:after="60" w:before="60"/>
      </w:pPr>
      <w:r>
        <w:rPr>
          <w:rFonts w:ascii="Arial" w:cs="Arial" w:eastAsia="Arial" w:hAnsi="Arial"/>
          <w:color w:val="404040"/>
          <w:sz w:val="20"/>
          <w:szCs w:val="20"/>
        </w:rPr>
        <w:t xml:space="preserve">Historical replay — pick any date, see the full simulation replay with real AC power overlaid.</w:t>
      </w:r>
    </w:p>
    <w:p>
      <w:pPr>
        <w:pStyle w:val="ListParagraph"/>
        <w:numPr>
          <w:ilvl w:val="0"/>
          <w:numId w:val="3"/>
        </w:numPr>
        <w:spacing w:after="60" w:before="60"/>
      </w:pPr>
      <w:r>
        <w:rPr>
          <w:rFonts w:ascii="Arial" w:cs="Arial" w:eastAsia="Arial" w:hAnsi="Arial"/>
          <w:color w:val="404040"/>
          <w:sz w:val="20"/>
          <w:szCs w:val="20"/>
        </w:rPr>
        <w:t xml:space="preserve">Sizing diagnosis — is your AC the right size for this space? The BEE rule gives the benchmark; real load gives the evidence.</w:t>
      </w:r>
    </w:p>
    <w:p>
      <w:pPr>
        <w:pStyle w:val="ListParagraph"/>
        <w:numPr>
          <w:ilvl w:val="0"/>
          <w:numId w:val="3"/>
        </w:numPr>
        <w:spacing w:after="60" w:before="60"/>
      </w:pPr>
      <w:r>
        <w:rPr>
          <w:rFonts w:ascii="Arial" w:cs="Arial" w:eastAsia="Arial" w:hAnsi="Arial"/>
          <w:color w:val="404040"/>
          <w:sz w:val="20"/>
          <w:szCs w:val="20"/>
        </w:rPr>
        <w:t xml:space="preserve">Transparency — every number traces back to a standard (ASHRAE, ECBC, BEE). This isn’t a black box.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ThermoZone Analyst  |  Demo 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2"/>
      <w:szCs w:val="22"/>
    </w:rPr>
  </w:style>
  <w:style w:type="paragraph" w:styleId="Heading3">
    <w:name w:val="Heading 3"/>
    <w:basedOn w:val="Normal"/>
    <w:next w:val="Normal"/>
    <w:qFormat/>
    <w:pPr>
      <w:spacing w:after="60" w:before="160"/>
      <w:outlineLvl w:val="2"/>
    </w:pPr>
    <w:rPr>
      <w:rFonts w:ascii="Arial" w:cs="Arial" w:eastAsia="Arial" w:hAnsi="Arial"/>
      <w:b/>
      <w:bCs/>
      <w:color w:val="2C5F8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2026-03-17T05:14:09.608Z</dcterms:created>
  <dcterms:modified xsi:type="dcterms:W3CDTF">2026-03-17T05:14:09.610Z</dcterms:modified>
</cp:coreProperties>
</file>

<file path=docProps/custom.xml><?xml version="1.0" encoding="utf-8"?>
<Properties xmlns="http://schemas.openxmlformats.org/officeDocument/2006/custom-properties" xmlns:vt="http://schemas.openxmlformats.org/officeDocument/2006/docPropsVTypes"/>
</file>