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792000" cy="792000"/>
            <wp:docPr id="1" name="Picture 1"/>
            <wp:cNvGraphicFramePr>
              <a:graphicFrameLocks noChangeAspect="1"/>
            </wp:cNvGraphicFramePr>
            <a:graphic>
              <a:graphicData uri="http://schemas.openxmlformats.org/drawingml/2006/picture">
                <pic:pic>
                  <pic:nvPicPr>
                    <pic:cNvPr id="0" name="iitgn_seal.png"/>
                    <pic:cNvPicPr/>
                  </pic:nvPicPr>
                  <pic:blipFill>
                    <a:blip r:embed="rId9"/>
                    <a:stretch>
                      <a:fillRect/>
                    </a:stretch>
                  </pic:blipFill>
                  <pic:spPr>
                    <a:xfrm>
                      <a:off x="0" y="0"/>
                      <a:ext cx="792000" cy="792000"/>
                    </a:xfrm>
                    <a:prstGeom prst="rect"/>
                  </pic:spPr>
                </pic:pic>
              </a:graphicData>
            </a:graphic>
          </wp:inline>
        </w:drawing>
      </w:r>
    </w:p>
    <w:p>
      <w:r>
        <w:rPr>
          <w:rFonts w:ascii="Arial" w:hAnsi="Arial"/>
          <w:b w:val="0"/>
          <w:i w:val="0"/>
          <w:color w:val="6B6690"/>
          <w:sz w:val="18"/>
        </w:rPr>
        <w:t>Indian Institute of Technology Gandhinagar · PG Diploma in AI-ML and Agentic AI Engineering · Cohort 2</w:t>
      </w:r>
    </w:p>
    <w:p>
      <w:r>
        <w:rPr>
          <w:rFonts w:ascii="Georgia" w:hAnsi="Georgia"/>
          <w:b/>
          <w:color w:val="1A0F5C"/>
          <w:sz w:val="44"/>
        </w:rPr>
        <w:t>Project document · Build 1 · Brief A · Growth</w:t>
      </w:r>
    </w:p>
    <w:p>
      <w:r>
        <w:rPr>
          <w:rFonts w:ascii="Arial" w:hAnsi="Arial"/>
          <w:b w:val="0"/>
          <w:i/>
          <w:color w:val="6B6690"/>
          <w:sz w:val="20"/>
        </w:rPr>
        <w:t>Filled from the group's notebooks 01 to 06 on the full data pack. Names in angle brackets are for the group to fill. Every number carries its denominator and period.</w:t>
      </w:r>
    </w:p>
    <w:p>
      <w:pPr>
        <w:pStyle w:val="Heading1"/>
      </w:pPr>
      <w:r>
        <w:t>1. Charter</w:t>
      </w:r>
    </w:p>
    <w:tbl>
      <w:tblPr>
        <w:tblStyle w:val="TableGrid"/>
        <w:tblW w:type="auto" w:w="0"/>
        <w:tblLayout w:type="fixed"/>
        <w:tblLook w:firstColumn="1" w:firstRow="1" w:lastColumn="0" w:lastRow="0" w:noHBand="0" w:noVBand="1" w:val="04A0"/>
      </w:tblPr>
      <w:tblGrid>
        <w:gridCol w:w="2094"/>
        <w:gridCol w:w="7878"/>
      </w:tblGrid>
      <w:tr>
        <w:tc>
          <w:tcPr>
            <w:tcW w:type="dxa" w:w="2094"/>
            <w:shd w:val="clear" w:color="auto" w:fill="4E38AB"/>
          </w:tcPr>
          <w:p>
            <w:r>
              <w:rPr>
                <w:rFonts w:ascii="Arial" w:hAnsi="Arial"/>
                <w:b/>
                <w:color w:val="FFFFFF"/>
                <w:sz w:val="19"/>
              </w:rPr>
              <w:t>Field</w:t>
            </w:r>
          </w:p>
        </w:tc>
        <w:tc>
          <w:tcPr>
            <w:tcW w:type="dxa" w:w="7878"/>
            <w:shd w:val="clear" w:color="auto" w:fill="4E38AB"/>
          </w:tcPr>
          <w:p>
            <w:r>
              <w:rPr>
                <w:rFonts w:ascii="Arial" w:hAnsi="Arial"/>
                <w:b/>
                <w:color w:val="FFFFFF"/>
                <w:sz w:val="19"/>
              </w:rPr>
              <w:t>Entry</w:t>
            </w:r>
          </w:p>
        </w:tc>
      </w:tr>
      <w:tr>
        <w:tc>
          <w:tcPr>
            <w:tcW w:type="dxa" w:w="2094"/>
          </w:tcPr>
          <w:p>
            <w:r>
              <w:rPr>
                <w:rFonts w:ascii="Arial" w:hAnsi="Arial"/>
                <w:b/>
                <w:color w:val="1A0F5C"/>
                <w:sz w:val="19"/>
              </w:rPr>
              <w:t>Project</w:t>
            </w:r>
          </w:p>
        </w:tc>
        <w:tc>
          <w:tcPr>
            <w:tcW w:type="dxa" w:w="7878"/>
          </w:tcPr>
          <w:p>
            <w:r>
              <w:rPr>
                <w:rFonts w:ascii="Arial" w:hAnsi="Arial"/>
                <w:color w:val="1A0F5C"/>
                <w:sz w:val="19"/>
              </w:rPr>
              <w:t>Build 1 · Data to Insight in Kalpa Health · Brief A, Growth</w:t>
            </w:r>
          </w:p>
        </w:tc>
      </w:tr>
      <w:tr>
        <w:tc>
          <w:tcPr>
            <w:tcW w:type="dxa" w:w="2094"/>
            <w:shd w:val="clear" w:color="auto" w:fill="F3F1FA"/>
          </w:tcPr>
          <w:p>
            <w:r>
              <w:rPr>
                <w:rFonts w:ascii="Arial" w:hAnsi="Arial"/>
                <w:b/>
                <w:color w:val="1A0F5C"/>
                <w:sz w:val="19"/>
              </w:rPr>
              <w:t>Sponsor</w:t>
            </w:r>
          </w:p>
        </w:tc>
        <w:tc>
          <w:tcPr>
            <w:tcW w:type="dxa" w:w="7878"/>
            <w:shd w:val="clear" w:color="auto" w:fill="F3F1FA"/>
          </w:tcPr>
          <w:p>
            <w:r>
              <w:rPr>
                <w:rFonts w:ascii="Arial" w:hAnsi="Arial"/>
                <w:color w:val="1A0F5C"/>
                <w:sz w:val="19"/>
              </w:rPr>
              <w:t>Dr Priya Menon, COO, Kalpa Health</w:t>
            </w:r>
          </w:p>
        </w:tc>
      </w:tr>
      <w:tr>
        <w:tc>
          <w:tcPr>
            <w:tcW w:type="dxa" w:w="2094"/>
          </w:tcPr>
          <w:p>
            <w:r>
              <w:rPr>
                <w:rFonts w:ascii="Arial" w:hAnsi="Arial"/>
                <w:b/>
                <w:color w:val="1A0F5C"/>
                <w:sz w:val="19"/>
              </w:rPr>
              <w:t>Reviewers</w:t>
            </w:r>
          </w:p>
        </w:tc>
        <w:tc>
          <w:tcPr>
            <w:tcW w:type="dxa" w:w="7878"/>
          </w:tcPr>
          <w:p>
            <w:r>
              <w:rPr>
                <w:rFonts w:ascii="Arial" w:hAnsi="Arial"/>
                <w:color w:val="1A0F5C"/>
                <w:sz w:val="19"/>
              </w:rPr>
              <w:t>The finance controller (every number traces to rows); the six city heads (the split by city)</w:t>
            </w:r>
          </w:p>
        </w:tc>
      </w:tr>
      <w:tr>
        <w:tc>
          <w:tcPr>
            <w:tcW w:type="dxa" w:w="2094"/>
            <w:shd w:val="clear" w:color="auto" w:fill="F3F1FA"/>
          </w:tcPr>
          <w:p>
            <w:r>
              <w:rPr>
                <w:rFonts w:ascii="Arial" w:hAnsi="Arial"/>
                <w:b/>
                <w:color w:val="1A0F5C"/>
                <w:sz w:val="19"/>
              </w:rPr>
              <w:t>Group &lt;N&gt;</w:t>
            </w:r>
          </w:p>
        </w:tc>
        <w:tc>
          <w:tcPr>
            <w:tcW w:type="dxa" w:w="7878"/>
            <w:shd w:val="clear" w:color="auto" w:fill="F3F1FA"/>
          </w:tcPr>
          <w:p>
            <w:r>
              <w:rPr>
                <w:rFonts w:ascii="Arial" w:hAnsi="Arial"/>
                <w:color w:val="1A0F5C"/>
                <w:sz w:val="19"/>
              </w:rPr>
              <w:t>Rohit (lead, the tree and the claim); &lt;member 2&gt; (loading, validation, identity rules); &lt;member 3&gt; (profiling, decisions log, cold run); &lt;member 4&gt; (SQL, slides, video edit)</w:t>
            </w:r>
          </w:p>
        </w:tc>
      </w:tr>
      <w:tr>
        <w:tc>
          <w:tcPr>
            <w:tcW w:type="dxa" w:w="2094"/>
          </w:tcPr>
          <w:p>
            <w:r>
              <w:rPr>
                <w:rFonts w:ascii="Arial" w:hAnsi="Arial"/>
                <w:b/>
                <w:color w:val="1A0F5C"/>
                <w:sz w:val="19"/>
              </w:rPr>
              <w:t>Repository</w:t>
            </w:r>
          </w:p>
        </w:tc>
        <w:tc>
          <w:tcPr>
            <w:tcW w:type="dxa" w:w="7878"/>
          </w:tcPr>
          <w:p>
            <w:r>
              <w:rPr>
                <w:rFonts w:ascii="Arial" w:hAnsi="Arial"/>
                <w:color w:val="1A0F5C"/>
                <w:sz w:val="19"/>
              </w:rPr>
              <w:t>github.com/&lt;org&gt;/c2-build1-brief-a-group-&lt;n&gt; (public)</w:t>
            </w:r>
          </w:p>
        </w:tc>
      </w:tr>
      <w:tr>
        <w:tc>
          <w:tcPr>
            <w:tcW w:type="dxa" w:w="2094"/>
            <w:shd w:val="clear" w:color="auto" w:fill="F3F1FA"/>
          </w:tcPr>
          <w:p>
            <w:r>
              <w:rPr>
                <w:rFonts w:ascii="Arial" w:hAnsi="Arial"/>
                <w:b/>
                <w:color w:val="1A0F5C"/>
                <w:sz w:val="19"/>
              </w:rPr>
              <w:t>Working days</w:t>
            </w:r>
          </w:p>
        </w:tc>
        <w:tc>
          <w:tcPr>
            <w:tcW w:type="dxa" w:w="7878"/>
            <w:shd w:val="clear" w:color="auto" w:fill="F3F1FA"/>
          </w:tcPr>
          <w:p>
            <w:r>
              <w:rPr>
                <w:rFonts w:ascii="Arial" w:hAnsi="Arial"/>
                <w:color w:val="1A0F5C"/>
                <w:sz w:val="19"/>
              </w:rPr>
              <w:t>Three to four, ending with the presentation</w:t>
            </w:r>
          </w:p>
        </w:tc>
      </w:tr>
      <w:tr>
        <w:tc>
          <w:tcPr>
            <w:tcW w:type="dxa" w:w="2094"/>
          </w:tcPr>
          <w:p>
            <w:r>
              <w:rPr>
                <w:rFonts w:ascii="Arial" w:hAnsi="Arial"/>
                <w:b/>
                <w:color w:val="1A0F5C"/>
                <w:sz w:val="19"/>
              </w:rPr>
              <w:t>Charter committed</w:t>
            </w:r>
          </w:p>
        </w:tc>
        <w:tc>
          <w:tcPr>
            <w:tcW w:type="dxa" w:w="7878"/>
          </w:tcPr>
          <w:p>
            <w:r>
              <w:rPr>
                <w:rFonts w:ascii="Arial" w:hAnsi="Arial"/>
                <w:color w:val="1A0F5C"/>
                <w:sz w:val="19"/>
              </w:rPr>
              <w:t>Day 1, commit &lt;sha&gt;</w:t>
            </w:r>
          </w:p>
        </w:tc>
      </w:tr>
    </w:tbl>
    <w:p/>
    <w:p>
      <w:pPr>
        <w:pStyle w:val="Heading1"/>
      </w:pPr>
      <w:r>
        <w:t>2. The question</w:t>
      </w:r>
    </w:p>
    <w:p>
      <w:r>
        <w:rPr>
          <w:b/>
          <w:i w:val="0"/>
        </w:rPr>
        <w:t xml:space="preserve">In the sponsor's words: </w:t>
      </w:r>
      <w:r>
        <w:rPr>
          <w:b w:val="0"/>
          <w:i w:val="0"/>
        </w:rPr>
        <w:t>“Show me the part of my business that is short, by how much, and where.”</w:t>
      </w:r>
    </w:p>
    <w:p>
      <w:r>
        <w:rPr>
          <w:b/>
          <w:i w:val="0"/>
        </w:rPr>
        <w:t xml:space="preserve">In ours: </w:t>
      </w:r>
      <w:r>
        <w:rPr>
          <w:b w:val="0"/>
          <w:i w:val="0"/>
        </w:rPr>
        <w:t>the board approved +18 percent test volume for the first half of 2026, set city by city on last year's mix, and sized staff, reagents and machines for it. The half closed at +5 percent. The dashboard shows one monthly total, so nobody can say whether fewer people came, the same people came less often, or each visit carried fewer tests. The decision that hangs on the answer is where to act: win patients (acquisition or retention), bring them back more often (frequency), or sell more per visit (mix). Each has a different owner and a different cost, and the fixed costs sized for 18 percent are already costing margin.</w:t>
      </w:r>
    </w:p>
    <w:p>
      <w:r>
        <w:rPr>
          <w:b/>
          <w:i w:val="0"/>
        </w:rPr>
        <w:t xml:space="preserve">The question she did not ask: </w:t>
      </w:r>
      <w:r>
        <w:rPr>
          <w:b w:val="0"/>
          <w:i w:val="0"/>
        </w:rPr>
        <w:t>whether the plan itself was achievable. Even Kalpa's best city grew 10.5 percent and the listed peers grew test or sample volume by about 11 percent in the overlapping quarter; a plan of +18.9 percent over last year's actual volume was ahead of the whole market. The board needs to hear how much of the 13-point gap is execution and how much is the plan.</w:t>
      </w:r>
    </w:p>
    <w:p>
      <w:pPr>
        <w:pStyle w:val="Heading1"/>
      </w:pPr>
      <w:r>
        <w:t>3. Deliverables and acceptance</w:t>
      </w:r>
    </w:p>
    <w:tbl>
      <w:tblPr>
        <w:tblStyle w:val="TableGrid"/>
        <w:tblW w:type="auto" w:w="0"/>
        <w:tblLayout w:type="fixed"/>
        <w:tblLook w:firstColumn="1" w:firstRow="1" w:lastColumn="0" w:lastRow="0" w:noHBand="0" w:noVBand="1" w:val="04A0"/>
      </w:tblPr>
      <w:tblGrid>
        <w:gridCol w:w="554"/>
        <w:gridCol w:w="2677"/>
        <w:gridCol w:w="4893"/>
        <w:gridCol w:w="1848"/>
      </w:tblGrid>
      <w:tr>
        <w:tc>
          <w:tcPr>
            <w:tcW w:type="dxa" w:w="554"/>
            <w:shd w:val="clear" w:color="auto" w:fill="4E38AB"/>
          </w:tcPr>
          <w:p>
            <w:r>
              <w:rPr>
                <w:rFonts w:ascii="Arial" w:hAnsi="Arial"/>
                <w:b/>
                <w:color w:val="FFFFFF"/>
                <w:sz w:val="19"/>
              </w:rPr>
              <w:t>#</w:t>
            </w:r>
          </w:p>
        </w:tc>
        <w:tc>
          <w:tcPr>
            <w:tcW w:type="dxa" w:w="2677"/>
            <w:shd w:val="clear" w:color="auto" w:fill="4E38AB"/>
          </w:tcPr>
          <w:p>
            <w:r>
              <w:rPr>
                <w:rFonts w:ascii="Arial" w:hAnsi="Arial"/>
                <w:b/>
                <w:color w:val="FFFFFF"/>
                <w:sz w:val="19"/>
              </w:rPr>
              <w:t>Deliverable</w:t>
            </w:r>
          </w:p>
        </w:tc>
        <w:tc>
          <w:tcPr>
            <w:tcW w:type="dxa" w:w="4893"/>
            <w:shd w:val="clear" w:color="auto" w:fill="4E38AB"/>
          </w:tcPr>
          <w:p>
            <w:r>
              <w:rPr>
                <w:rFonts w:ascii="Arial" w:hAnsi="Arial"/>
                <w:b/>
                <w:color w:val="FFFFFF"/>
                <w:sz w:val="19"/>
              </w:rPr>
              <w:t>Acceptance test</w:t>
            </w:r>
          </w:p>
        </w:tc>
        <w:tc>
          <w:tcPr>
            <w:tcW w:type="dxa" w:w="1848"/>
            <w:shd w:val="clear" w:color="auto" w:fill="4E38AB"/>
          </w:tcPr>
          <w:p>
            <w:r>
              <w:rPr>
                <w:rFonts w:ascii="Arial" w:hAnsi="Arial"/>
                <w:b/>
                <w:color w:val="FFFFFF"/>
                <w:sz w:val="19"/>
              </w:rPr>
              <w:t>Owner</w:t>
            </w:r>
          </w:p>
        </w:tc>
      </w:tr>
      <w:tr>
        <w:tc>
          <w:tcPr>
            <w:tcW w:type="dxa" w:w="554"/>
          </w:tcPr>
          <w:p>
            <w:r>
              <w:rPr>
                <w:rFonts w:ascii="Arial" w:hAnsi="Arial"/>
                <w:color w:val="1A0F5C"/>
                <w:sz w:val="19"/>
              </w:rPr>
              <w:t>D1</w:t>
            </w:r>
          </w:p>
        </w:tc>
        <w:tc>
          <w:tcPr>
            <w:tcW w:type="dxa" w:w="2677"/>
          </w:tcPr>
          <w:p>
            <w:r>
              <w:rPr>
                <w:rFonts w:ascii="Arial" w:hAnsi="Arial"/>
                <w:color w:val="1A0F5C"/>
                <w:sz w:val="19"/>
              </w:rPr>
              <w:t>The claim on slide 3</w:t>
            </w:r>
          </w:p>
        </w:tc>
        <w:tc>
          <w:tcPr>
            <w:tcW w:type="dxa" w:w="4893"/>
          </w:tcPr>
          <w:p>
            <w:r>
              <w:rPr>
                <w:rFonts w:ascii="Arial" w:hAnsi="Arial"/>
                <w:color w:val="1A0F5C"/>
                <w:sz w:val="19"/>
              </w:rPr>
              <w:t>Dr Menon can repeat it to the board without a follow-up she cannot answer</w:t>
            </w:r>
          </w:p>
        </w:tc>
        <w:tc>
          <w:tcPr>
            <w:tcW w:type="dxa" w:w="1848"/>
          </w:tcPr>
          <w:p>
            <w:r>
              <w:rPr>
                <w:rFonts w:ascii="Arial" w:hAnsi="Arial"/>
                <w:color w:val="1A0F5C"/>
                <w:sz w:val="19"/>
              </w:rPr>
              <w:t>Rohit</w:t>
            </w:r>
          </w:p>
        </w:tc>
      </w:tr>
      <w:tr>
        <w:tc>
          <w:tcPr>
            <w:tcW w:type="dxa" w:w="554"/>
            <w:shd w:val="clear" w:color="auto" w:fill="F3F1FA"/>
          </w:tcPr>
          <w:p>
            <w:r>
              <w:rPr>
                <w:rFonts w:ascii="Arial" w:hAnsi="Arial"/>
                <w:color w:val="1A0F5C"/>
                <w:sz w:val="19"/>
              </w:rPr>
              <w:t>D2</w:t>
            </w:r>
          </w:p>
        </w:tc>
        <w:tc>
          <w:tcPr>
            <w:tcW w:type="dxa" w:w="2677"/>
            <w:shd w:val="clear" w:color="auto" w:fill="F3F1FA"/>
          </w:tcPr>
          <w:p>
            <w:r>
              <w:rPr>
                <w:rFonts w:ascii="Arial" w:hAnsi="Arial"/>
                <w:color w:val="1A0F5C"/>
                <w:sz w:val="19"/>
              </w:rPr>
              <w:t>Notebooks 01 to 06 and sql/06_growth.sql</w:t>
            </w:r>
          </w:p>
        </w:tc>
        <w:tc>
          <w:tcPr>
            <w:tcW w:type="dxa" w:w="4893"/>
            <w:shd w:val="clear" w:color="auto" w:fill="F3F1FA"/>
          </w:tcPr>
          <w:p>
            <w:r>
              <w:rPr>
                <w:rFonts w:ascii="Arial" w:hAnsi="Arial"/>
                <w:color w:val="1A0F5C"/>
                <w:sz w:val="19"/>
              </w:rPr>
              <w:t>&lt;member 3&gt;'s cold run on a fresh Codespace prints 455,383 / 433,611 = +5.0 percent</w:t>
            </w:r>
          </w:p>
        </w:tc>
        <w:tc>
          <w:tcPr>
            <w:tcW w:type="dxa" w:w="1848"/>
            <w:shd w:val="clear" w:color="auto" w:fill="F3F1FA"/>
          </w:tcPr>
          <w:p>
            <w:r>
              <w:rPr>
                <w:rFonts w:ascii="Arial" w:hAnsi="Arial"/>
                <w:color w:val="1A0F5C"/>
                <w:sz w:val="19"/>
              </w:rPr>
              <w:t>&lt;member 2&gt;, &lt;member 4&gt;</w:t>
            </w:r>
          </w:p>
        </w:tc>
      </w:tr>
      <w:tr>
        <w:tc>
          <w:tcPr>
            <w:tcW w:type="dxa" w:w="554"/>
          </w:tcPr>
          <w:p>
            <w:r>
              <w:rPr>
                <w:rFonts w:ascii="Arial" w:hAnsi="Arial"/>
                <w:color w:val="1A0F5C"/>
                <w:sz w:val="19"/>
              </w:rPr>
              <w:t>D3</w:t>
            </w:r>
          </w:p>
        </w:tc>
        <w:tc>
          <w:tcPr>
            <w:tcW w:type="dxa" w:w="2677"/>
          </w:tcPr>
          <w:p>
            <w:r>
              <w:rPr>
                <w:rFonts w:ascii="Arial" w:hAnsi="Arial"/>
                <w:color w:val="1A0F5C"/>
                <w:sz w:val="19"/>
              </w:rPr>
              <w:t>The three logs</w:t>
            </w:r>
          </w:p>
        </w:tc>
        <w:tc>
          <w:tcPr>
            <w:tcW w:type="dxa" w:w="4893"/>
          </w:tcPr>
          <w:p>
            <w:r>
              <w:rPr>
                <w:rFonts w:ascii="Arial" w:hAnsi="Arial"/>
                <w:color w:val="1A0F5C"/>
                <w:sz w:val="19"/>
              </w:rPr>
              <w:t>Every branch of the tree traces to rows; every cleaning rule has a reason and an effect on the headline</w:t>
            </w:r>
          </w:p>
        </w:tc>
        <w:tc>
          <w:tcPr>
            <w:tcW w:type="dxa" w:w="1848"/>
          </w:tcPr>
          <w:p>
            <w:r>
              <w:rPr>
                <w:rFonts w:ascii="Arial" w:hAnsi="Arial"/>
                <w:color w:val="1A0F5C"/>
                <w:sz w:val="19"/>
              </w:rPr>
              <w:t>&lt;member 3&gt;</w:t>
            </w:r>
          </w:p>
        </w:tc>
      </w:tr>
      <w:tr>
        <w:tc>
          <w:tcPr>
            <w:tcW w:type="dxa" w:w="554"/>
            <w:shd w:val="clear" w:color="auto" w:fill="F3F1FA"/>
          </w:tcPr>
          <w:p>
            <w:r>
              <w:rPr>
                <w:rFonts w:ascii="Arial" w:hAnsi="Arial"/>
                <w:color w:val="1A0F5C"/>
                <w:sz w:val="19"/>
              </w:rPr>
              <w:t>D4</w:t>
            </w:r>
          </w:p>
        </w:tc>
        <w:tc>
          <w:tcPr>
            <w:tcW w:type="dxa" w:w="2677"/>
            <w:shd w:val="clear" w:color="auto" w:fill="F3F1FA"/>
          </w:tcPr>
          <w:p>
            <w:r>
              <w:rPr>
                <w:rFonts w:ascii="Arial" w:hAnsi="Arial"/>
                <w:color w:val="1A0F5C"/>
                <w:sz w:val="19"/>
              </w:rPr>
              <w:t>The action on slide 6</w:t>
            </w:r>
          </w:p>
        </w:tc>
        <w:tc>
          <w:tcPr>
            <w:tcW w:type="dxa" w:w="4893"/>
            <w:shd w:val="clear" w:color="auto" w:fill="F3F1FA"/>
          </w:tcPr>
          <w:p>
            <w:r>
              <w:rPr>
                <w:rFonts w:ascii="Arial" w:hAnsi="Arial"/>
                <w:color w:val="1A0F5C"/>
                <w:sz w:val="19"/>
              </w:rPr>
              <w:t>Says which branch and which cities to act on, what it costs, and what being wrong costs</w:t>
            </w:r>
          </w:p>
        </w:tc>
        <w:tc>
          <w:tcPr>
            <w:tcW w:type="dxa" w:w="1848"/>
            <w:shd w:val="clear" w:color="auto" w:fill="F3F1FA"/>
          </w:tcPr>
          <w:p>
            <w:r>
              <w:rPr>
                <w:rFonts w:ascii="Arial" w:hAnsi="Arial"/>
                <w:color w:val="1A0F5C"/>
                <w:sz w:val="19"/>
              </w:rPr>
              <w:t>Rohit</w:t>
            </w:r>
          </w:p>
        </w:tc>
      </w:tr>
      <w:tr>
        <w:tc>
          <w:tcPr>
            <w:tcW w:type="dxa" w:w="554"/>
          </w:tcPr>
          <w:p>
            <w:r>
              <w:rPr>
                <w:rFonts w:ascii="Arial" w:hAnsi="Arial"/>
                <w:color w:val="1A0F5C"/>
                <w:sz w:val="19"/>
              </w:rPr>
              <w:t>D5</w:t>
            </w:r>
          </w:p>
        </w:tc>
        <w:tc>
          <w:tcPr>
            <w:tcW w:type="dxa" w:w="2677"/>
          </w:tcPr>
          <w:p>
            <w:r>
              <w:rPr>
                <w:rFonts w:ascii="Arial" w:hAnsi="Arial"/>
                <w:color w:val="1A0F5C"/>
                <w:sz w:val="19"/>
              </w:rPr>
              <w:t>Write-ups and video</w:t>
            </w:r>
          </w:p>
        </w:tc>
        <w:tc>
          <w:tcPr>
            <w:tcW w:type="dxa" w:w="4893"/>
          </w:tcPr>
          <w:p>
            <w:r>
              <w:rPr>
                <w:rFonts w:ascii="Arial" w:hAnsi="Arial"/>
                <w:color w:val="1A0F5C"/>
                <w:sz w:val="19"/>
              </w:rPr>
              <w:t>One section and one segment per member, each in the author's own commits</w:t>
            </w:r>
          </w:p>
        </w:tc>
        <w:tc>
          <w:tcPr>
            <w:tcW w:type="dxa" w:w="1848"/>
          </w:tcPr>
          <w:p>
            <w:r>
              <w:rPr>
                <w:rFonts w:ascii="Arial" w:hAnsi="Arial"/>
                <w:color w:val="1A0F5C"/>
                <w:sz w:val="19"/>
              </w:rPr>
              <w:t>all</w:t>
            </w:r>
          </w:p>
        </w:tc>
      </w:tr>
    </w:tbl>
    <w:p/>
    <w:p>
      <w:pPr>
        <w:pStyle w:val="Heading1"/>
      </w:pPr>
      <w:r>
        <w:t>4. Translation and requirements</w:t>
      </w:r>
    </w:p>
    <w:tbl>
      <w:tblPr>
        <w:tblStyle w:val="TableGrid"/>
        <w:tblW w:type="auto" w:w="0"/>
        <w:tblLayout w:type="fixed"/>
        <w:tblLook w:firstColumn="1" w:firstRow="1" w:lastColumn="0" w:lastRow="0" w:noHBand="0" w:noVBand="1" w:val="04A0"/>
      </w:tblPr>
      <w:tblGrid>
        <w:gridCol w:w="2308"/>
        <w:gridCol w:w="3970"/>
        <w:gridCol w:w="3694"/>
      </w:tblGrid>
      <w:tr>
        <w:tc>
          <w:tcPr>
            <w:tcW w:type="dxa" w:w="2308"/>
            <w:shd w:val="clear" w:color="auto" w:fill="4E38AB"/>
          </w:tcPr>
          <w:p>
            <w:r>
              <w:rPr>
                <w:rFonts w:ascii="Arial" w:hAnsi="Arial"/>
                <w:b/>
                <w:color w:val="FFFFFF"/>
                <w:sz w:val="19"/>
              </w:rPr>
              <w:t>Her words</w:t>
            </w:r>
          </w:p>
        </w:tc>
        <w:tc>
          <w:tcPr>
            <w:tcW w:type="dxa" w:w="3970"/>
            <w:shd w:val="clear" w:color="auto" w:fill="4E38AB"/>
          </w:tcPr>
          <w:p>
            <w:r>
              <w:rPr>
                <w:rFonts w:ascii="Arial" w:hAnsi="Arial"/>
                <w:b/>
                <w:color w:val="FFFFFF"/>
                <w:sz w:val="19"/>
              </w:rPr>
              <w:t>Our method</w:t>
            </w:r>
          </w:p>
        </w:tc>
        <w:tc>
          <w:tcPr>
            <w:tcW w:type="dxa" w:w="3694"/>
            <w:shd w:val="clear" w:color="auto" w:fill="4E38AB"/>
          </w:tcPr>
          <w:p>
            <w:r>
              <w:rPr>
                <w:rFonts w:ascii="Arial" w:hAnsi="Arial"/>
                <w:b/>
                <w:color w:val="FFFFFF"/>
                <w:sz w:val="19"/>
              </w:rPr>
              <w:t>Where the vocabulary changes</w:t>
            </w:r>
          </w:p>
        </w:tc>
      </w:tr>
      <w:tr>
        <w:tc>
          <w:tcPr>
            <w:tcW w:type="dxa" w:w="2308"/>
          </w:tcPr>
          <w:p>
            <w:r>
              <w:rPr>
                <w:rFonts w:ascii="Arial" w:hAnsi="Arial"/>
                <w:color w:val="1A0F5C"/>
                <w:sz w:val="19"/>
              </w:rPr>
              <w:t>“The part of my business that is short”</w:t>
            </w:r>
          </w:p>
        </w:tc>
        <w:tc>
          <w:tcPr>
            <w:tcW w:type="dxa" w:w="3970"/>
          </w:tcPr>
          <w:p>
            <w:r>
              <w:rPr>
                <w:rFonts w:ascii="Arial" w:hAnsi="Arial"/>
                <w:color w:val="1A0F5C"/>
                <w:sz w:val="19"/>
              </w:rPr>
              <w:t>The tree from Week 1: test volume = patients × visits per patient × tests per visit, with log growth so the branches add exactly</w:t>
            </w:r>
          </w:p>
        </w:tc>
        <w:tc>
          <w:tcPr>
            <w:tcW w:type="dxa" w:w="3694"/>
          </w:tcPr>
          <w:p>
            <w:r>
              <w:rPr>
                <w:rFonts w:ascii="Arial" w:hAnsi="Arial"/>
                <w:color w:val="1A0F5C"/>
                <w:sz w:val="19"/>
              </w:rPr>
              <w:t>A retail basket is chosen by the shopper; a lab basket is mostly ordered by a doctor. A visit is a booking, not a footfall.</w:t>
            </w:r>
          </w:p>
        </w:tc>
      </w:tr>
      <w:tr>
        <w:tc>
          <w:tcPr>
            <w:tcW w:type="dxa" w:w="2308"/>
            <w:shd w:val="clear" w:color="auto" w:fill="F3F1FA"/>
          </w:tcPr>
          <w:p>
            <w:r>
              <w:rPr>
                <w:rFonts w:ascii="Arial" w:hAnsi="Arial"/>
                <w:color w:val="1A0F5C"/>
                <w:sz w:val="19"/>
              </w:rPr>
              <w:t>“By how much”</w:t>
            </w:r>
          </w:p>
        </w:tc>
        <w:tc>
          <w:tcPr>
            <w:tcW w:type="dxa" w:w="3970"/>
            <w:shd w:val="clear" w:color="auto" w:fill="F3F1FA"/>
          </w:tcPr>
          <w:p>
            <w:r>
              <w:rPr>
                <w:rFonts w:ascii="Arial" w:hAnsi="Arial"/>
                <w:color w:val="1A0F5C"/>
                <w:sz w:val="19"/>
              </w:rPr>
              <w:t>Each branch's growth for both halves, and the shortfall against the plan in tests and in points</w:t>
            </w:r>
          </w:p>
        </w:tc>
        <w:tc>
          <w:tcPr>
            <w:tcW w:type="dxa" w:w="3694"/>
            <w:shd w:val="clear" w:color="auto" w:fill="F3F1FA"/>
          </w:tcPr>
          <w:p>
            <w:r>
              <w:rPr>
                <w:rFonts w:ascii="Arial" w:hAnsi="Arial"/>
                <w:color w:val="1A0F5C"/>
                <w:sz w:val="19"/>
              </w:rPr>
              <w:t>The plan is in test volume, so revenue per test sits on a separate branch</w:t>
            </w:r>
          </w:p>
        </w:tc>
      </w:tr>
      <w:tr>
        <w:tc>
          <w:tcPr>
            <w:tcW w:type="dxa" w:w="2308"/>
          </w:tcPr>
          <w:p>
            <w:r>
              <w:rPr>
                <w:rFonts w:ascii="Arial" w:hAnsi="Arial"/>
                <w:color w:val="1A0F5C"/>
                <w:sz w:val="19"/>
              </w:rPr>
              <w:t>“And where”</w:t>
            </w:r>
          </w:p>
        </w:tc>
        <w:tc>
          <w:tcPr>
            <w:tcW w:type="dxa" w:w="3970"/>
          </w:tcPr>
          <w:p>
            <w:r>
              <w:rPr>
                <w:rFonts w:ascii="Arial" w:hAnsi="Arial"/>
                <w:color w:val="1A0F5C"/>
                <w:sz w:val="19"/>
              </w:rPr>
              <w:t>The same tree by city, then by channel (clinic and home collection), then city × channel</w:t>
            </w:r>
          </w:p>
        </w:tc>
        <w:tc>
          <w:tcPr>
            <w:tcW w:type="dxa" w:w="3694"/>
          </w:tcPr>
          <w:p>
            <w:r>
              <w:rPr>
                <w:rFonts w:ascii="Arial" w:hAnsi="Arial"/>
                <w:color w:val="1A0F5C"/>
                <w:sz w:val="19"/>
              </w:rPr>
              <w:t>The plan was set per city, so city is the unit a COO can hold someone to</w:t>
            </w:r>
          </w:p>
        </w:tc>
      </w:tr>
    </w:tbl>
    <w:p/>
    <w:tbl>
      <w:tblPr>
        <w:tblStyle w:val="TableGrid"/>
        <w:tblW w:type="auto" w:w="0"/>
        <w:tblLayout w:type="fixed"/>
        <w:tblLook w:firstColumn="1" w:firstRow="1" w:lastColumn="0" w:lastRow="0" w:noHBand="0" w:noVBand="1" w:val="04A0"/>
      </w:tblPr>
      <w:tblGrid>
        <w:gridCol w:w="646"/>
        <w:gridCol w:w="4432"/>
        <w:gridCol w:w="4894"/>
      </w:tblGrid>
      <w:tr>
        <w:tc>
          <w:tcPr>
            <w:tcW w:type="dxa" w:w="646"/>
            <w:shd w:val="clear" w:color="auto" w:fill="4E38AB"/>
          </w:tcPr>
          <w:p>
            <w:r>
              <w:rPr>
                <w:rFonts w:ascii="Arial" w:hAnsi="Arial"/>
                <w:b/>
                <w:color w:val="FFFFFF"/>
                <w:sz w:val="19"/>
              </w:rPr>
              <w:t>#</w:t>
            </w:r>
          </w:p>
        </w:tc>
        <w:tc>
          <w:tcPr>
            <w:tcW w:type="dxa" w:w="4432"/>
            <w:shd w:val="clear" w:color="auto" w:fill="4E38AB"/>
          </w:tcPr>
          <w:p>
            <w:r>
              <w:rPr>
                <w:rFonts w:ascii="Arial" w:hAnsi="Arial"/>
                <w:b/>
                <w:color w:val="FFFFFF"/>
                <w:sz w:val="19"/>
              </w:rPr>
              <w:t>Requirement</w:t>
            </w:r>
          </w:p>
        </w:tc>
        <w:tc>
          <w:tcPr>
            <w:tcW w:type="dxa" w:w="4894"/>
            <w:shd w:val="clear" w:color="auto" w:fill="4E38AB"/>
          </w:tcPr>
          <w:p>
            <w:r>
              <w:rPr>
                <w:rFonts w:ascii="Arial" w:hAnsi="Arial"/>
                <w:b/>
                <w:color w:val="FFFFFF"/>
                <w:sz w:val="19"/>
              </w:rPr>
              <w:t>How we show it is met</w:t>
            </w:r>
          </w:p>
        </w:tc>
      </w:tr>
      <w:tr>
        <w:tc>
          <w:tcPr>
            <w:tcW w:type="dxa" w:w="646"/>
          </w:tcPr>
          <w:p>
            <w:r>
              <w:rPr>
                <w:rFonts w:ascii="Arial" w:hAnsi="Arial"/>
                <w:color w:val="1A0F5C"/>
                <w:sz w:val="19"/>
              </w:rPr>
              <w:t>F1</w:t>
            </w:r>
          </w:p>
        </w:tc>
        <w:tc>
          <w:tcPr>
            <w:tcW w:type="dxa" w:w="4432"/>
          </w:tcPr>
          <w:p>
            <w:r>
              <w:rPr>
                <w:rFonts w:ascii="Arial" w:hAnsi="Arial"/>
                <w:color w:val="1A0F5C"/>
                <w:sz w:val="19"/>
              </w:rPr>
              <w:t>Reproduce Dr Menon's 5 percent, or explain the difference</w:t>
            </w:r>
          </w:p>
        </w:tc>
        <w:tc>
          <w:tcPr>
            <w:tcW w:type="dxa" w:w="4894"/>
          </w:tcPr>
          <w:p>
            <w:r>
              <w:rPr>
                <w:rFonts w:ascii="Arial" w:hAnsi="Arial"/>
                <w:color w:val="1A0F5C"/>
                <w:sz w:val="19"/>
              </w:rPr>
              <w:t>Notebook 06 prints +5.0 percent (455,383 against 433,611 tests); notebook 04 reproduces both totals in SQL</w:t>
            </w:r>
          </w:p>
        </w:tc>
      </w:tr>
      <w:tr>
        <w:tc>
          <w:tcPr>
            <w:tcW w:type="dxa" w:w="646"/>
            <w:shd w:val="clear" w:color="auto" w:fill="F3F1FA"/>
          </w:tcPr>
          <w:p>
            <w:r>
              <w:rPr>
                <w:rFonts w:ascii="Arial" w:hAnsi="Arial"/>
                <w:color w:val="1A0F5C"/>
                <w:sz w:val="19"/>
              </w:rPr>
              <w:t>F2</w:t>
            </w:r>
          </w:p>
        </w:tc>
        <w:tc>
          <w:tcPr>
            <w:tcW w:type="dxa" w:w="4432"/>
            <w:shd w:val="clear" w:color="auto" w:fill="F3F1FA"/>
          </w:tcPr>
          <w:p>
            <w:r>
              <w:rPr>
                <w:rFonts w:ascii="Arial" w:hAnsi="Arial"/>
                <w:color w:val="1A0F5C"/>
                <w:sz w:val="19"/>
              </w:rPr>
              <w:t>Split the gap across the branches, multiplying back to the total</w:t>
            </w:r>
          </w:p>
        </w:tc>
        <w:tc>
          <w:tcPr>
            <w:tcW w:type="dxa" w:w="4894"/>
            <w:shd w:val="clear" w:color="auto" w:fill="F3F1FA"/>
          </w:tcPr>
          <w:p>
            <w:r>
              <w:rPr>
                <w:rFonts w:ascii="Arial" w:hAnsi="Arial"/>
                <w:color w:val="1A0F5C"/>
                <w:sz w:val="19"/>
              </w:rPr>
              <w:t>checks.check on the log decomposition passes: +0.0370 − 0.0097 + 0.0217 = +0.0490</w:t>
            </w:r>
          </w:p>
        </w:tc>
      </w:tr>
      <w:tr>
        <w:tc>
          <w:tcPr>
            <w:tcW w:type="dxa" w:w="646"/>
          </w:tcPr>
          <w:p>
            <w:r>
              <w:rPr>
                <w:rFonts w:ascii="Arial" w:hAnsi="Arial"/>
                <w:color w:val="1A0F5C"/>
                <w:sz w:val="19"/>
              </w:rPr>
              <w:t>F3</w:t>
            </w:r>
          </w:p>
        </w:tc>
        <w:tc>
          <w:tcPr>
            <w:tcW w:type="dxa" w:w="4432"/>
          </w:tcPr>
          <w:p>
            <w:r>
              <w:rPr>
                <w:rFonts w:ascii="Arial" w:hAnsi="Arial"/>
                <w:color w:val="1A0F5C"/>
                <w:sz w:val="19"/>
              </w:rPr>
              <w:t>Name the cities and channel that own the gap, with their share</w:t>
            </w:r>
          </w:p>
        </w:tc>
        <w:tc>
          <w:tcPr>
            <w:tcW w:type="dxa" w:w="4894"/>
          </w:tcPr>
          <w:p>
            <w:r>
              <w:rPr>
                <w:rFonts w:ascii="Arial" w:hAnsi="Arial"/>
                <w:color w:val="1A0F5C"/>
                <w:sz w:val="19"/>
              </w:rPr>
              <w:t>Section 10 tables, each with plan, actual and shortfall</w:t>
            </w:r>
          </w:p>
        </w:tc>
      </w:tr>
      <w:tr>
        <w:tc>
          <w:tcPr>
            <w:tcW w:type="dxa" w:w="646"/>
            <w:shd w:val="clear" w:color="auto" w:fill="F3F1FA"/>
          </w:tcPr>
          <w:p>
            <w:r>
              <w:rPr>
                <w:rFonts w:ascii="Arial" w:hAnsi="Arial"/>
                <w:color w:val="1A0F5C"/>
                <w:sz w:val="19"/>
              </w:rPr>
              <w:t>N1</w:t>
            </w:r>
          </w:p>
        </w:tc>
        <w:tc>
          <w:tcPr>
            <w:tcW w:type="dxa" w:w="4432"/>
            <w:shd w:val="clear" w:color="auto" w:fill="F3F1FA"/>
          </w:tcPr>
          <w:p>
            <w:r>
              <w:rPr>
                <w:rFonts w:ascii="Arial" w:hAnsi="Arial"/>
                <w:color w:val="1A0F5C"/>
                <w:sz w:val="19"/>
              </w:rPr>
              <w:t>Cold run under ten minutes with no manual edits</w:t>
            </w:r>
          </w:p>
        </w:tc>
        <w:tc>
          <w:tcPr>
            <w:tcW w:type="dxa" w:w="4894"/>
            <w:shd w:val="clear" w:color="auto" w:fill="F3F1FA"/>
          </w:tcPr>
          <w:p>
            <w:r>
              <w:rPr>
                <w:rFonts w:ascii="Arial" w:hAnsi="Arial"/>
                <w:color w:val="1A0F5C"/>
                <w:sz w:val="19"/>
              </w:rPr>
              <w:t>Logged in the decisions log by someone who did not write the code</w:t>
            </w:r>
          </w:p>
        </w:tc>
      </w:tr>
      <w:tr>
        <w:tc>
          <w:tcPr>
            <w:tcW w:type="dxa" w:w="646"/>
          </w:tcPr>
          <w:p>
            <w:r>
              <w:rPr>
                <w:rFonts w:ascii="Arial" w:hAnsi="Arial"/>
                <w:color w:val="1A0F5C"/>
                <w:sz w:val="19"/>
              </w:rPr>
              <w:t>N2</w:t>
            </w:r>
          </w:p>
        </w:tc>
        <w:tc>
          <w:tcPr>
            <w:tcW w:type="dxa" w:w="4432"/>
          </w:tcPr>
          <w:p>
            <w:r>
              <w:rPr>
                <w:rFonts w:ascii="Arial" w:hAnsi="Arial"/>
                <w:color w:val="1A0F5C"/>
                <w:sz w:val="19"/>
              </w:rPr>
              <w:t>A finance analyst can audit every number to rows</w:t>
            </w:r>
          </w:p>
        </w:tc>
        <w:tc>
          <w:tcPr>
            <w:tcW w:type="dxa" w:w="4894"/>
          </w:tcPr>
          <w:p>
            <w:r>
              <w:rPr>
                <w:rFonts w:ascii="Arial" w:hAnsi="Arial"/>
                <w:color w:val="1A0F5C"/>
                <w:sz w:val="19"/>
              </w:rPr>
              <w:t>Every table is a groupby on data/clean/bookings_clean.csv.gz with the filter stated</w:t>
            </w:r>
          </w:p>
        </w:tc>
      </w:tr>
      <w:tr>
        <w:tc>
          <w:tcPr>
            <w:tcW w:type="dxa" w:w="646"/>
            <w:shd w:val="clear" w:color="auto" w:fill="F3F1FA"/>
          </w:tcPr>
          <w:p>
            <w:r>
              <w:rPr>
                <w:rFonts w:ascii="Arial" w:hAnsi="Arial"/>
                <w:color w:val="1A0F5C"/>
                <w:sz w:val="19"/>
              </w:rPr>
              <w:t>N3</w:t>
            </w:r>
          </w:p>
        </w:tc>
        <w:tc>
          <w:tcPr>
            <w:tcW w:type="dxa" w:w="4432"/>
            <w:shd w:val="clear" w:color="auto" w:fill="F3F1FA"/>
          </w:tcPr>
          <w:p>
            <w:r>
              <w:rPr>
                <w:rFonts w:ascii="Arial" w:hAnsi="Arial"/>
                <w:color w:val="1A0F5C"/>
                <w:sz w:val="19"/>
              </w:rPr>
              <w:t>Every cleaning decision logged before the next step</w:t>
            </w:r>
          </w:p>
        </w:tc>
        <w:tc>
          <w:tcPr>
            <w:tcW w:type="dxa" w:w="4894"/>
            <w:shd w:val="clear" w:color="auto" w:fill="F3F1FA"/>
          </w:tcPr>
          <w:p>
            <w:r>
              <w:rPr>
                <w:rFonts w:ascii="Arial" w:hAnsi="Arial"/>
                <w:color w:val="1A0F5C"/>
                <w:sz w:val="19"/>
              </w:rPr>
              <w:t>decisions-log.md reconciliation table, input = kept + rejected at every row</w:t>
            </w:r>
          </w:p>
        </w:tc>
      </w:tr>
      <w:tr>
        <w:tc>
          <w:tcPr>
            <w:tcW w:type="dxa" w:w="646"/>
          </w:tcPr>
          <w:p>
            <w:r>
              <w:rPr>
                <w:rFonts w:ascii="Arial" w:hAnsi="Arial"/>
                <w:color w:val="1A0F5C"/>
                <w:sz w:val="19"/>
              </w:rPr>
              <w:t>C1</w:t>
            </w:r>
          </w:p>
        </w:tc>
        <w:tc>
          <w:tcPr>
            <w:tcW w:type="dxa" w:w="4432"/>
          </w:tcPr>
          <w:p>
            <w:r>
              <w:rPr>
                <w:rFonts w:ascii="Arial" w:hAnsi="Arial"/>
                <w:color w:val="1A0F5C"/>
                <w:sz w:val="19"/>
              </w:rPr>
              <w:t>Free tools covered so far; no assistants on the work</w:t>
            </w:r>
          </w:p>
        </w:tc>
        <w:tc>
          <w:tcPr>
            <w:tcW w:type="dxa" w:w="4894"/>
          </w:tcPr>
          <w:p>
            <w:r>
              <w:rPr>
                <w:rFonts w:ascii="Arial" w:hAnsi="Arial"/>
                <w:color w:val="1A0F5C"/>
                <w:sz w:val="19"/>
              </w:rPr>
              <w:t>ai-log.md, one line per use</w:t>
            </w:r>
          </w:p>
        </w:tc>
      </w:tr>
      <w:tr>
        <w:tc>
          <w:tcPr>
            <w:tcW w:type="dxa" w:w="646"/>
            <w:shd w:val="clear" w:color="auto" w:fill="F3F1FA"/>
          </w:tcPr>
          <w:p>
            <w:r>
              <w:rPr>
                <w:rFonts w:ascii="Arial" w:hAnsi="Arial"/>
                <w:color w:val="1A0F5C"/>
                <w:sz w:val="19"/>
              </w:rPr>
              <w:t>C2</w:t>
            </w:r>
          </w:p>
        </w:tc>
        <w:tc>
          <w:tcPr>
            <w:tcW w:type="dxa" w:w="4432"/>
            <w:shd w:val="clear" w:color="auto" w:fill="F3F1FA"/>
          </w:tcPr>
          <w:p>
            <w:r>
              <w:rPr>
                <w:rFonts w:ascii="Arial" w:hAnsi="Arial"/>
                <w:color w:val="1A0F5C"/>
                <w:sz w:val="19"/>
              </w:rPr>
              <w:t>The data as released; H1 2026 against H1 2025</w:t>
            </w:r>
          </w:p>
        </w:tc>
        <w:tc>
          <w:tcPr>
            <w:tcW w:type="dxa" w:w="4894"/>
            <w:shd w:val="clear" w:color="auto" w:fill="F3F1FA"/>
          </w:tcPr>
          <w:p>
            <w:r>
              <w:rPr>
                <w:rFonts w:ascii="Arial" w:hAnsi="Arial"/>
                <w:color w:val="1A0F5C"/>
                <w:sz w:val="19"/>
              </w:rPr>
              <w:t>MANIFEST.json hashes checked in notebook 01</w:t>
            </w:r>
          </w:p>
        </w:tc>
      </w:tr>
    </w:tbl>
    <w:p/>
    <w:p>
      <w:pPr>
        <w:pStyle w:val="Heading1"/>
      </w:pPr>
      <w:r>
        <w:t>5. What does not transfer from retail</w:t>
      </w:r>
    </w:p>
    <w:tbl>
      <w:tblPr>
        <w:tblStyle w:val="TableGrid"/>
        <w:tblW w:type="auto" w:w="0"/>
        <w:tblLayout w:type="fixed"/>
        <w:tblLook w:firstColumn="1" w:firstRow="1" w:lastColumn="0" w:lastRow="0" w:noHBand="0" w:noVBand="1" w:val="04A0"/>
      </w:tblPr>
      <w:tblGrid>
        <w:gridCol w:w="2770"/>
        <w:gridCol w:w="3601"/>
        <w:gridCol w:w="3601"/>
      </w:tblGrid>
      <w:tr>
        <w:tc>
          <w:tcPr>
            <w:tcW w:type="dxa" w:w="2770"/>
            <w:shd w:val="clear" w:color="auto" w:fill="4E38AB"/>
          </w:tcPr>
          <w:p>
            <w:r>
              <w:rPr>
                <w:rFonts w:ascii="Arial" w:hAnsi="Arial"/>
                <w:b/>
                <w:color w:val="FFFFFF"/>
                <w:sz w:val="19"/>
              </w:rPr>
              <w:t>In retail</w:t>
            </w:r>
          </w:p>
        </w:tc>
        <w:tc>
          <w:tcPr>
            <w:tcW w:type="dxa" w:w="3601"/>
            <w:shd w:val="clear" w:color="auto" w:fill="4E38AB"/>
          </w:tcPr>
          <w:p>
            <w:r>
              <w:rPr>
                <w:rFonts w:ascii="Arial" w:hAnsi="Arial"/>
                <w:b/>
                <w:color w:val="FFFFFF"/>
                <w:sz w:val="19"/>
              </w:rPr>
              <w:t>In a diagnostics business</w:t>
            </w:r>
          </w:p>
        </w:tc>
        <w:tc>
          <w:tcPr>
            <w:tcW w:type="dxa" w:w="3601"/>
            <w:shd w:val="clear" w:color="auto" w:fill="4E38AB"/>
          </w:tcPr>
          <w:p>
            <w:r>
              <w:rPr>
                <w:rFonts w:ascii="Arial" w:hAnsi="Arial"/>
                <w:b/>
                <w:color w:val="FFFFFF"/>
                <w:sz w:val="19"/>
              </w:rPr>
              <w:t>What changes for our analysis</w:t>
            </w:r>
          </w:p>
        </w:tc>
      </w:tr>
      <w:tr>
        <w:tc>
          <w:tcPr>
            <w:tcW w:type="dxa" w:w="2770"/>
          </w:tcPr>
          <w:p>
            <w:r>
              <w:rPr>
                <w:rFonts w:ascii="Arial" w:hAnsi="Arial"/>
                <w:color w:val="1A0F5C"/>
                <w:sz w:val="19"/>
              </w:rPr>
              <w:t>A missed sale costs one order</w:t>
            </w:r>
          </w:p>
        </w:tc>
        <w:tc>
          <w:tcPr>
            <w:tcW w:type="dxa" w:w="3601"/>
          </w:tcPr>
          <w:p>
            <w:r>
              <w:rPr>
                <w:rFonts w:ascii="Arial" w:hAnsi="Arial"/>
                <w:color w:val="1A0F5C"/>
                <w:sz w:val="19"/>
              </w:rPr>
              <w:t>A missed or uncollected test is a patient without a result</w:t>
            </w:r>
          </w:p>
        </w:tc>
        <w:tc>
          <w:tcPr>
            <w:tcW w:type="dxa" w:w="3601"/>
          </w:tcPr>
          <w:p>
            <w:r>
              <w:rPr>
                <w:rFonts w:ascii="Arial" w:hAnsi="Arial"/>
                <w:color w:val="1A0F5C"/>
                <w:sz w:val="19"/>
              </w:rPr>
              <w:t>A no-show or a rejected record is not just lost volume; we report them, not drop them silently</w:t>
            </w:r>
          </w:p>
        </w:tc>
      </w:tr>
      <w:tr>
        <w:tc>
          <w:tcPr>
            <w:tcW w:type="dxa" w:w="2770"/>
            <w:shd w:val="clear" w:color="auto" w:fill="F3F1FA"/>
          </w:tcPr>
          <w:p>
            <w:r>
              <w:rPr>
                <w:rFonts w:ascii="Arial" w:hAnsi="Arial"/>
                <w:color w:val="1A0F5C"/>
                <w:sz w:val="19"/>
              </w:rPr>
              <w:t>The shopper chooses the basket</w:t>
            </w:r>
          </w:p>
        </w:tc>
        <w:tc>
          <w:tcPr>
            <w:tcW w:type="dxa" w:w="3601"/>
            <w:shd w:val="clear" w:color="auto" w:fill="F3F1FA"/>
          </w:tcPr>
          <w:p>
            <w:r>
              <w:rPr>
                <w:rFonts w:ascii="Arial" w:hAnsi="Arial"/>
                <w:color w:val="1A0F5C"/>
                <w:sz w:val="19"/>
              </w:rPr>
              <w:t>A doctor orders most tests; packages bundle many tests on one sample</w:t>
            </w:r>
          </w:p>
        </w:tc>
        <w:tc>
          <w:tcPr>
            <w:tcW w:type="dxa" w:w="3601"/>
            <w:shd w:val="clear" w:color="auto" w:fill="F3F1FA"/>
          </w:tcPr>
          <w:p>
            <w:r>
              <w:rPr>
                <w:rFonts w:ascii="Arial" w:hAnsi="Arial"/>
                <w:color w:val="1A0F5C"/>
                <w:sz w:val="19"/>
              </w:rPr>
              <w:t>Tests per visit is driven by prescribing and package mix, not by merchandising</w:t>
            </w:r>
          </w:p>
        </w:tc>
      </w:tr>
      <w:tr>
        <w:tc>
          <w:tcPr>
            <w:tcW w:type="dxa" w:w="2770"/>
          </w:tcPr>
          <w:p>
            <w:r>
              <w:rPr>
                <w:rFonts w:ascii="Arial" w:hAnsi="Arial"/>
                <w:color w:val="1A0F5C"/>
                <w:sz w:val="19"/>
              </w:rPr>
              <w:t>One store, one till</w:t>
            </w:r>
          </w:p>
        </w:tc>
        <w:tc>
          <w:tcPr>
            <w:tcW w:type="dxa" w:w="3601"/>
          </w:tcPr>
          <w:p>
            <w:r>
              <w:rPr>
                <w:rFonts w:ascii="Arial" w:hAnsi="Arial"/>
                <w:color w:val="1A0F5C"/>
                <w:sz w:val="19"/>
              </w:rPr>
              <w:t>Two channels: clinic and home collection, with a phlebotomist cost per home visit</w:t>
            </w:r>
          </w:p>
        </w:tc>
        <w:tc>
          <w:tcPr>
            <w:tcW w:type="dxa" w:w="3601"/>
          </w:tcPr>
          <w:p>
            <w:r>
              <w:rPr>
                <w:rFonts w:ascii="Arial" w:hAnsi="Arial"/>
                <w:color w:val="1A0F5C"/>
                <w:sz w:val="19"/>
              </w:rPr>
              <w:t>Channel is a branch of the split, and home volume has a real cost per booking</w:t>
            </w:r>
          </w:p>
        </w:tc>
      </w:tr>
      <w:tr>
        <w:tc>
          <w:tcPr>
            <w:tcW w:type="dxa" w:w="2770"/>
            <w:shd w:val="clear" w:color="auto" w:fill="F3F1FA"/>
          </w:tcPr>
          <w:p>
            <w:r>
              <w:rPr>
                <w:rFonts w:ascii="Arial" w:hAnsi="Arial"/>
                <w:color w:val="1A0F5C"/>
                <w:sz w:val="19"/>
              </w:rPr>
              <w:t>A duplicate customer record inflates a count</w:t>
            </w:r>
          </w:p>
        </w:tc>
        <w:tc>
          <w:tcPr>
            <w:tcW w:type="dxa" w:w="3601"/>
            <w:shd w:val="clear" w:color="auto" w:fill="F3F1FA"/>
          </w:tcPr>
          <w:p>
            <w:r>
              <w:rPr>
                <w:rFonts w:ascii="Arial" w:hAnsi="Arial"/>
                <w:color w:val="1A0F5C"/>
                <w:sz w:val="19"/>
              </w:rPr>
              <w:t>A wrongly merged patient can send results to the wrong person</w:t>
            </w:r>
          </w:p>
        </w:tc>
        <w:tc>
          <w:tcPr>
            <w:tcW w:type="dxa" w:w="3601"/>
            <w:shd w:val="clear" w:color="auto" w:fill="F3F1FA"/>
          </w:tcPr>
          <w:p>
            <w:r>
              <w:rPr>
                <w:rFonts w:ascii="Arial" w:hAnsi="Arial"/>
                <w:color w:val="1A0F5C"/>
                <w:sz w:val="19"/>
              </w:rPr>
              <w:t>The patient de-duplication rule is written with its stakes beside it</w:t>
            </w:r>
          </w:p>
        </w:tc>
      </w:tr>
    </w:tbl>
    <w:p/>
    <w:p>
      <w:pPr>
        <w:pStyle w:val="Heading1"/>
      </w:pPr>
      <w:r>
        <w:t>6. Prediction before the data</w:t>
      </w:r>
    </w:p>
    <w:p>
      <w:r>
        <w:rPr>
          <w:b w:val="0"/>
          <w:i/>
          <w:color w:val="6B6690"/>
        </w:rPr>
        <w:t>&lt;The group's own prediction, written and committed on Day 1 before any table was opened, with its date and one reason. It is not edited after the data; section 13 compares it with the finding.&gt;</w:t>
      </w:r>
    </w:p>
    <w:p>
      <w:pPr>
        <w:pStyle w:val="Heading1"/>
      </w:pPr>
      <w:r>
        <w:t>7. Roles, working rhythm and the board</w:t>
      </w:r>
    </w:p>
    <w:p>
      <w:r>
        <w:rPr>
          <w:b w:val="0"/>
          <w:i w:val="0"/>
        </w:rPr>
        <w:t>Roles rotate daily: driver, navigator, scribe, challenger. The day runs plan (15 minutes), build, review (15 minutes). The board is GitHub Issues with four labels. &lt;member 3&gt; owns the daily cold run; the headline is written in the decisions log after each one.</w:t>
      </w:r>
    </w:p>
    <w:tbl>
      <w:tblPr>
        <w:tblStyle w:val="TableGrid"/>
        <w:tblW w:type="auto" w:w="0"/>
        <w:tblLayout w:type="fixed"/>
        <w:tblLook w:firstColumn="1" w:firstRow="1" w:lastColumn="0" w:lastRow="0" w:noHBand="0" w:noVBand="1" w:val="04A0"/>
      </w:tblPr>
      <w:tblGrid>
        <w:gridCol w:w="646"/>
        <w:gridCol w:w="5170"/>
        <w:gridCol w:w="4156"/>
      </w:tblGrid>
      <w:tr>
        <w:tc>
          <w:tcPr>
            <w:tcW w:type="dxa" w:w="646"/>
            <w:shd w:val="clear" w:color="auto" w:fill="4E38AB"/>
          </w:tcPr>
          <w:p>
            <w:r>
              <w:rPr>
                <w:rFonts w:ascii="Arial" w:hAnsi="Arial"/>
                <w:b/>
                <w:color w:val="FFFFFF"/>
                <w:sz w:val="19"/>
              </w:rPr>
              <w:t>Day</w:t>
            </w:r>
          </w:p>
        </w:tc>
        <w:tc>
          <w:tcPr>
            <w:tcW w:type="dxa" w:w="5170"/>
            <w:shd w:val="clear" w:color="auto" w:fill="4E38AB"/>
          </w:tcPr>
          <w:p>
            <w:r>
              <w:rPr>
                <w:rFonts w:ascii="Arial" w:hAnsi="Arial"/>
                <w:b/>
                <w:color w:val="FFFFFF"/>
                <w:sz w:val="19"/>
              </w:rPr>
              <w:t>Plan</w:t>
            </w:r>
          </w:p>
        </w:tc>
        <w:tc>
          <w:tcPr>
            <w:tcW w:type="dxa" w:w="4156"/>
            <w:shd w:val="clear" w:color="auto" w:fill="4E38AB"/>
          </w:tcPr>
          <w:p>
            <w:r>
              <w:rPr>
                <w:rFonts w:ascii="Arial" w:hAnsi="Arial"/>
                <w:b/>
                <w:color w:val="FFFFFF"/>
                <w:sz w:val="19"/>
              </w:rPr>
              <w:t>Out by close</w:t>
            </w:r>
          </w:p>
        </w:tc>
      </w:tr>
      <w:tr>
        <w:tc>
          <w:tcPr>
            <w:tcW w:type="dxa" w:w="646"/>
          </w:tcPr>
          <w:p>
            <w:r>
              <w:rPr>
                <w:rFonts w:ascii="Arial" w:hAnsi="Arial"/>
                <w:color w:val="1A0F5C"/>
                <w:sz w:val="19"/>
              </w:rPr>
              <w:t>1</w:t>
            </w:r>
          </w:p>
        </w:tc>
        <w:tc>
          <w:tcPr>
            <w:tcW w:type="dxa" w:w="5170"/>
          </w:tcPr>
          <w:p>
            <w:r>
              <w:rPr>
                <w:rFonts w:ascii="Arial" w:hAnsi="Arial"/>
                <w:color w:val="1A0F5C"/>
                <w:sz w:val="19"/>
              </w:rPr>
              <w:t>Scope; profile every family; trace one rescheduled visit through legacy and nova; write the identity rule and its alternatives</w:t>
            </w:r>
          </w:p>
        </w:tc>
        <w:tc>
          <w:tcPr>
            <w:tcW w:type="dxa" w:w="4156"/>
          </w:tcPr>
          <w:p>
            <w:r>
              <w:rPr>
                <w:rFonts w:ascii="Arial" w:hAnsi="Arial"/>
                <w:color w:val="1A0F5C"/>
                <w:sz w:val="19"/>
              </w:rPr>
              <w:t>Charter, project statement, profile tables, approach-log rows 1 to 4, first reconciliation</w:t>
            </w:r>
          </w:p>
        </w:tc>
      </w:tr>
      <w:tr>
        <w:tc>
          <w:tcPr>
            <w:tcW w:type="dxa" w:w="646"/>
            <w:shd w:val="clear" w:color="auto" w:fill="F3F1FA"/>
          </w:tcPr>
          <w:p>
            <w:r>
              <w:rPr>
                <w:rFonts w:ascii="Arial" w:hAnsi="Arial"/>
                <w:color w:val="1A0F5C"/>
                <w:sz w:val="19"/>
              </w:rPr>
              <w:t>2</w:t>
            </w:r>
          </w:p>
        </w:tc>
        <w:tc>
          <w:tcPr>
            <w:tcW w:type="dxa" w:w="5170"/>
            <w:shd w:val="clear" w:color="auto" w:fill="F3F1FA"/>
          </w:tcPr>
          <w:p>
            <w:r>
              <w:rPr>
                <w:rFonts w:ascii="Arial" w:hAnsi="Arial"/>
                <w:color w:val="1A0F5C"/>
                <w:sz w:val="19"/>
              </w:rPr>
              <w:t>Load and validate both systems; clean and reconcile; reproduce the 5 percent; build the tree for both halves; state the claim</w:t>
            </w:r>
          </w:p>
        </w:tc>
        <w:tc>
          <w:tcPr>
            <w:tcW w:type="dxa" w:w="4156"/>
            <w:shd w:val="clear" w:color="auto" w:fill="F3F1FA"/>
          </w:tcPr>
          <w:p>
            <w:r>
              <w:rPr>
                <w:rFonts w:ascii="Arial" w:hAnsi="Arial"/>
                <w:color w:val="1A0F5C"/>
                <w:sz w:val="19"/>
              </w:rPr>
              <w:t>Gate 1 and Gate 2 passed; the tree multiplies back; claim stated</w:t>
            </w:r>
          </w:p>
        </w:tc>
      </w:tr>
      <w:tr>
        <w:tc>
          <w:tcPr>
            <w:tcW w:type="dxa" w:w="646"/>
          </w:tcPr>
          <w:p>
            <w:r>
              <w:rPr>
                <w:rFonts w:ascii="Arial" w:hAnsi="Arial"/>
                <w:color w:val="1A0F5C"/>
                <w:sz w:val="19"/>
              </w:rPr>
              <w:t>3</w:t>
            </w:r>
          </w:p>
        </w:tc>
        <w:tc>
          <w:tcPr>
            <w:tcW w:type="dxa" w:w="5170"/>
          </w:tcPr>
          <w:p>
            <w:r>
              <w:rPr>
                <w:rFonts w:ascii="Arial" w:hAnsi="Arial"/>
                <w:color w:val="1A0F5C"/>
                <w:sz w:val="19"/>
              </w:rPr>
              <w:t>Split by city and channel; SQL version; cross-check against results and collections</w:t>
            </w:r>
          </w:p>
        </w:tc>
        <w:tc>
          <w:tcPr>
            <w:tcW w:type="dxa" w:w="4156"/>
          </w:tcPr>
          <w:p>
            <w:r>
              <w:rPr>
                <w:rFonts w:ascii="Arial" w:hAnsi="Arial"/>
                <w:color w:val="1A0F5C"/>
                <w:sz w:val="19"/>
              </w:rPr>
              <w:t>City and channel tables; caveat written; SQL agrees with pandas</w:t>
            </w:r>
          </w:p>
        </w:tc>
      </w:tr>
      <w:tr>
        <w:tc>
          <w:tcPr>
            <w:tcW w:type="dxa" w:w="646"/>
            <w:shd w:val="clear" w:color="auto" w:fill="F3F1FA"/>
          </w:tcPr>
          <w:p>
            <w:r>
              <w:rPr>
                <w:rFonts w:ascii="Arial" w:hAnsi="Arial"/>
                <w:color w:val="1A0F5C"/>
                <w:sz w:val="19"/>
              </w:rPr>
              <w:t>4</w:t>
            </w:r>
          </w:p>
        </w:tc>
        <w:tc>
          <w:tcPr>
            <w:tcW w:type="dxa" w:w="5170"/>
            <w:shd w:val="clear" w:color="auto" w:fill="F3F1FA"/>
          </w:tcPr>
          <w:p>
            <w:r>
              <w:rPr>
                <w:rFonts w:ascii="Arial" w:hAnsi="Arial"/>
                <w:color w:val="1A0F5C"/>
                <w:sz w:val="19"/>
              </w:rPr>
              <w:t>Slides; cold run; rehearsal; write-ups; video</w:t>
            </w:r>
          </w:p>
        </w:tc>
        <w:tc>
          <w:tcPr>
            <w:tcW w:type="dxa" w:w="4156"/>
            <w:shd w:val="clear" w:color="auto" w:fill="F3F1FA"/>
          </w:tcPr>
          <w:p>
            <w:r>
              <w:rPr>
                <w:rFonts w:ascii="Arial" w:hAnsi="Arial"/>
                <w:color w:val="1A0F5C"/>
                <w:sz w:val="19"/>
              </w:rPr>
              <w:t>Gate 3 passed; freeze; video linked; every member can present any slide</w:t>
            </w:r>
          </w:p>
        </w:tc>
      </w:tr>
    </w:tbl>
    <w:p/>
    <w:p>
      <w:pPr>
        <w:pStyle w:val="Heading1"/>
      </w:pPr>
      <w:r>
        <w:t>8. The data, and the bridge from raw to clean</w:t>
      </w:r>
    </w:p>
    <w:p>
      <w:r>
        <w:rPr>
          <w:b w:val="0"/>
          <w:i w:val="0"/>
        </w:rPr>
        <w:t>The pack holds 368 files (49.9 MB). Bookings come from two systems: legacy (every city until March 2026, Latin-1, day-first dates, one row per booking-test) and nova (Chennai and Jaipur from April 2026, JSON lines, tests nested, reschedules written as a new record). The headline is recomputed after every rule so the bridge from raw to final is visible.</w:t>
      </w:r>
    </w:p>
    <w:tbl>
      <w:tblPr>
        <w:tblStyle w:val="TableGrid"/>
        <w:tblW w:type="auto" w:w="0"/>
        <w:tblLayout w:type="fixed"/>
        <w:tblLook w:firstColumn="1" w:firstRow="1" w:lastColumn="0" w:lastRow="0" w:noHBand="0" w:noVBand="1" w:val="04A0"/>
      </w:tblPr>
      <w:tblGrid>
        <w:gridCol w:w="461"/>
        <w:gridCol w:w="3878"/>
        <w:gridCol w:w="1754"/>
        <w:gridCol w:w="2216"/>
        <w:gridCol w:w="1663"/>
      </w:tblGrid>
      <w:tr>
        <w:tc>
          <w:tcPr>
            <w:tcW w:type="dxa" w:w="461"/>
            <w:shd w:val="clear" w:color="auto" w:fill="4E38AB"/>
          </w:tcPr>
          <w:p>
            <w:r>
              <w:rPr>
                <w:rFonts w:ascii="Arial" w:hAnsi="Arial"/>
                <w:b/>
                <w:color w:val="FFFFFF"/>
                <w:sz w:val="19"/>
              </w:rPr>
              <w:t>#</w:t>
            </w:r>
          </w:p>
        </w:tc>
        <w:tc>
          <w:tcPr>
            <w:tcW w:type="dxa" w:w="3878"/>
            <w:shd w:val="clear" w:color="auto" w:fill="4E38AB"/>
          </w:tcPr>
          <w:p>
            <w:r>
              <w:rPr>
                <w:rFonts w:ascii="Arial" w:hAnsi="Arial"/>
                <w:b/>
                <w:color w:val="FFFFFF"/>
                <w:sz w:val="19"/>
              </w:rPr>
              <w:t>Rule (notebook)</w:t>
            </w:r>
          </w:p>
        </w:tc>
        <w:tc>
          <w:tcPr>
            <w:tcW w:type="dxa" w:w="1754"/>
            <w:shd w:val="clear" w:color="auto" w:fill="4E38AB"/>
          </w:tcPr>
          <w:p>
            <w:r>
              <w:rPr>
                <w:rFonts w:ascii="Arial" w:hAnsi="Arial"/>
                <w:b/>
                <w:color w:val="FFFFFF"/>
                <w:sz w:val="19"/>
              </w:rPr>
              <w:t>Rows affected</w:t>
            </w:r>
          </w:p>
        </w:tc>
        <w:tc>
          <w:tcPr>
            <w:tcW w:type="dxa" w:w="2216"/>
            <w:shd w:val="clear" w:color="auto" w:fill="4E38AB"/>
          </w:tcPr>
          <w:p>
            <w:r>
              <w:rPr>
                <w:rFonts w:ascii="Arial" w:hAnsi="Arial"/>
                <w:b/>
                <w:color w:val="FFFFFF"/>
                <w:sz w:val="19"/>
              </w:rPr>
              <w:t>Bookings / tests after</w:t>
            </w:r>
          </w:p>
        </w:tc>
        <w:tc>
          <w:tcPr>
            <w:tcW w:type="dxa" w:w="1663"/>
            <w:shd w:val="clear" w:color="auto" w:fill="4E38AB"/>
          </w:tcPr>
          <w:p>
            <w:r>
              <w:rPr>
                <w:rFonts w:ascii="Arial" w:hAnsi="Arial"/>
                <w:b/>
                <w:color w:val="FFFFFF"/>
                <w:sz w:val="19"/>
              </w:rPr>
              <w:t>H1 growth after</w:t>
            </w:r>
          </w:p>
        </w:tc>
      </w:tr>
      <w:tr>
        <w:tc>
          <w:tcPr>
            <w:tcW w:type="dxa" w:w="461"/>
          </w:tcPr>
          <w:p>
            <w:r>
              <w:rPr>
                <w:rFonts w:ascii="Arial" w:hAnsi="Arial"/>
                <w:color w:val="1A0F5C"/>
                <w:sz w:val="19"/>
              </w:rPr>
              <w:t>0</w:t>
            </w:r>
          </w:p>
        </w:tc>
        <w:tc>
          <w:tcPr>
            <w:tcW w:type="dxa" w:w="3878"/>
          </w:tcPr>
          <w:p>
            <w:r>
              <w:rPr>
                <w:rFonts w:ascii="Arial" w:hAnsi="Arial"/>
                <w:color w:val="1A0F5C"/>
                <w:sz w:val="19"/>
              </w:rPr>
              <w:t>Raw as received (02)</w:t>
            </w:r>
          </w:p>
        </w:tc>
        <w:tc>
          <w:tcPr>
            <w:tcW w:type="dxa" w:w="1754"/>
          </w:tcPr>
          <w:p>
            <w:r>
              <w:rPr>
                <w:rFonts w:ascii="Arial" w:hAnsi="Arial"/>
                <w:color w:val="1A0F5C"/>
                <w:sz w:val="19"/>
              </w:rPr>
              <w:t>–</w:t>
            </w:r>
          </w:p>
        </w:tc>
        <w:tc>
          <w:tcPr>
            <w:tcW w:type="dxa" w:w="2216"/>
          </w:tcPr>
          <w:p>
            <w:r>
              <w:rPr>
                <w:rFonts w:ascii="Arial" w:hAnsi="Arial"/>
                <w:color w:val="1A0F5C"/>
                <w:sz w:val="19"/>
              </w:rPr>
              <w:t>567,986 bookings / 1,315,183 booking-test rows</w:t>
            </w:r>
          </w:p>
        </w:tc>
        <w:tc>
          <w:tcPr>
            <w:tcW w:type="dxa" w:w="1663"/>
          </w:tcPr>
          <w:p>
            <w:r>
              <w:rPr>
                <w:rFonts w:ascii="Arial" w:hAnsi="Arial"/>
                <w:color w:val="1A0F5C"/>
                <w:sz w:val="19"/>
              </w:rPr>
              <w:t>+5.78%</w:t>
            </w:r>
          </w:p>
        </w:tc>
      </w:tr>
      <w:tr>
        <w:tc>
          <w:tcPr>
            <w:tcW w:type="dxa" w:w="461"/>
            <w:shd w:val="clear" w:color="auto" w:fill="F3F1FA"/>
          </w:tcPr>
          <w:p>
            <w:r>
              <w:rPr>
                <w:rFonts w:ascii="Arial" w:hAnsi="Arial"/>
                <w:color w:val="1A0F5C"/>
                <w:sz w:val="19"/>
              </w:rPr>
              <w:t>1</w:t>
            </w:r>
          </w:p>
        </w:tc>
        <w:tc>
          <w:tcPr>
            <w:tcW w:type="dxa" w:w="3878"/>
            <w:shd w:val="clear" w:color="auto" w:fill="F3F1FA"/>
          </w:tcPr>
          <w:p>
            <w:r>
              <w:rPr>
                <w:rFonts w:ascii="Arial" w:hAnsi="Arial"/>
                <w:color w:val="1A0F5C"/>
                <w:sz w:val="19"/>
              </w:rPr>
              <w:t>Drop header lines repeated mid-file (01, 02)</w:t>
            </w:r>
          </w:p>
        </w:tc>
        <w:tc>
          <w:tcPr>
            <w:tcW w:type="dxa" w:w="1754"/>
            <w:shd w:val="clear" w:color="auto" w:fill="F3F1FA"/>
          </w:tcPr>
          <w:p>
            <w:r>
              <w:rPr>
                <w:rFonts w:ascii="Arial" w:hAnsi="Arial"/>
                <w:color w:val="1A0F5C"/>
                <w:sz w:val="19"/>
              </w:rPr>
              <w:t>21 lines, not data</w:t>
            </w:r>
          </w:p>
        </w:tc>
        <w:tc>
          <w:tcPr>
            <w:tcW w:type="dxa" w:w="2216"/>
            <w:shd w:val="clear" w:color="auto" w:fill="F3F1FA"/>
          </w:tcPr>
          <w:p>
            <w:r>
              <w:rPr>
                <w:rFonts w:ascii="Arial" w:hAnsi="Arial"/>
                <w:color w:val="1A0F5C"/>
                <w:sz w:val="19"/>
              </w:rPr>
              <w:t>unchanged</w:t>
            </w:r>
          </w:p>
        </w:tc>
        <w:tc>
          <w:tcPr>
            <w:tcW w:type="dxa" w:w="1663"/>
            <w:shd w:val="clear" w:color="auto" w:fill="F3F1FA"/>
          </w:tcPr>
          <w:p>
            <w:r>
              <w:rPr>
                <w:rFonts w:ascii="Arial" w:hAnsi="Arial"/>
                <w:color w:val="1A0F5C"/>
                <w:sz w:val="19"/>
              </w:rPr>
              <w:t>unchanged</w:t>
            </w:r>
          </w:p>
        </w:tc>
      </w:tr>
      <w:tr>
        <w:tc>
          <w:tcPr>
            <w:tcW w:type="dxa" w:w="461"/>
          </w:tcPr>
          <w:p>
            <w:r>
              <w:rPr>
                <w:rFonts w:ascii="Arial" w:hAnsi="Arial"/>
                <w:color w:val="1A0F5C"/>
                <w:sz w:val="19"/>
              </w:rPr>
              <w:t>2</w:t>
            </w:r>
          </w:p>
        </w:tc>
        <w:tc>
          <w:tcPr>
            <w:tcW w:type="dxa" w:w="3878"/>
          </w:tcPr>
          <w:p>
            <w:r>
              <w:rPr>
                <w:rFonts w:ascii="Arial" w:hAnsi="Arial"/>
                <w:color w:val="1A0F5C"/>
                <w:sz w:val="19"/>
              </w:rPr>
              <w:t>Strip ids; map Bangalore to Bengaluru (02)</w:t>
            </w:r>
          </w:p>
        </w:tc>
        <w:tc>
          <w:tcPr>
            <w:tcW w:type="dxa" w:w="1754"/>
          </w:tcPr>
          <w:p>
            <w:r>
              <w:rPr>
                <w:rFonts w:ascii="Arial" w:hAnsi="Arial"/>
                <w:color w:val="1A0F5C"/>
                <w:sz w:val="19"/>
              </w:rPr>
              <w:t>labels only</w:t>
            </w:r>
          </w:p>
        </w:tc>
        <w:tc>
          <w:tcPr>
            <w:tcW w:type="dxa" w:w="2216"/>
          </w:tcPr>
          <w:p>
            <w:r>
              <w:rPr>
                <w:rFonts w:ascii="Arial" w:hAnsi="Arial"/>
                <w:color w:val="1A0F5C"/>
                <w:sz w:val="19"/>
              </w:rPr>
              <w:t>unchanged</w:t>
            </w:r>
          </w:p>
        </w:tc>
        <w:tc>
          <w:tcPr>
            <w:tcW w:type="dxa" w:w="1663"/>
          </w:tcPr>
          <w:p>
            <w:r>
              <w:rPr>
                <w:rFonts w:ascii="Arial" w:hAnsi="Arial"/>
                <w:color w:val="1A0F5C"/>
                <w:sz w:val="19"/>
              </w:rPr>
              <w:t>unchanged</w:t>
            </w:r>
          </w:p>
        </w:tc>
      </w:tr>
      <w:tr>
        <w:tc>
          <w:tcPr>
            <w:tcW w:type="dxa" w:w="461"/>
            <w:shd w:val="clear" w:color="auto" w:fill="F3F1FA"/>
          </w:tcPr>
          <w:p>
            <w:r>
              <w:rPr>
                <w:rFonts w:ascii="Arial" w:hAnsi="Arial"/>
                <w:color w:val="1A0F5C"/>
                <w:sz w:val="19"/>
              </w:rPr>
              <w:t>3</w:t>
            </w:r>
          </w:p>
        </w:tc>
        <w:tc>
          <w:tcPr>
            <w:tcW w:type="dxa" w:w="3878"/>
            <w:shd w:val="clear" w:color="auto" w:fill="F3F1FA"/>
          </w:tcPr>
          <w:p>
            <w:r>
              <w:rPr>
                <w:rFonts w:ascii="Arial" w:hAnsi="Arial"/>
                <w:color w:val="1A0F5C"/>
                <w:sz w:val="19"/>
              </w:rPr>
              <w:t>Validator rejects (02): slot before creation 1,027; malformed id 793; empty test code 1,287</w:t>
            </w:r>
          </w:p>
        </w:tc>
        <w:tc>
          <w:tcPr>
            <w:tcW w:type="dxa" w:w="1754"/>
            <w:shd w:val="clear" w:color="auto" w:fill="F3F1FA"/>
          </w:tcPr>
          <w:p>
            <w:r>
              <w:rPr>
                <w:rFonts w:ascii="Arial" w:hAnsi="Arial"/>
                <w:color w:val="1A0F5C"/>
                <w:sz w:val="19"/>
              </w:rPr>
              <w:t>3,107 bookings</w:t>
            </w:r>
          </w:p>
        </w:tc>
        <w:tc>
          <w:tcPr>
            <w:tcW w:type="dxa" w:w="2216"/>
            <w:shd w:val="clear" w:color="auto" w:fill="F3F1FA"/>
          </w:tcPr>
          <w:p>
            <w:r>
              <w:rPr>
                <w:rFonts w:ascii="Arial" w:hAnsi="Arial"/>
                <w:color w:val="1A0F5C"/>
                <w:sz w:val="19"/>
              </w:rPr>
              <w:t>564,879 / 1,307,260</w:t>
            </w:r>
          </w:p>
        </w:tc>
        <w:tc>
          <w:tcPr>
            <w:tcW w:type="dxa" w:w="1663"/>
            <w:shd w:val="clear" w:color="auto" w:fill="F3F1FA"/>
          </w:tcPr>
          <w:p>
            <w:r>
              <w:rPr>
                <w:rFonts w:ascii="Arial" w:hAnsi="Arial"/>
                <w:color w:val="1A0F5C"/>
                <w:sz w:val="19"/>
              </w:rPr>
              <w:t>+5.84%</w:t>
            </w:r>
          </w:p>
        </w:tc>
      </w:tr>
      <w:tr>
        <w:tc>
          <w:tcPr>
            <w:tcW w:type="dxa" w:w="461"/>
          </w:tcPr>
          <w:p>
            <w:r>
              <w:rPr>
                <w:rFonts w:ascii="Arial" w:hAnsi="Arial"/>
                <w:color w:val="1A0F5C"/>
                <w:sz w:val="19"/>
              </w:rPr>
              <w:t>4</w:t>
            </w:r>
          </w:p>
        </w:tc>
        <w:tc>
          <w:tcPr>
            <w:tcW w:type="dxa" w:w="3878"/>
          </w:tcPr>
          <w:p>
            <w:r>
              <w:rPr>
                <w:rFonts w:ascii="Arial" w:hAnsi="Arial"/>
                <w:color w:val="1A0F5C"/>
                <w:sz w:val="19"/>
              </w:rPr>
              <w:t>Identity rule: drop the superseded nova original of a rescheduled visit (03)</w:t>
            </w:r>
          </w:p>
        </w:tc>
        <w:tc>
          <w:tcPr>
            <w:tcW w:type="dxa" w:w="1754"/>
          </w:tcPr>
          <w:p>
            <w:r>
              <w:rPr>
                <w:rFonts w:ascii="Arial" w:hAnsi="Arial"/>
                <w:color w:val="1A0F5C"/>
                <w:sz w:val="19"/>
              </w:rPr>
              <w:t>1,499 bookings, 3,541 tests, all H1 2026</w:t>
            </w:r>
          </w:p>
        </w:tc>
        <w:tc>
          <w:tcPr>
            <w:tcW w:type="dxa" w:w="2216"/>
          </w:tcPr>
          <w:p>
            <w:r>
              <w:rPr>
                <w:rFonts w:ascii="Arial" w:hAnsi="Arial"/>
                <w:color w:val="1A0F5C"/>
                <w:sz w:val="19"/>
              </w:rPr>
              <w:t>563,380 / 1,303,719</w:t>
            </w:r>
          </w:p>
        </w:tc>
        <w:tc>
          <w:tcPr>
            <w:tcW w:type="dxa" w:w="1663"/>
          </w:tcPr>
          <w:p>
            <w:r>
              <w:rPr>
                <w:rFonts w:ascii="Arial" w:hAnsi="Arial"/>
                <w:color w:val="1A0F5C"/>
                <w:sz w:val="19"/>
              </w:rPr>
              <w:t>+5.02%</w:t>
            </w:r>
          </w:p>
        </w:tc>
      </w:tr>
      <w:tr>
        <w:tc>
          <w:tcPr>
            <w:tcW w:type="dxa" w:w="461"/>
            <w:shd w:val="clear" w:color="auto" w:fill="F3F1FA"/>
          </w:tcPr>
          <w:p>
            <w:r>
              <w:rPr>
                <w:rFonts w:ascii="Arial" w:hAnsi="Arial"/>
                <w:color w:val="1A0F5C"/>
                <w:sz w:val="19"/>
              </w:rPr>
              <w:t>5</w:t>
            </w:r>
          </w:p>
        </w:tc>
        <w:tc>
          <w:tcPr>
            <w:tcW w:type="dxa" w:w="3878"/>
            <w:shd w:val="clear" w:color="auto" w:fill="F3F1FA"/>
          </w:tcPr>
          <w:p>
            <w:r>
              <w:rPr>
                <w:rFonts w:ascii="Arial" w:hAnsi="Arial"/>
                <w:color w:val="1A0F5C"/>
                <w:sz w:val="19"/>
              </w:rPr>
              <w:t>Collections: remove exact double scans (03)</w:t>
            </w:r>
          </w:p>
        </w:tc>
        <w:tc>
          <w:tcPr>
            <w:tcW w:type="dxa" w:w="1754"/>
            <w:shd w:val="clear" w:color="auto" w:fill="F3F1FA"/>
          </w:tcPr>
          <w:p>
            <w:r>
              <w:rPr>
                <w:rFonts w:ascii="Arial" w:hAnsi="Arial"/>
                <w:color w:val="1A0F5C"/>
                <w:sz w:val="19"/>
              </w:rPr>
              <w:t>2,894 collection rows</w:t>
            </w:r>
          </w:p>
        </w:tc>
        <w:tc>
          <w:tcPr>
            <w:tcW w:type="dxa" w:w="2216"/>
            <w:shd w:val="clear" w:color="auto" w:fill="F3F1FA"/>
          </w:tcPr>
          <w:p>
            <w:r>
              <w:rPr>
                <w:rFonts w:ascii="Arial" w:hAnsi="Arial"/>
                <w:color w:val="1A0F5C"/>
                <w:sz w:val="19"/>
              </w:rPr>
              <w:t>unchanged</w:t>
            </w:r>
          </w:p>
        </w:tc>
        <w:tc>
          <w:tcPr>
            <w:tcW w:type="dxa" w:w="1663"/>
            <w:shd w:val="clear" w:color="auto" w:fill="F3F1FA"/>
          </w:tcPr>
          <w:p>
            <w:r>
              <w:rPr>
                <w:rFonts w:ascii="Arial" w:hAnsi="Arial"/>
                <w:color w:val="1A0F5C"/>
                <w:sz w:val="19"/>
              </w:rPr>
              <w:t>unchanged</w:t>
            </w:r>
          </w:p>
        </w:tc>
      </w:tr>
      <w:tr>
        <w:tc>
          <w:tcPr>
            <w:tcW w:type="dxa" w:w="461"/>
          </w:tcPr>
          <w:p>
            <w:r>
              <w:rPr>
                <w:rFonts w:ascii="Arial" w:hAnsi="Arial"/>
                <w:color w:val="1A0F5C"/>
                <w:sz w:val="19"/>
              </w:rPr>
              <w:t>6</w:t>
            </w:r>
          </w:p>
        </w:tc>
        <w:tc>
          <w:tcPr>
            <w:tcW w:type="dxa" w:w="3878"/>
          </w:tcPr>
          <w:p>
            <w:r>
              <w:rPr>
                <w:rFonts w:ascii="Arial" w:hAnsi="Arial"/>
                <w:color w:val="1A0F5C"/>
                <w:sz w:val="19"/>
              </w:rPr>
              <w:t>Patients: merge ids with the same phone, name and date of birth (03)</w:t>
            </w:r>
          </w:p>
        </w:tc>
        <w:tc>
          <w:tcPr>
            <w:tcW w:type="dxa" w:w="1754"/>
          </w:tcPr>
          <w:p>
            <w:r>
              <w:rPr>
                <w:rFonts w:ascii="Arial" w:hAnsi="Arial"/>
                <w:color w:val="1A0F5C"/>
                <w:sz w:val="19"/>
              </w:rPr>
              <w:t>6,064 ids</w:t>
            </w:r>
          </w:p>
        </w:tc>
        <w:tc>
          <w:tcPr>
            <w:tcW w:type="dxa" w:w="2216"/>
          </w:tcPr>
          <w:p>
            <w:r>
              <w:rPr>
                <w:rFonts w:ascii="Arial" w:hAnsi="Arial"/>
                <w:color w:val="1A0F5C"/>
                <w:sz w:val="19"/>
              </w:rPr>
              <w:t>people 303,153</w:t>
            </w:r>
          </w:p>
        </w:tc>
        <w:tc>
          <w:tcPr>
            <w:tcW w:type="dxa" w:w="1663"/>
          </w:tcPr>
          <w:p>
            <w:r>
              <w:rPr>
                <w:rFonts w:ascii="Arial" w:hAnsi="Arial"/>
                <w:color w:val="1A0F5C"/>
                <w:sz w:val="19"/>
              </w:rPr>
              <w:t>changes the patients branch only</w:t>
            </w:r>
          </w:p>
        </w:tc>
      </w:tr>
    </w:tbl>
    <w:p/>
    <w:p>
      <w:r>
        <w:rPr>
          <w:b/>
          <w:i w:val="0"/>
        </w:rPr>
        <w:t xml:space="preserve">The rule that moves the headline most is rule 4. </w:t>
      </w:r>
      <w:r>
        <w:rPr>
          <w:b w:val="0"/>
          <w:i w:val="0"/>
        </w:rPr>
        <w:t>Counting a rescheduled nova visit once, as legacy does, takes growth from +5.8 to +5.0 percent. Periods are whole days: 1 January to 30 June inclusive (a date-only upper bound would drop 30 June, about 1,000 bookings per half).</w:t>
      </w:r>
    </w:p>
    <w:p>
      <w:pPr>
        <w:pStyle w:val="Heading1"/>
      </w:pPr>
      <w:r>
        <w:t>9. The answer: the tree, numbered for both years</w:t>
      </w:r>
    </w:p>
    <w:p>
      <w:r>
        <w:rPr>
          <w:b w:val="0"/>
          <w:i w:val="0"/>
        </w:rPr>
        <w:t>Denominator for every growth rate: the H1 2025 value. Grain: one row per booking after the identity rule; people are de-duplicated persons; all six cities, all booking statuses.</w:t>
      </w:r>
    </w:p>
    <w:tbl>
      <w:tblPr>
        <w:tblStyle w:val="TableGrid"/>
        <w:tblW w:type="auto" w:w="0"/>
        <w:tblLayout w:type="fixed"/>
        <w:tblLook w:firstColumn="1" w:firstRow="1" w:lastColumn="0" w:lastRow="0" w:noHBand="0" w:noVBand="1" w:val="04A0"/>
      </w:tblPr>
      <w:tblGrid>
        <w:gridCol w:w="3508"/>
        <w:gridCol w:w="1569"/>
        <w:gridCol w:w="1569"/>
        <w:gridCol w:w="1477"/>
        <w:gridCol w:w="1849"/>
      </w:tblGrid>
      <w:tr>
        <w:tc>
          <w:tcPr>
            <w:tcW w:type="dxa" w:w="3508"/>
            <w:shd w:val="clear" w:color="auto" w:fill="4E38AB"/>
          </w:tcPr>
          <w:p>
            <w:r>
              <w:rPr>
                <w:rFonts w:ascii="Arial" w:hAnsi="Arial"/>
                <w:b/>
                <w:color w:val="FFFFFF"/>
                <w:sz w:val="19"/>
              </w:rPr>
              <w:t>Branch</w:t>
            </w:r>
          </w:p>
        </w:tc>
        <w:tc>
          <w:tcPr>
            <w:tcW w:type="dxa" w:w="1569"/>
            <w:shd w:val="clear" w:color="auto" w:fill="4E38AB"/>
          </w:tcPr>
          <w:p>
            <w:r>
              <w:rPr>
                <w:rFonts w:ascii="Arial" w:hAnsi="Arial"/>
                <w:b/>
                <w:color w:val="FFFFFF"/>
                <w:sz w:val="19"/>
              </w:rPr>
              <w:t>H1 2025</w:t>
            </w:r>
          </w:p>
        </w:tc>
        <w:tc>
          <w:tcPr>
            <w:tcW w:type="dxa" w:w="1569"/>
            <w:shd w:val="clear" w:color="auto" w:fill="4E38AB"/>
          </w:tcPr>
          <w:p>
            <w:r>
              <w:rPr>
                <w:rFonts w:ascii="Arial" w:hAnsi="Arial"/>
                <w:b/>
                <w:color w:val="FFFFFF"/>
                <w:sz w:val="19"/>
              </w:rPr>
              <w:t>H1 2026</w:t>
            </w:r>
          </w:p>
        </w:tc>
        <w:tc>
          <w:tcPr>
            <w:tcW w:type="dxa" w:w="1477"/>
            <w:shd w:val="clear" w:color="auto" w:fill="4E38AB"/>
          </w:tcPr>
          <w:p>
            <w:r>
              <w:rPr>
                <w:rFonts w:ascii="Arial" w:hAnsi="Arial"/>
                <w:b/>
                <w:color w:val="FFFFFF"/>
                <w:sz w:val="19"/>
              </w:rPr>
              <w:t>Growth</w:t>
            </w:r>
          </w:p>
        </w:tc>
        <w:tc>
          <w:tcPr>
            <w:tcW w:type="dxa" w:w="1849"/>
            <w:shd w:val="clear" w:color="auto" w:fill="4E38AB"/>
          </w:tcPr>
          <w:p>
            <w:r>
              <w:rPr>
                <w:rFonts w:ascii="Arial" w:hAnsi="Arial"/>
                <w:b/>
                <w:color w:val="FFFFFF"/>
                <w:sz w:val="19"/>
              </w:rPr>
              <w:t>Log growth</w:t>
            </w:r>
          </w:p>
        </w:tc>
      </w:tr>
      <w:tr>
        <w:tc>
          <w:tcPr>
            <w:tcW w:type="dxa" w:w="3508"/>
          </w:tcPr>
          <w:p>
            <w:r>
              <w:rPr>
                <w:rFonts w:ascii="Arial" w:hAnsi="Arial"/>
                <w:color w:val="1A0F5C"/>
                <w:sz w:val="19"/>
              </w:rPr>
              <w:t>Test volume</w:t>
            </w:r>
          </w:p>
        </w:tc>
        <w:tc>
          <w:tcPr>
            <w:tcW w:type="dxa" w:w="1569"/>
          </w:tcPr>
          <w:p>
            <w:r>
              <w:rPr>
                <w:rFonts w:ascii="Arial" w:hAnsi="Arial"/>
                <w:color w:val="1A0F5C"/>
                <w:sz w:val="19"/>
              </w:rPr>
              <w:t>433,611</w:t>
            </w:r>
          </w:p>
        </w:tc>
        <w:tc>
          <w:tcPr>
            <w:tcW w:type="dxa" w:w="1569"/>
          </w:tcPr>
          <w:p>
            <w:r>
              <w:rPr>
                <w:rFonts w:ascii="Arial" w:hAnsi="Arial"/>
                <w:color w:val="1A0F5C"/>
                <w:sz w:val="19"/>
              </w:rPr>
              <w:t>455,383</w:t>
            </w:r>
          </w:p>
        </w:tc>
        <w:tc>
          <w:tcPr>
            <w:tcW w:type="dxa" w:w="1477"/>
          </w:tcPr>
          <w:p>
            <w:r>
              <w:rPr>
                <w:rFonts w:ascii="Arial" w:hAnsi="Arial"/>
                <w:color w:val="1A0F5C"/>
                <w:sz w:val="19"/>
              </w:rPr>
              <w:t>+5.02%</w:t>
            </w:r>
          </w:p>
        </w:tc>
        <w:tc>
          <w:tcPr>
            <w:tcW w:type="dxa" w:w="1849"/>
          </w:tcPr>
          <w:p>
            <w:r>
              <w:rPr>
                <w:rFonts w:ascii="Arial" w:hAnsi="Arial"/>
                <w:color w:val="1A0F5C"/>
                <w:sz w:val="19"/>
              </w:rPr>
              <w:t>+0.0490</w:t>
            </w:r>
          </w:p>
        </w:tc>
      </w:tr>
      <w:tr>
        <w:tc>
          <w:tcPr>
            <w:tcW w:type="dxa" w:w="3508"/>
            <w:shd w:val="clear" w:color="auto" w:fill="F3F1FA"/>
          </w:tcPr>
          <w:p>
            <w:r>
              <w:rPr>
                <w:rFonts w:ascii="Arial" w:hAnsi="Arial"/>
                <w:color w:val="1A0F5C"/>
                <w:sz w:val="19"/>
              </w:rPr>
              <w:t>Patients served (people)</w:t>
            </w:r>
          </w:p>
        </w:tc>
        <w:tc>
          <w:tcPr>
            <w:tcW w:type="dxa" w:w="1569"/>
            <w:shd w:val="clear" w:color="auto" w:fill="F3F1FA"/>
          </w:tcPr>
          <w:p>
            <w:r>
              <w:rPr>
                <w:rFonts w:ascii="Arial" w:hAnsi="Arial"/>
                <w:color w:val="1A0F5C"/>
                <w:sz w:val="19"/>
              </w:rPr>
              <w:t>94,275</w:t>
            </w:r>
          </w:p>
        </w:tc>
        <w:tc>
          <w:tcPr>
            <w:tcW w:type="dxa" w:w="1569"/>
            <w:shd w:val="clear" w:color="auto" w:fill="F3F1FA"/>
          </w:tcPr>
          <w:p>
            <w:r>
              <w:rPr>
                <w:rFonts w:ascii="Arial" w:hAnsi="Arial"/>
                <w:color w:val="1A0F5C"/>
                <w:sz w:val="19"/>
              </w:rPr>
              <w:t>97,827</w:t>
            </w:r>
          </w:p>
        </w:tc>
        <w:tc>
          <w:tcPr>
            <w:tcW w:type="dxa" w:w="1477"/>
            <w:shd w:val="clear" w:color="auto" w:fill="F3F1FA"/>
          </w:tcPr>
          <w:p>
            <w:r>
              <w:rPr>
                <w:rFonts w:ascii="Arial" w:hAnsi="Arial"/>
                <w:color w:val="1A0F5C"/>
                <w:sz w:val="19"/>
              </w:rPr>
              <w:t>+3.77%</w:t>
            </w:r>
          </w:p>
        </w:tc>
        <w:tc>
          <w:tcPr>
            <w:tcW w:type="dxa" w:w="1849"/>
            <w:shd w:val="clear" w:color="auto" w:fill="F3F1FA"/>
          </w:tcPr>
          <w:p>
            <w:r>
              <w:rPr>
                <w:rFonts w:ascii="Arial" w:hAnsi="Arial"/>
                <w:color w:val="1A0F5C"/>
                <w:sz w:val="19"/>
              </w:rPr>
              <w:t>+0.0370</w:t>
            </w:r>
          </w:p>
        </w:tc>
      </w:tr>
      <w:tr>
        <w:tc>
          <w:tcPr>
            <w:tcW w:type="dxa" w:w="3508"/>
          </w:tcPr>
          <w:p>
            <w:r>
              <w:rPr>
                <w:rFonts w:ascii="Arial" w:hAnsi="Arial"/>
                <w:color w:val="1A0F5C"/>
                <w:sz w:val="19"/>
              </w:rPr>
              <w:t xml:space="preserve">   of whom new (signed up in the half)</w:t>
            </w:r>
          </w:p>
        </w:tc>
        <w:tc>
          <w:tcPr>
            <w:tcW w:type="dxa" w:w="1569"/>
          </w:tcPr>
          <w:p>
            <w:r>
              <w:rPr>
                <w:rFonts w:ascii="Arial" w:hAnsi="Arial"/>
                <w:color w:val="1A0F5C"/>
                <w:sz w:val="19"/>
              </w:rPr>
              <w:t>37,837</w:t>
            </w:r>
          </w:p>
        </w:tc>
        <w:tc>
          <w:tcPr>
            <w:tcW w:type="dxa" w:w="1569"/>
          </w:tcPr>
          <w:p>
            <w:r>
              <w:rPr>
                <w:rFonts w:ascii="Arial" w:hAnsi="Arial"/>
                <w:color w:val="1A0F5C"/>
                <w:sz w:val="19"/>
              </w:rPr>
              <w:t>39,150</w:t>
            </w:r>
          </w:p>
        </w:tc>
        <w:tc>
          <w:tcPr>
            <w:tcW w:type="dxa" w:w="1477"/>
          </w:tcPr>
          <w:p>
            <w:r>
              <w:rPr>
                <w:rFonts w:ascii="Arial" w:hAnsi="Arial"/>
                <w:color w:val="1A0F5C"/>
                <w:sz w:val="19"/>
              </w:rPr>
              <w:t>+3.47%</w:t>
            </w:r>
          </w:p>
        </w:tc>
        <w:tc>
          <w:tcPr>
            <w:tcW w:type="dxa" w:w="1849"/>
          </w:tcPr>
          <w:p>
            <w:r>
              <w:rPr>
                <w:rFonts w:ascii="Arial" w:hAnsi="Arial"/>
                <w:color w:val="1A0F5C"/>
                <w:sz w:val="19"/>
              </w:rPr>
              <w:t>–</w:t>
            </w:r>
          </w:p>
        </w:tc>
      </w:tr>
      <w:tr>
        <w:tc>
          <w:tcPr>
            <w:tcW w:type="dxa" w:w="3508"/>
            <w:shd w:val="clear" w:color="auto" w:fill="F3F1FA"/>
          </w:tcPr>
          <w:p>
            <w:r>
              <w:rPr>
                <w:rFonts w:ascii="Arial" w:hAnsi="Arial"/>
                <w:color w:val="1A0F5C"/>
                <w:sz w:val="19"/>
              </w:rPr>
              <w:t xml:space="preserve">   of whom returning</w:t>
            </w:r>
          </w:p>
        </w:tc>
        <w:tc>
          <w:tcPr>
            <w:tcW w:type="dxa" w:w="1569"/>
            <w:shd w:val="clear" w:color="auto" w:fill="F3F1FA"/>
          </w:tcPr>
          <w:p>
            <w:r>
              <w:rPr>
                <w:rFonts w:ascii="Arial" w:hAnsi="Arial"/>
                <w:color w:val="1A0F5C"/>
                <w:sz w:val="19"/>
              </w:rPr>
              <w:t>56,438</w:t>
            </w:r>
          </w:p>
        </w:tc>
        <w:tc>
          <w:tcPr>
            <w:tcW w:type="dxa" w:w="1569"/>
            <w:shd w:val="clear" w:color="auto" w:fill="F3F1FA"/>
          </w:tcPr>
          <w:p>
            <w:r>
              <w:rPr>
                <w:rFonts w:ascii="Arial" w:hAnsi="Arial"/>
                <w:color w:val="1A0F5C"/>
                <w:sz w:val="19"/>
              </w:rPr>
              <w:t>58,677</w:t>
            </w:r>
          </w:p>
        </w:tc>
        <w:tc>
          <w:tcPr>
            <w:tcW w:type="dxa" w:w="1477"/>
            <w:shd w:val="clear" w:color="auto" w:fill="F3F1FA"/>
          </w:tcPr>
          <w:p>
            <w:r>
              <w:rPr>
                <w:rFonts w:ascii="Arial" w:hAnsi="Arial"/>
                <w:color w:val="1A0F5C"/>
                <w:sz w:val="19"/>
              </w:rPr>
              <w:t>+3.97%</w:t>
            </w:r>
          </w:p>
        </w:tc>
        <w:tc>
          <w:tcPr>
            <w:tcW w:type="dxa" w:w="1849"/>
            <w:shd w:val="clear" w:color="auto" w:fill="F3F1FA"/>
          </w:tcPr>
          <w:p>
            <w:r>
              <w:rPr>
                <w:rFonts w:ascii="Arial" w:hAnsi="Arial"/>
                <w:color w:val="1A0F5C"/>
                <w:sz w:val="19"/>
              </w:rPr>
              <w:t>–</w:t>
            </w:r>
          </w:p>
        </w:tc>
      </w:tr>
      <w:tr>
        <w:tc>
          <w:tcPr>
            <w:tcW w:type="dxa" w:w="3508"/>
          </w:tcPr>
          <w:p>
            <w:r>
              <w:rPr>
                <w:rFonts w:ascii="Arial" w:hAnsi="Arial"/>
                <w:color w:val="1A0F5C"/>
                <w:sz w:val="19"/>
              </w:rPr>
              <w:t>× Visits per patient</w:t>
            </w:r>
          </w:p>
        </w:tc>
        <w:tc>
          <w:tcPr>
            <w:tcW w:type="dxa" w:w="1569"/>
          </w:tcPr>
          <w:p>
            <w:r>
              <w:rPr>
                <w:rFonts w:ascii="Arial" w:hAnsi="Arial"/>
                <w:color w:val="1A0F5C"/>
                <w:sz w:val="19"/>
              </w:rPr>
              <w:t>2.0027</w:t>
            </w:r>
          </w:p>
        </w:tc>
        <w:tc>
          <w:tcPr>
            <w:tcW w:type="dxa" w:w="1569"/>
          </w:tcPr>
          <w:p>
            <w:r>
              <w:rPr>
                <w:rFonts w:ascii="Arial" w:hAnsi="Arial"/>
                <w:color w:val="1A0F5C"/>
                <w:sz w:val="19"/>
              </w:rPr>
              <w:t>1.9833</w:t>
            </w:r>
          </w:p>
        </w:tc>
        <w:tc>
          <w:tcPr>
            <w:tcW w:type="dxa" w:w="1477"/>
          </w:tcPr>
          <w:p>
            <w:r>
              <w:rPr>
                <w:rFonts w:ascii="Arial" w:hAnsi="Arial"/>
                <w:color w:val="1A0F5C"/>
                <w:sz w:val="19"/>
              </w:rPr>
              <w:t>−0.97%</w:t>
            </w:r>
          </w:p>
        </w:tc>
        <w:tc>
          <w:tcPr>
            <w:tcW w:type="dxa" w:w="1849"/>
          </w:tcPr>
          <w:p>
            <w:r>
              <w:rPr>
                <w:rFonts w:ascii="Arial" w:hAnsi="Arial"/>
                <w:color w:val="1A0F5C"/>
                <w:sz w:val="19"/>
              </w:rPr>
              <w:t>−0.0097</w:t>
            </w:r>
          </w:p>
        </w:tc>
      </w:tr>
      <w:tr>
        <w:tc>
          <w:tcPr>
            <w:tcW w:type="dxa" w:w="3508"/>
            <w:shd w:val="clear" w:color="auto" w:fill="F3F1FA"/>
          </w:tcPr>
          <w:p>
            <w:r>
              <w:rPr>
                <w:rFonts w:ascii="Arial" w:hAnsi="Arial"/>
                <w:color w:val="1A0F5C"/>
                <w:sz w:val="19"/>
              </w:rPr>
              <w:t>× Tests per visit</w:t>
            </w:r>
          </w:p>
        </w:tc>
        <w:tc>
          <w:tcPr>
            <w:tcW w:type="dxa" w:w="1569"/>
            <w:shd w:val="clear" w:color="auto" w:fill="F3F1FA"/>
          </w:tcPr>
          <w:p>
            <w:r>
              <w:rPr>
                <w:rFonts w:ascii="Arial" w:hAnsi="Arial"/>
                <w:color w:val="1A0F5C"/>
                <w:sz w:val="19"/>
              </w:rPr>
              <w:t>2.2966</w:t>
            </w:r>
          </w:p>
        </w:tc>
        <w:tc>
          <w:tcPr>
            <w:tcW w:type="dxa" w:w="1569"/>
            <w:shd w:val="clear" w:color="auto" w:fill="F3F1FA"/>
          </w:tcPr>
          <w:p>
            <w:r>
              <w:rPr>
                <w:rFonts w:ascii="Arial" w:hAnsi="Arial"/>
                <w:color w:val="1A0F5C"/>
                <w:sz w:val="19"/>
              </w:rPr>
              <w:t>2.3471</w:t>
            </w:r>
          </w:p>
        </w:tc>
        <w:tc>
          <w:tcPr>
            <w:tcW w:type="dxa" w:w="1477"/>
            <w:shd w:val="clear" w:color="auto" w:fill="F3F1FA"/>
          </w:tcPr>
          <w:p>
            <w:r>
              <w:rPr>
                <w:rFonts w:ascii="Arial" w:hAnsi="Arial"/>
                <w:color w:val="1A0F5C"/>
                <w:sz w:val="19"/>
              </w:rPr>
              <w:t>+2.20%</w:t>
            </w:r>
          </w:p>
        </w:tc>
        <w:tc>
          <w:tcPr>
            <w:tcW w:type="dxa" w:w="1849"/>
            <w:shd w:val="clear" w:color="auto" w:fill="F3F1FA"/>
          </w:tcPr>
          <w:p>
            <w:r>
              <w:rPr>
                <w:rFonts w:ascii="Arial" w:hAnsi="Arial"/>
                <w:color w:val="1A0F5C"/>
                <w:sz w:val="19"/>
              </w:rPr>
              <w:t>+0.0217</w:t>
            </w:r>
          </w:p>
        </w:tc>
      </w:tr>
      <w:tr>
        <w:tc>
          <w:tcPr>
            <w:tcW w:type="dxa" w:w="3508"/>
          </w:tcPr>
          <w:p>
            <w:r>
              <w:rPr>
                <w:rFonts w:ascii="Arial" w:hAnsi="Arial"/>
                <w:color w:val="1A0F5C"/>
                <w:sz w:val="19"/>
              </w:rPr>
              <w:t>Visits (bookings)</w:t>
            </w:r>
          </w:p>
        </w:tc>
        <w:tc>
          <w:tcPr>
            <w:tcW w:type="dxa" w:w="1569"/>
          </w:tcPr>
          <w:p>
            <w:r>
              <w:rPr>
                <w:rFonts w:ascii="Arial" w:hAnsi="Arial"/>
                <w:color w:val="1A0F5C"/>
                <w:sz w:val="19"/>
              </w:rPr>
              <w:t>188,803</w:t>
            </w:r>
          </w:p>
        </w:tc>
        <w:tc>
          <w:tcPr>
            <w:tcW w:type="dxa" w:w="1569"/>
          </w:tcPr>
          <w:p>
            <w:r>
              <w:rPr>
                <w:rFonts w:ascii="Arial" w:hAnsi="Arial"/>
                <w:color w:val="1A0F5C"/>
                <w:sz w:val="19"/>
              </w:rPr>
              <w:t>194,020</w:t>
            </w:r>
          </w:p>
        </w:tc>
        <w:tc>
          <w:tcPr>
            <w:tcW w:type="dxa" w:w="1477"/>
          </w:tcPr>
          <w:p>
            <w:r>
              <w:rPr>
                <w:rFonts w:ascii="Arial" w:hAnsi="Arial"/>
                <w:color w:val="1A0F5C"/>
                <w:sz w:val="19"/>
              </w:rPr>
              <w:t>+2.76%</w:t>
            </w:r>
          </w:p>
        </w:tc>
        <w:tc>
          <w:tcPr>
            <w:tcW w:type="dxa" w:w="1849"/>
          </w:tcPr>
          <w:p>
            <w:r>
              <w:rPr>
                <w:rFonts w:ascii="Arial" w:hAnsi="Arial"/>
                <w:color w:val="1A0F5C"/>
                <w:sz w:val="19"/>
              </w:rPr>
              <w:t>+0.0273</w:t>
            </w:r>
          </w:p>
        </w:tc>
      </w:tr>
      <w:tr>
        <w:tc>
          <w:tcPr>
            <w:tcW w:type="dxa" w:w="3508"/>
            <w:shd w:val="clear" w:color="auto" w:fill="F3F1FA"/>
          </w:tcPr>
          <w:p>
            <w:r>
              <w:rPr>
                <w:rFonts w:ascii="Arial" w:hAnsi="Arial"/>
                <w:color w:val="1A0F5C"/>
                <w:sz w:val="19"/>
              </w:rPr>
              <w:t>Revenue (list price + home fee), Rs</w:t>
            </w:r>
          </w:p>
        </w:tc>
        <w:tc>
          <w:tcPr>
            <w:tcW w:type="dxa" w:w="1569"/>
            <w:shd w:val="clear" w:color="auto" w:fill="F3F1FA"/>
          </w:tcPr>
          <w:p>
            <w:r>
              <w:rPr>
                <w:rFonts w:ascii="Arial" w:hAnsi="Arial"/>
                <w:color w:val="1A0F5C"/>
                <w:sz w:val="19"/>
              </w:rPr>
              <w:t>28.67 crore</w:t>
            </w:r>
          </w:p>
        </w:tc>
        <w:tc>
          <w:tcPr>
            <w:tcW w:type="dxa" w:w="1569"/>
            <w:shd w:val="clear" w:color="auto" w:fill="F3F1FA"/>
          </w:tcPr>
          <w:p>
            <w:r>
              <w:rPr>
                <w:rFonts w:ascii="Arial" w:hAnsi="Arial"/>
                <w:color w:val="1A0F5C"/>
                <w:sz w:val="19"/>
              </w:rPr>
              <w:t>31.94 crore</w:t>
            </w:r>
          </w:p>
        </w:tc>
        <w:tc>
          <w:tcPr>
            <w:tcW w:type="dxa" w:w="1477"/>
            <w:shd w:val="clear" w:color="auto" w:fill="F3F1FA"/>
          </w:tcPr>
          <w:p>
            <w:r>
              <w:rPr>
                <w:rFonts w:ascii="Arial" w:hAnsi="Arial"/>
                <w:color w:val="1A0F5C"/>
                <w:sz w:val="19"/>
              </w:rPr>
              <w:t>+11.43%</w:t>
            </w:r>
          </w:p>
        </w:tc>
        <w:tc>
          <w:tcPr>
            <w:tcW w:type="dxa" w:w="1849"/>
            <w:shd w:val="clear" w:color="auto" w:fill="F3F1FA"/>
          </w:tcPr>
          <w:p>
            <w:r>
              <w:rPr>
                <w:rFonts w:ascii="Arial" w:hAnsi="Arial"/>
                <w:color w:val="1A0F5C"/>
                <w:sz w:val="19"/>
              </w:rPr>
              <w:t>+0.1082</w:t>
            </w:r>
          </w:p>
        </w:tc>
      </w:tr>
      <w:tr>
        <w:tc>
          <w:tcPr>
            <w:tcW w:type="dxa" w:w="3508"/>
          </w:tcPr>
          <w:p>
            <w:r>
              <w:rPr>
                <w:rFonts w:ascii="Arial" w:hAnsi="Arial"/>
                <w:color w:val="1A0F5C"/>
                <w:sz w:val="19"/>
              </w:rPr>
              <w:t>× Revenue per test, Rs</w:t>
            </w:r>
          </w:p>
        </w:tc>
        <w:tc>
          <w:tcPr>
            <w:tcW w:type="dxa" w:w="1569"/>
          </w:tcPr>
          <w:p>
            <w:r>
              <w:rPr>
                <w:rFonts w:ascii="Arial" w:hAnsi="Arial"/>
                <w:color w:val="1A0F5C"/>
                <w:sz w:val="19"/>
              </w:rPr>
              <w:t>661</w:t>
            </w:r>
          </w:p>
        </w:tc>
        <w:tc>
          <w:tcPr>
            <w:tcW w:type="dxa" w:w="1569"/>
          </w:tcPr>
          <w:p>
            <w:r>
              <w:rPr>
                <w:rFonts w:ascii="Arial" w:hAnsi="Arial"/>
                <w:color w:val="1A0F5C"/>
                <w:sz w:val="19"/>
              </w:rPr>
              <w:t>701</w:t>
            </w:r>
          </w:p>
        </w:tc>
        <w:tc>
          <w:tcPr>
            <w:tcW w:type="dxa" w:w="1477"/>
          </w:tcPr>
          <w:p>
            <w:r>
              <w:rPr>
                <w:rFonts w:ascii="Arial" w:hAnsi="Arial"/>
                <w:color w:val="1A0F5C"/>
                <w:sz w:val="19"/>
              </w:rPr>
              <w:t>+6.10%</w:t>
            </w:r>
          </w:p>
        </w:tc>
        <w:tc>
          <w:tcPr>
            <w:tcW w:type="dxa" w:w="1849"/>
          </w:tcPr>
          <w:p>
            <w:r>
              <w:rPr>
                <w:rFonts w:ascii="Arial" w:hAnsi="Arial"/>
                <w:color w:val="1A0F5C"/>
                <w:sz w:val="19"/>
              </w:rPr>
              <w:t>+0.0592</w:t>
            </w:r>
          </w:p>
        </w:tc>
      </w:tr>
    </w:tbl>
    <w:p/>
    <w:p>
      <w:r>
        <w:rPr>
          <w:b/>
          <w:i w:val="0"/>
        </w:rPr>
        <w:t xml:space="preserve">The branches multiply back: </w:t>
      </w:r>
      <w:r>
        <w:rPr>
          <w:b w:val="0"/>
          <w:i w:val="0"/>
        </w:rPr>
        <w:t>1.0377 × 0.9903 × 1.0220 = 1.0502, and in logs +0.0370 − 0.0097 + 0.0217 = +0.0490 exactly. About three-quarters of the growth came from more people, 44 percent from more tests per visit, and visits per patient took away 20 percent.</w:t>
      </w:r>
    </w:p>
    <w:p>
      <w:r>
        <w:rPr>
          <w:b/>
          <w:i w:val="0"/>
        </w:rPr>
        <w:t xml:space="preserve">Against the plan: </w:t>
      </w:r>
      <w:r>
        <w:rPr>
          <w:b w:val="0"/>
          <w:i w:val="0"/>
        </w:rPr>
        <w:t>the plan file totals 515,740 tests, +18.9 percent on H1 2025, so the gap is 60,357 tests or 13.9 points. The plan was set on last year's mix, which holds visits per patient and tests per visit constant and puts the whole 18.9 percent on patients. On that reading the short branch is patients: people grew 3.8 percent where the plan needed 18.9. Tests per visit ran ahead of plan (+2.2 percent) and visits per patient slightly behind (−1.0 percent).</w:t>
      </w:r>
    </w:p>
    <w:p>
      <w:pPr>
        <w:pStyle w:val="Heading2"/>
      </w:pPr>
      <w:r>
        <w:t>Revenue per test: price or mix?</w:t>
      </w:r>
    </w:p>
    <w:p>
      <w:r>
        <w:rPr>
          <w:b w:val="0"/>
          <w:i w:val="0"/>
        </w:rPr>
        <w:t>Every test code carries the same price in both halves, so the price effect is zero. Test-line revenue per test rose 7.8 percent (Rs 638.8 to Rs 688.8), all of it mix: packages rose from 12.4 to 15.9 percent of tests, and from 26.2 to 33.3 percent of bookings. Home-collection fees fell from Rs 96.5 lakh to Rs 57.3 lakh because of the free home collection offer in Q1, which is why revenue per test including fees rose 6.1 rather than 7.8 percent. Invoiced revenue by invoice date agrees in direction: Rs 23.96 crore to Rs 26.83 crore, +12.0 percent.</w:t>
      </w:r>
    </w:p>
    <w:p>
      <w:pPr>
        <w:pStyle w:val="Heading2"/>
      </w:pPr>
      <w:r>
        <w:t>Two tables agree</w:t>
      </w:r>
    </w:p>
    <w:tbl>
      <w:tblPr>
        <w:tblStyle w:val="TableGrid"/>
        <w:tblW w:type="auto" w:w="0"/>
        <w:tblLayout w:type="fixed"/>
        <w:tblLook w:firstColumn="1" w:firstRow="1" w:lastColumn="0" w:lastRow="0" w:noHBand="0" w:noVBand="1" w:val="04A0"/>
      </w:tblPr>
      <w:tblGrid>
        <w:gridCol w:w="2862"/>
        <w:gridCol w:w="1385"/>
        <w:gridCol w:w="1385"/>
        <w:gridCol w:w="1108"/>
        <w:gridCol w:w="3232"/>
      </w:tblGrid>
      <w:tr>
        <w:tc>
          <w:tcPr>
            <w:tcW w:type="dxa" w:w="2862"/>
            <w:shd w:val="clear" w:color="auto" w:fill="4E38AB"/>
          </w:tcPr>
          <w:p>
            <w:r>
              <w:rPr>
                <w:rFonts w:ascii="Arial" w:hAnsi="Arial"/>
                <w:b/>
                <w:color w:val="FFFFFF"/>
                <w:sz w:val="19"/>
              </w:rPr>
              <w:t>Source</w:t>
            </w:r>
          </w:p>
        </w:tc>
        <w:tc>
          <w:tcPr>
            <w:tcW w:type="dxa" w:w="1385"/>
            <w:shd w:val="clear" w:color="auto" w:fill="4E38AB"/>
          </w:tcPr>
          <w:p>
            <w:r>
              <w:rPr>
                <w:rFonts w:ascii="Arial" w:hAnsi="Arial"/>
                <w:b/>
                <w:color w:val="FFFFFF"/>
                <w:sz w:val="19"/>
              </w:rPr>
              <w:t>H1 2025</w:t>
            </w:r>
          </w:p>
        </w:tc>
        <w:tc>
          <w:tcPr>
            <w:tcW w:type="dxa" w:w="1385"/>
            <w:shd w:val="clear" w:color="auto" w:fill="4E38AB"/>
          </w:tcPr>
          <w:p>
            <w:r>
              <w:rPr>
                <w:rFonts w:ascii="Arial" w:hAnsi="Arial"/>
                <w:b/>
                <w:color w:val="FFFFFF"/>
                <w:sz w:val="19"/>
              </w:rPr>
              <w:t>H1 2026</w:t>
            </w:r>
          </w:p>
        </w:tc>
        <w:tc>
          <w:tcPr>
            <w:tcW w:type="dxa" w:w="1108"/>
            <w:shd w:val="clear" w:color="auto" w:fill="4E38AB"/>
          </w:tcPr>
          <w:p>
            <w:r>
              <w:rPr>
                <w:rFonts w:ascii="Arial" w:hAnsi="Arial"/>
                <w:b/>
                <w:color w:val="FFFFFF"/>
                <w:sz w:val="19"/>
              </w:rPr>
              <w:t>Growth</w:t>
            </w:r>
          </w:p>
        </w:tc>
        <w:tc>
          <w:tcPr>
            <w:tcW w:type="dxa" w:w="3232"/>
            <w:shd w:val="clear" w:color="auto" w:fill="4E38AB"/>
          </w:tcPr>
          <w:p>
            <w:r>
              <w:rPr>
                <w:rFonts w:ascii="Arial" w:hAnsi="Arial"/>
                <w:b/>
                <w:color w:val="FFFFFF"/>
                <w:sz w:val="19"/>
              </w:rPr>
              <w:t>What it counts</w:t>
            </w:r>
          </w:p>
        </w:tc>
      </w:tr>
      <w:tr>
        <w:tc>
          <w:tcPr>
            <w:tcW w:type="dxa" w:w="2862"/>
          </w:tcPr>
          <w:p>
            <w:r>
              <w:rPr>
                <w:rFonts w:ascii="Arial" w:hAnsi="Arial"/>
                <w:color w:val="1A0F5C"/>
                <w:sz w:val="19"/>
              </w:rPr>
              <w:t>Bookings (headline)</w:t>
            </w:r>
          </w:p>
        </w:tc>
        <w:tc>
          <w:tcPr>
            <w:tcW w:type="dxa" w:w="1385"/>
          </w:tcPr>
          <w:p>
            <w:r>
              <w:rPr>
                <w:rFonts w:ascii="Arial" w:hAnsi="Arial"/>
                <w:color w:val="1A0F5C"/>
                <w:sz w:val="19"/>
              </w:rPr>
              <w:t>433,611</w:t>
            </w:r>
          </w:p>
        </w:tc>
        <w:tc>
          <w:tcPr>
            <w:tcW w:type="dxa" w:w="1385"/>
          </w:tcPr>
          <w:p>
            <w:r>
              <w:rPr>
                <w:rFonts w:ascii="Arial" w:hAnsi="Arial"/>
                <w:color w:val="1A0F5C"/>
                <w:sz w:val="19"/>
              </w:rPr>
              <w:t>455,383</w:t>
            </w:r>
          </w:p>
        </w:tc>
        <w:tc>
          <w:tcPr>
            <w:tcW w:type="dxa" w:w="1108"/>
          </w:tcPr>
          <w:p>
            <w:r>
              <w:rPr>
                <w:rFonts w:ascii="Arial" w:hAnsi="Arial"/>
                <w:color w:val="1A0F5C"/>
                <w:sz w:val="19"/>
              </w:rPr>
              <w:t>+5.0%</w:t>
            </w:r>
          </w:p>
        </w:tc>
        <w:tc>
          <w:tcPr>
            <w:tcW w:type="dxa" w:w="3232"/>
          </w:tcPr>
          <w:p>
            <w:r>
              <w:rPr>
                <w:rFonts w:ascii="Arial" w:hAnsi="Arial"/>
                <w:color w:val="1A0F5C"/>
                <w:sz w:val="19"/>
              </w:rPr>
              <w:t>tests booked, after the identity rule</w:t>
            </w:r>
          </w:p>
        </w:tc>
      </w:tr>
      <w:tr>
        <w:tc>
          <w:tcPr>
            <w:tcW w:type="dxa" w:w="2862"/>
            <w:shd w:val="clear" w:color="auto" w:fill="F3F1FA"/>
          </w:tcPr>
          <w:p>
            <w:r>
              <w:rPr>
                <w:rFonts w:ascii="Arial" w:hAnsi="Arial"/>
                <w:color w:val="1A0F5C"/>
                <w:sz w:val="19"/>
              </w:rPr>
              <w:t>Bookings, collected or no-show only</w:t>
            </w:r>
          </w:p>
        </w:tc>
        <w:tc>
          <w:tcPr>
            <w:tcW w:type="dxa" w:w="1385"/>
            <w:shd w:val="clear" w:color="auto" w:fill="F3F1FA"/>
          </w:tcPr>
          <w:p>
            <w:r>
              <w:rPr>
                <w:rFonts w:ascii="Arial" w:hAnsi="Arial"/>
                <w:color w:val="1A0F5C"/>
                <w:sz w:val="19"/>
              </w:rPr>
              <w:t>420,658</w:t>
            </w:r>
          </w:p>
        </w:tc>
        <w:tc>
          <w:tcPr>
            <w:tcW w:type="dxa" w:w="1385"/>
            <w:shd w:val="clear" w:color="auto" w:fill="F3F1FA"/>
          </w:tcPr>
          <w:p>
            <w:r>
              <w:rPr>
                <w:rFonts w:ascii="Arial" w:hAnsi="Arial"/>
                <w:color w:val="1A0F5C"/>
                <w:sz w:val="19"/>
              </w:rPr>
              <w:t>438,344</w:t>
            </w:r>
          </w:p>
        </w:tc>
        <w:tc>
          <w:tcPr>
            <w:tcW w:type="dxa" w:w="1108"/>
            <w:shd w:val="clear" w:color="auto" w:fill="F3F1FA"/>
          </w:tcPr>
          <w:p>
            <w:r>
              <w:rPr>
                <w:rFonts w:ascii="Arial" w:hAnsi="Arial"/>
                <w:color w:val="1A0F5C"/>
                <w:sz w:val="19"/>
              </w:rPr>
              <w:t>+4.2%</w:t>
            </w:r>
          </w:p>
        </w:tc>
        <w:tc>
          <w:tcPr>
            <w:tcW w:type="dxa" w:w="3232"/>
            <w:shd w:val="clear" w:color="auto" w:fill="F3F1FA"/>
          </w:tcPr>
          <w:p>
            <w:r>
              <w:rPr>
                <w:rFonts w:ascii="Arial" w:hAnsi="Arial"/>
                <w:color w:val="1A0F5C"/>
                <w:sz w:val="19"/>
              </w:rPr>
              <w:t>excludes bookings with no collection record</w:t>
            </w:r>
          </w:p>
        </w:tc>
      </w:tr>
      <w:tr>
        <w:tc>
          <w:tcPr>
            <w:tcW w:type="dxa" w:w="2862"/>
          </w:tcPr>
          <w:p>
            <w:r>
              <w:rPr>
                <w:rFonts w:ascii="Arial" w:hAnsi="Arial"/>
                <w:color w:val="1A0F5C"/>
                <w:sz w:val="19"/>
              </w:rPr>
              <w:t>Results (lab system)</w:t>
            </w:r>
          </w:p>
        </w:tc>
        <w:tc>
          <w:tcPr>
            <w:tcW w:type="dxa" w:w="1385"/>
          </w:tcPr>
          <w:p>
            <w:r>
              <w:rPr>
                <w:rFonts w:ascii="Arial" w:hAnsi="Arial"/>
                <w:color w:val="1A0F5C"/>
                <w:sz w:val="19"/>
              </w:rPr>
              <w:t>353,678</w:t>
            </w:r>
          </w:p>
        </w:tc>
        <w:tc>
          <w:tcPr>
            <w:tcW w:type="dxa" w:w="1385"/>
          </w:tcPr>
          <w:p>
            <w:r>
              <w:rPr>
                <w:rFonts w:ascii="Arial" w:hAnsi="Arial"/>
                <w:color w:val="1A0F5C"/>
                <w:sz w:val="19"/>
              </w:rPr>
              <w:t>374,171</w:t>
            </w:r>
          </w:p>
        </w:tc>
        <w:tc>
          <w:tcPr>
            <w:tcW w:type="dxa" w:w="1108"/>
          </w:tcPr>
          <w:p>
            <w:r>
              <w:rPr>
                <w:rFonts w:ascii="Arial" w:hAnsi="Arial"/>
                <w:color w:val="1A0F5C"/>
                <w:sz w:val="19"/>
              </w:rPr>
              <w:t>+5.8%</w:t>
            </w:r>
          </w:p>
        </w:tc>
        <w:tc>
          <w:tcPr>
            <w:tcW w:type="dxa" w:w="3232"/>
          </w:tcPr>
          <w:p>
            <w:r>
              <w:rPr>
                <w:rFonts w:ascii="Arial" w:hAnsi="Arial"/>
                <w:color w:val="1A0F5C"/>
                <w:sz w:val="19"/>
              </w:rPr>
              <w:t>tests actually run; rescheduled visits keyed to the original id</w:t>
            </w:r>
          </w:p>
        </w:tc>
      </w:tr>
      <w:tr>
        <w:tc>
          <w:tcPr>
            <w:tcW w:type="dxa" w:w="2862"/>
            <w:shd w:val="clear" w:color="auto" w:fill="F3F1FA"/>
          </w:tcPr>
          <w:p>
            <w:r>
              <w:rPr>
                <w:rFonts w:ascii="Arial" w:hAnsi="Arial"/>
                <w:color w:val="1A0F5C"/>
                <w:sz w:val="19"/>
              </w:rPr>
              <w:t>SQL (notebook 04)</w:t>
            </w:r>
          </w:p>
        </w:tc>
        <w:tc>
          <w:tcPr>
            <w:tcW w:type="dxa" w:w="1385"/>
            <w:shd w:val="clear" w:color="auto" w:fill="F3F1FA"/>
          </w:tcPr>
          <w:p>
            <w:r>
              <w:rPr>
                <w:rFonts w:ascii="Arial" w:hAnsi="Arial"/>
                <w:color w:val="1A0F5C"/>
                <w:sz w:val="19"/>
              </w:rPr>
              <w:t>433,611</w:t>
            </w:r>
          </w:p>
        </w:tc>
        <w:tc>
          <w:tcPr>
            <w:tcW w:type="dxa" w:w="1385"/>
            <w:shd w:val="clear" w:color="auto" w:fill="F3F1FA"/>
          </w:tcPr>
          <w:p>
            <w:r>
              <w:rPr>
                <w:rFonts w:ascii="Arial" w:hAnsi="Arial"/>
                <w:color w:val="1A0F5C"/>
                <w:sz w:val="19"/>
              </w:rPr>
              <w:t>455,383</w:t>
            </w:r>
          </w:p>
        </w:tc>
        <w:tc>
          <w:tcPr>
            <w:tcW w:type="dxa" w:w="1108"/>
            <w:shd w:val="clear" w:color="auto" w:fill="F3F1FA"/>
          </w:tcPr>
          <w:p>
            <w:r>
              <w:rPr>
                <w:rFonts w:ascii="Arial" w:hAnsi="Arial"/>
                <w:color w:val="1A0F5C"/>
                <w:sz w:val="19"/>
              </w:rPr>
              <w:t>+5.0%</w:t>
            </w:r>
          </w:p>
        </w:tc>
        <w:tc>
          <w:tcPr>
            <w:tcW w:type="dxa" w:w="3232"/>
            <w:shd w:val="clear" w:color="auto" w:fill="F3F1FA"/>
          </w:tcPr>
          <w:p>
            <w:r>
              <w:rPr>
                <w:rFonts w:ascii="Arial" w:hAnsi="Arial"/>
                <w:color w:val="1A0F5C"/>
                <w:sz w:val="19"/>
              </w:rPr>
              <w:t>the same rule, half-open date intervals</w:t>
            </w:r>
          </w:p>
        </w:tc>
      </w:tr>
    </w:tbl>
    <w:p/>
    <w:p>
      <w:pPr>
        <w:pStyle w:val="Heading1"/>
      </w:pPr>
      <w:r>
        <w:t>10. Where the gap sits</w:t>
      </w:r>
    </w:p>
    <w:p>
      <w:pPr>
        <w:pStyle w:val="Heading2"/>
      </w:pPr>
      <w:r>
        <w:t>By city: the plan was set city by city</w:t>
      </w:r>
    </w:p>
    <w:tbl>
      <w:tblPr>
        <w:tblStyle w:val="TableGrid"/>
        <w:tblW w:type="auto" w:w="0"/>
        <w:tblLayout w:type="fixed"/>
        <w:tblLook w:firstColumn="1" w:firstRow="1" w:lastColumn="0" w:lastRow="0" w:noHBand="0" w:noVBand="1" w:val="04A0"/>
      </w:tblPr>
      <w:tblGrid>
        <w:gridCol w:w="1338"/>
        <w:gridCol w:w="1154"/>
        <w:gridCol w:w="1246"/>
        <w:gridCol w:w="1292"/>
        <w:gridCol w:w="1200"/>
        <w:gridCol w:w="1292"/>
        <w:gridCol w:w="1154"/>
        <w:gridCol w:w="1296"/>
      </w:tblGrid>
      <w:tr>
        <w:tc>
          <w:tcPr>
            <w:tcW w:type="dxa" w:w="1338"/>
            <w:shd w:val="clear" w:color="auto" w:fill="4E38AB"/>
          </w:tcPr>
          <w:p>
            <w:r>
              <w:rPr>
                <w:rFonts w:ascii="Arial" w:hAnsi="Arial"/>
                <w:b/>
                <w:color w:val="FFFFFF"/>
                <w:sz w:val="19"/>
              </w:rPr>
              <w:t>City</w:t>
            </w:r>
          </w:p>
        </w:tc>
        <w:tc>
          <w:tcPr>
            <w:tcW w:type="dxa" w:w="1154"/>
            <w:shd w:val="clear" w:color="auto" w:fill="4E38AB"/>
          </w:tcPr>
          <w:p>
            <w:r>
              <w:rPr>
                <w:rFonts w:ascii="Arial" w:hAnsi="Arial"/>
                <w:b/>
                <w:color w:val="FFFFFF"/>
                <w:sz w:val="19"/>
              </w:rPr>
              <w:t>H1 2025</w:t>
            </w:r>
          </w:p>
        </w:tc>
        <w:tc>
          <w:tcPr>
            <w:tcW w:type="dxa" w:w="1246"/>
            <w:shd w:val="clear" w:color="auto" w:fill="4E38AB"/>
          </w:tcPr>
          <w:p>
            <w:r>
              <w:rPr>
                <w:rFonts w:ascii="Arial" w:hAnsi="Arial"/>
                <w:b/>
                <w:color w:val="FFFFFF"/>
                <w:sz w:val="19"/>
              </w:rPr>
              <w:t>Plan H1 2026</w:t>
            </w:r>
          </w:p>
        </w:tc>
        <w:tc>
          <w:tcPr>
            <w:tcW w:type="dxa" w:w="1292"/>
            <w:shd w:val="clear" w:color="auto" w:fill="4E38AB"/>
          </w:tcPr>
          <w:p>
            <w:r>
              <w:rPr>
                <w:rFonts w:ascii="Arial" w:hAnsi="Arial"/>
                <w:b/>
                <w:color w:val="FFFFFF"/>
                <w:sz w:val="19"/>
              </w:rPr>
              <w:t>Actual H1 2026</w:t>
            </w:r>
          </w:p>
        </w:tc>
        <w:tc>
          <w:tcPr>
            <w:tcW w:type="dxa" w:w="1200"/>
            <w:shd w:val="clear" w:color="auto" w:fill="4E38AB"/>
          </w:tcPr>
          <w:p>
            <w:r>
              <w:rPr>
                <w:rFonts w:ascii="Arial" w:hAnsi="Arial"/>
                <w:b/>
                <w:color w:val="FFFFFF"/>
                <w:sz w:val="19"/>
              </w:rPr>
              <w:t>Plan growth</w:t>
            </w:r>
          </w:p>
        </w:tc>
        <w:tc>
          <w:tcPr>
            <w:tcW w:type="dxa" w:w="1292"/>
            <w:shd w:val="clear" w:color="auto" w:fill="4E38AB"/>
          </w:tcPr>
          <w:p>
            <w:r>
              <w:rPr>
                <w:rFonts w:ascii="Arial" w:hAnsi="Arial"/>
                <w:b/>
                <w:color w:val="FFFFFF"/>
                <w:sz w:val="19"/>
              </w:rPr>
              <w:t>Actual growth</w:t>
            </w:r>
          </w:p>
        </w:tc>
        <w:tc>
          <w:tcPr>
            <w:tcW w:type="dxa" w:w="1154"/>
            <w:shd w:val="clear" w:color="auto" w:fill="4E38AB"/>
          </w:tcPr>
          <w:p>
            <w:r>
              <w:rPr>
                <w:rFonts w:ascii="Arial" w:hAnsi="Arial"/>
                <w:b/>
                <w:color w:val="FFFFFF"/>
                <w:sz w:val="19"/>
              </w:rPr>
              <w:t>Shortfall</w:t>
            </w:r>
          </w:p>
        </w:tc>
        <w:tc>
          <w:tcPr>
            <w:tcW w:type="dxa" w:w="1296"/>
            <w:shd w:val="clear" w:color="auto" w:fill="4E38AB"/>
          </w:tcPr>
          <w:p>
            <w:r>
              <w:rPr>
                <w:rFonts w:ascii="Arial" w:hAnsi="Arial"/>
                <w:b/>
                <w:color w:val="FFFFFF"/>
                <w:sz w:val="19"/>
              </w:rPr>
              <w:t>Share of gap</w:t>
            </w:r>
          </w:p>
        </w:tc>
      </w:tr>
      <w:tr>
        <w:tc>
          <w:tcPr>
            <w:tcW w:type="dxa" w:w="1338"/>
          </w:tcPr>
          <w:p>
            <w:r>
              <w:rPr>
                <w:rFonts w:ascii="Arial" w:hAnsi="Arial"/>
                <w:b/>
                <w:color w:val="1A0F5C"/>
                <w:sz w:val="19"/>
              </w:rPr>
              <w:t>Chennai</w:t>
            </w:r>
          </w:p>
        </w:tc>
        <w:tc>
          <w:tcPr>
            <w:tcW w:type="dxa" w:w="1154"/>
          </w:tcPr>
          <w:p>
            <w:r>
              <w:rPr>
                <w:rFonts w:ascii="Arial" w:hAnsi="Arial"/>
                <w:color w:val="1A0F5C"/>
                <w:sz w:val="19"/>
              </w:rPr>
              <w:t>79,762</w:t>
            </w:r>
          </w:p>
        </w:tc>
        <w:tc>
          <w:tcPr>
            <w:tcW w:type="dxa" w:w="1246"/>
          </w:tcPr>
          <w:p>
            <w:r>
              <w:rPr>
                <w:rFonts w:ascii="Arial" w:hAnsi="Arial"/>
                <w:color w:val="1A0F5C"/>
                <w:sz w:val="19"/>
              </w:rPr>
              <w:t>93,912</w:t>
            </w:r>
          </w:p>
        </w:tc>
        <w:tc>
          <w:tcPr>
            <w:tcW w:type="dxa" w:w="1292"/>
          </w:tcPr>
          <w:p>
            <w:r>
              <w:rPr>
                <w:rFonts w:ascii="Arial" w:hAnsi="Arial"/>
                <w:color w:val="1A0F5C"/>
                <w:sz w:val="19"/>
              </w:rPr>
              <w:t>80,502</w:t>
            </w:r>
          </w:p>
        </w:tc>
        <w:tc>
          <w:tcPr>
            <w:tcW w:type="dxa" w:w="1200"/>
          </w:tcPr>
          <w:p>
            <w:r>
              <w:rPr>
                <w:rFonts w:ascii="Arial" w:hAnsi="Arial"/>
                <w:color w:val="1A0F5C"/>
                <w:sz w:val="19"/>
              </w:rPr>
              <w:t>+17.7%</w:t>
            </w:r>
          </w:p>
        </w:tc>
        <w:tc>
          <w:tcPr>
            <w:tcW w:type="dxa" w:w="1292"/>
          </w:tcPr>
          <w:p>
            <w:r>
              <w:rPr>
                <w:rFonts w:ascii="Arial" w:hAnsi="Arial"/>
                <w:color w:val="1A0F5C"/>
                <w:sz w:val="19"/>
              </w:rPr>
              <w:t>+0.9%</w:t>
            </w:r>
          </w:p>
        </w:tc>
        <w:tc>
          <w:tcPr>
            <w:tcW w:type="dxa" w:w="1154"/>
          </w:tcPr>
          <w:p>
            <w:r>
              <w:rPr>
                <w:rFonts w:ascii="Arial" w:hAnsi="Arial"/>
                <w:color w:val="1A0F5C"/>
                <w:sz w:val="19"/>
              </w:rPr>
              <w:t>13,410</w:t>
            </w:r>
          </w:p>
        </w:tc>
        <w:tc>
          <w:tcPr>
            <w:tcW w:type="dxa" w:w="1296"/>
          </w:tcPr>
          <w:p>
            <w:r>
              <w:rPr>
                <w:rFonts w:ascii="Arial" w:hAnsi="Arial"/>
                <w:color w:val="1A0F5C"/>
                <w:sz w:val="19"/>
              </w:rPr>
              <w:t>22.2%</w:t>
            </w:r>
          </w:p>
        </w:tc>
      </w:tr>
      <w:tr>
        <w:tc>
          <w:tcPr>
            <w:tcW w:type="dxa" w:w="1338"/>
            <w:shd w:val="clear" w:color="auto" w:fill="F3F1FA"/>
          </w:tcPr>
          <w:p>
            <w:r>
              <w:rPr>
                <w:rFonts w:ascii="Arial" w:hAnsi="Arial"/>
                <w:b/>
                <w:color w:val="1A0F5C"/>
                <w:sz w:val="19"/>
              </w:rPr>
              <w:t>Bengaluru</w:t>
            </w:r>
          </w:p>
        </w:tc>
        <w:tc>
          <w:tcPr>
            <w:tcW w:type="dxa" w:w="1154"/>
            <w:shd w:val="clear" w:color="auto" w:fill="F3F1FA"/>
          </w:tcPr>
          <w:p>
            <w:r>
              <w:rPr>
                <w:rFonts w:ascii="Arial" w:hAnsi="Arial"/>
                <w:color w:val="1A0F5C"/>
                <w:sz w:val="19"/>
              </w:rPr>
              <w:t>99,438</w:t>
            </w:r>
          </w:p>
        </w:tc>
        <w:tc>
          <w:tcPr>
            <w:tcW w:type="dxa" w:w="1246"/>
            <w:shd w:val="clear" w:color="auto" w:fill="F3F1FA"/>
          </w:tcPr>
          <w:p>
            <w:r>
              <w:rPr>
                <w:rFonts w:ascii="Arial" w:hAnsi="Arial"/>
                <w:color w:val="1A0F5C"/>
                <w:sz w:val="19"/>
              </w:rPr>
              <w:t>120,085</w:t>
            </w:r>
          </w:p>
        </w:tc>
        <w:tc>
          <w:tcPr>
            <w:tcW w:type="dxa" w:w="1292"/>
            <w:shd w:val="clear" w:color="auto" w:fill="F3F1FA"/>
          </w:tcPr>
          <w:p>
            <w:r>
              <w:rPr>
                <w:rFonts w:ascii="Arial" w:hAnsi="Arial"/>
                <w:color w:val="1A0F5C"/>
                <w:sz w:val="19"/>
              </w:rPr>
              <w:t>106,973</w:t>
            </w:r>
          </w:p>
        </w:tc>
        <w:tc>
          <w:tcPr>
            <w:tcW w:type="dxa" w:w="1200"/>
            <w:shd w:val="clear" w:color="auto" w:fill="F3F1FA"/>
          </w:tcPr>
          <w:p>
            <w:r>
              <w:rPr>
                <w:rFonts w:ascii="Arial" w:hAnsi="Arial"/>
                <w:color w:val="1A0F5C"/>
                <w:sz w:val="19"/>
              </w:rPr>
              <w:t>+20.8%</w:t>
            </w:r>
          </w:p>
        </w:tc>
        <w:tc>
          <w:tcPr>
            <w:tcW w:type="dxa" w:w="1292"/>
            <w:shd w:val="clear" w:color="auto" w:fill="F3F1FA"/>
          </w:tcPr>
          <w:p>
            <w:r>
              <w:rPr>
                <w:rFonts w:ascii="Arial" w:hAnsi="Arial"/>
                <w:color w:val="1A0F5C"/>
                <w:sz w:val="19"/>
              </w:rPr>
              <w:t>+7.6%</w:t>
            </w:r>
          </w:p>
        </w:tc>
        <w:tc>
          <w:tcPr>
            <w:tcW w:type="dxa" w:w="1154"/>
            <w:shd w:val="clear" w:color="auto" w:fill="F3F1FA"/>
          </w:tcPr>
          <w:p>
            <w:r>
              <w:rPr>
                <w:rFonts w:ascii="Arial" w:hAnsi="Arial"/>
                <w:color w:val="1A0F5C"/>
                <w:sz w:val="19"/>
              </w:rPr>
              <w:t>13,112</w:t>
            </w:r>
          </w:p>
        </w:tc>
        <w:tc>
          <w:tcPr>
            <w:tcW w:type="dxa" w:w="1296"/>
            <w:shd w:val="clear" w:color="auto" w:fill="F3F1FA"/>
          </w:tcPr>
          <w:p>
            <w:r>
              <w:rPr>
                <w:rFonts w:ascii="Arial" w:hAnsi="Arial"/>
                <w:color w:val="1A0F5C"/>
                <w:sz w:val="19"/>
              </w:rPr>
              <w:t>21.7%</w:t>
            </w:r>
          </w:p>
        </w:tc>
      </w:tr>
      <w:tr>
        <w:tc>
          <w:tcPr>
            <w:tcW w:type="dxa" w:w="1338"/>
          </w:tcPr>
          <w:p>
            <w:r>
              <w:rPr>
                <w:rFonts w:ascii="Arial" w:hAnsi="Arial"/>
                <w:b/>
                <w:color w:val="1A0F5C"/>
                <w:sz w:val="19"/>
              </w:rPr>
              <w:t>Jaipur</w:t>
            </w:r>
          </w:p>
        </w:tc>
        <w:tc>
          <w:tcPr>
            <w:tcW w:type="dxa" w:w="1154"/>
          </w:tcPr>
          <w:p>
            <w:r>
              <w:rPr>
                <w:rFonts w:ascii="Arial" w:hAnsi="Arial"/>
                <w:color w:val="1A0F5C"/>
                <w:sz w:val="19"/>
              </w:rPr>
              <w:t>44,878</w:t>
            </w:r>
          </w:p>
        </w:tc>
        <w:tc>
          <w:tcPr>
            <w:tcW w:type="dxa" w:w="1246"/>
          </w:tcPr>
          <w:p>
            <w:r>
              <w:rPr>
                <w:rFonts w:ascii="Arial" w:hAnsi="Arial"/>
                <w:color w:val="1A0F5C"/>
                <w:sz w:val="19"/>
              </w:rPr>
              <w:t>52,372</w:t>
            </w:r>
          </w:p>
        </w:tc>
        <w:tc>
          <w:tcPr>
            <w:tcW w:type="dxa" w:w="1292"/>
          </w:tcPr>
          <w:p>
            <w:r>
              <w:rPr>
                <w:rFonts w:ascii="Arial" w:hAnsi="Arial"/>
                <w:color w:val="1A0F5C"/>
                <w:sz w:val="19"/>
              </w:rPr>
              <w:t>40,113</w:t>
            </w:r>
          </w:p>
        </w:tc>
        <w:tc>
          <w:tcPr>
            <w:tcW w:type="dxa" w:w="1200"/>
          </w:tcPr>
          <w:p>
            <w:r>
              <w:rPr>
                <w:rFonts w:ascii="Arial" w:hAnsi="Arial"/>
                <w:color w:val="1A0F5C"/>
                <w:sz w:val="19"/>
              </w:rPr>
              <w:t>+16.7%</w:t>
            </w:r>
          </w:p>
        </w:tc>
        <w:tc>
          <w:tcPr>
            <w:tcW w:type="dxa" w:w="1292"/>
          </w:tcPr>
          <w:p>
            <w:r>
              <w:rPr>
                <w:rFonts w:ascii="Arial" w:hAnsi="Arial"/>
                <w:color w:val="1A0F5C"/>
                <w:sz w:val="19"/>
              </w:rPr>
              <w:t>−10.6%</w:t>
            </w:r>
          </w:p>
        </w:tc>
        <w:tc>
          <w:tcPr>
            <w:tcW w:type="dxa" w:w="1154"/>
          </w:tcPr>
          <w:p>
            <w:r>
              <w:rPr>
                <w:rFonts w:ascii="Arial" w:hAnsi="Arial"/>
                <w:color w:val="1A0F5C"/>
                <w:sz w:val="19"/>
              </w:rPr>
              <w:t>12,259</w:t>
            </w:r>
          </w:p>
        </w:tc>
        <w:tc>
          <w:tcPr>
            <w:tcW w:type="dxa" w:w="1296"/>
          </w:tcPr>
          <w:p>
            <w:r>
              <w:rPr>
                <w:rFonts w:ascii="Arial" w:hAnsi="Arial"/>
                <w:color w:val="1A0F5C"/>
                <w:sz w:val="19"/>
              </w:rPr>
              <w:t>20.3%</w:t>
            </w:r>
          </w:p>
        </w:tc>
      </w:tr>
      <w:tr>
        <w:tc>
          <w:tcPr>
            <w:tcW w:type="dxa" w:w="1338"/>
            <w:shd w:val="clear" w:color="auto" w:fill="F3F1FA"/>
          </w:tcPr>
          <w:p>
            <w:r>
              <w:rPr>
                <w:rFonts w:ascii="Arial" w:hAnsi="Arial"/>
                <w:b/>
                <w:color w:val="1A0F5C"/>
                <w:sz w:val="19"/>
              </w:rPr>
              <w:t>Hyderabad</w:t>
            </w:r>
          </w:p>
        </w:tc>
        <w:tc>
          <w:tcPr>
            <w:tcW w:type="dxa" w:w="1154"/>
            <w:shd w:val="clear" w:color="auto" w:fill="F3F1FA"/>
          </w:tcPr>
          <w:p>
            <w:r>
              <w:rPr>
                <w:rFonts w:ascii="Arial" w:hAnsi="Arial"/>
                <w:color w:val="1A0F5C"/>
                <w:sz w:val="19"/>
              </w:rPr>
              <w:t>72,828</w:t>
            </w:r>
          </w:p>
        </w:tc>
        <w:tc>
          <w:tcPr>
            <w:tcW w:type="dxa" w:w="1246"/>
            <w:shd w:val="clear" w:color="auto" w:fill="F3F1FA"/>
          </w:tcPr>
          <w:p>
            <w:r>
              <w:rPr>
                <w:rFonts w:ascii="Arial" w:hAnsi="Arial"/>
                <w:color w:val="1A0F5C"/>
                <w:sz w:val="19"/>
              </w:rPr>
              <w:t>86,421</w:t>
            </w:r>
          </w:p>
        </w:tc>
        <w:tc>
          <w:tcPr>
            <w:tcW w:type="dxa" w:w="1292"/>
            <w:shd w:val="clear" w:color="auto" w:fill="F3F1FA"/>
          </w:tcPr>
          <w:p>
            <w:r>
              <w:rPr>
                <w:rFonts w:ascii="Arial" w:hAnsi="Arial"/>
                <w:color w:val="1A0F5C"/>
                <w:sz w:val="19"/>
              </w:rPr>
              <w:t>78,131</w:t>
            </w:r>
          </w:p>
        </w:tc>
        <w:tc>
          <w:tcPr>
            <w:tcW w:type="dxa" w:w="1200"/>
            <w:shd w:val="clear" w:color="auto" w:fill="F3F1FA"/>
          </w:tcPr>
          <w:p>
            <w:r>
              <w:rPr>
                <w:rFonts w:ascii="Arial" w:hAnsi="Arial"/>
                <w:color w:val="1A0F5C"/>
                <w:sz w:val="19"/>
              </w:rPr>
              <w:t>+18.7%</w:t>
            </w:r>
          </w:p>
        </w:tc>
        <w:tc>
          <w:tcPr>
            <w:tcW w:type="dxa" w:w="1292"/>
            <w:shd w:val="clear" w:color="auto" w:fill="F3F1FA"/>
          </w:tcPr>
          <w:p>
            <w:r>
              <w:rPr>
                <w:rFonts w:ascii="Arial" w:hAnsi="Arial"/>
                <w:color w:val="1A0F5C"/>
                <w:sz w:val="19"/>
              </w:rPr>
              <w:t>+7.3%</w:t>
            </w:r>
          </w:p>
        </w:tc>
        <w:tc>
          <w:tcPr>
            <w:tcW w:type="dxa" w:w="1154"/>
            <w:shd w:val="clear" w:color="auto" w:fill="F3F1FA"/>
          </w:tcPr>
          <w:p>
            <w:r>
              <w:rPr>
                <w:rFonts w:ascii="Arial" w:hAnsi="Arial"/>
                <w:color w:val="1A0F5C"/>
                <w:sz w:val="19"/>
              </w:rPr>
              <w:t>8,290</w:t>
            </w:r>
          </w:p>
        </w:tc>
        <w:tc>
          <w:tcPr>
            <w:tcW w:type="dxa" w:w="1296"/>
            <w:shd w:val="clear" w:color="auto" w:fill="F3F1FA"/>
          </w:tcPr>
          <w:p>
            <w:r>
              <w:rPr>
                <w:rFonts w:ascii="Arial" w:hAnsi="Arial"/>
                <w:color w:val="1A0F5C"/>
                <w:sz w:val="19"/>
              </w:rPr>
              <w:t>13.7%</w:t>
            </w:r>
          </w:p>
        </w:tc>
      </w:tr>
      <w:tr>
        <w:tc>
          <w:tcPr>
            <w:tcW w:type="dxa" w:w="1338"/>
          </w:tcPr>
          <w:p>
            <w:r>
              <w:rPr>
                <w:rFonts w:ascii="Arial" w:hAnsi="Arial"/>
                <w:b/>
                <w:color w:val="1A0F5C"/>
                <w:sz w:val="19"/>
              </w:rPr>
              <w:t>Pune</w:t>
            </w:r>
          </w:p>
        </w:tc>
        <w:tc>
          <w:tcPr>
            <w:tcW w:type="dxa" w:w="1154"/>
          </w:tcPr>
          <w:p>
            <w:r>
              <w:rPr>
                <w:rFonts w:ascii="Arial" w:hAnsi="Arial"/>
                <w:color w:val="1A0F5C"/>
                <w:sz w:val="19"/>
              </w:rPr>
              <w:t>60,225</w:t>
            </w:r>
          </w:p>
        </w:tc>
        <w:tc>
          <w:tcPr>
            <w:tcW w:type="dxa" w:w="1246"/>
          </w:tcPr>
          <w:p>
            <w:r>
              <w:rPr>
                <w:rFonts w:ascii="Arial" w:hAnsi="Arial"/>
                <w:color w:val="1A0F5C"/>
                <w:sz w:val="19"/>
              </w:rPr>
              <w:t>72,177</w:t>
            </w:r>
          </w:p>
        </w:tc>
        <w:tc>
          <w:tcPr>
            <w:tcW w:type="dxa" w:w="1292"/>
          </w:tcPr>
          <w:p>
            <w:r>
              <w:rPr>
                <w:rFonts w:ascii="Arial" w:hAnsi="Arial"/>
                <w:color w:val="1A0F5C"/>
                <w:sz w:val="19"/>
              </w:rPr>
              <w:t>65,141</w:t>
            </w:r>
          </w:p>
        </w:tc>
        <w:tc>
          <w:tcPr>
            <w:tcW w:type="dxa" w:w="1200"/>
          </w:tcPr>
          <w:p>
            <w:r>
              <w:rPr>
                <w:rFonts w:ascii="Arial" w:hAnsi="Arial"/>
                <w:color w:val="1A0F5C"/>
                <w:sz w:val="19"/>
              </w:rPr>
              <w:t>+19.8%</w:t>
            </w:r>
          </w:p>
        </w:tc>
        <w:tc>
          <w:tcPr>
            <w:tcW w:type="dxa" w:w="1292"/>
          </w:tcPr>
          <w:p>
            <w:r>
              <w:rPr>
                <w:rFonts w:ascii="Arial" w:hAnsi="Arial"/>
                <w:color w:val="1A0F5C"/>
                <w:sz w:val="19"/>
              </w:rPr>
              <w:t>+8.2%</w:t>
            </w:r>
          </w:p>
        </w:tc>
        <w:tc>
          <w:tcPr>
            <w:tcW w:type="dxa" w:w="1154"/>
          </w:tcPr>
          <w:p>
            <w:r>
              <w:rPr>
                <w:rFonts w:ascii="Arial" w:hAnsi="Arial"/>
                <w:color w:val="1A0F5C"/>
                <w:sz w:val="19"/>
              </w:rPr>
              <w:t>7,036</w:t>
            </w:r>
          </w:p>
        </w:tc>
        <w:tc>
          <w:tcPr>
            <w:tcW w:type="dxa" w:w="1296"/>
          </w:tcPr>
          <w:p>
            <w:r>
              <w:rPr>
                <w:rFonts w:ascii="Arial" w:hAnsi="Arial"/>
                <w:color w:val="1A0F5C"/>
                <w:sz w:val="19"/>
              </w:rPr>
              <w:t>11.7%</w:t>
            </w:r>
          </w:p>
        </w:tc>
      </w:tr>
      <w:tr>
        <w:tc>
          <w:tcPr>
            <w:tcW w:type="dxa" w:w="1338"/>
            <w:shd w:val="clear" w:color="auto" w:fill="F3F1FA"/>
          </w:tcPr>
          <w:p>
            <w:r>
              <w:rPr>
                <w:rFonts w:ascii="Arial" w:hAnsi="Arial"/>
                <w:b/>
                <w:color w:val="1A0F5C"/>
                <w:sz w:val="19"/>
              </w:rPr>
              <w:t>Ahmedabad</w:t>
            </w:r>
          </w:p>
        </w:tc>
        <w:tc>
          <w:tcPr>
            <w:tcW w:type="dxa" w:w="1154"/>
            <w:shd w:val="clear" w:color="auto" w:fill="F3F1FA"/>
          </w:tcPr>
          <w:p>
            <w:r>
              <w:rPr>
                <w:rFonts w:ascii="Arial" w:hAnsi="Arial"/>
                <w:color w:val="1A0F5C"/>
                <w:sz w:val="19"/>
              </w:rPr>
              <w:t>76,480</w:t>
            </w:r>
          </w:p>
        </w:tc>
        <w:tc>
          <w:tcPr>
            <w:tcW w:type="dxa" w:w="1246"/>
            <w:shd w:val="clear" w:color="auto" w:fill="F3F1FA"/>
          </w:tcPr>
          <w:p>
            <w:r>
              <w:rPr>
                <w:rFonts w:ascii="Arial" w:hAnsi="Arial"/>
                <w:color w:val="1A0F5C"/>
                <w:sz w:val="19"/>
              </w:rPr>
              <w:t>90,773</w:t>
            </w:r>
          </w:p>
        </w:tc>
        <w:tc>
          <w:tcPr>
            <w:tcW w:type="dxa" w:w="1292"/>
            <w:shd w:val="clear" w:color="auto" w:fill="F3F1FA"/>
          </w:tcPr>
          <w:p>
            <w:r>
              <w:rPr>
                <w:rFonts w:ascii="Arial" w:hAnsi="Arial"/>
                <w:color w:val="1A0F5C"/>
                <w:sz w:val="19"/>
              </w:rPr>
              <w:t>84,523</w:t>
            </w:r>
          </w:p>
        </w:tc>
        <w:tc>
          <w:tcPr>
            <w:tcW w:type="dxa" w:w="1200"/>
            <w:shd w:val="clear" w:color="auto" w:fill="F3F1FA"/>
          </w:tcPr>
          <w:p>
            <w:r>
              <w:rPr>
                <w:rFonts w:ascii="Arial" w:hAnsi="Arial"/>
                <w:color w:val="1A0F5C"/>
                <w:sz w:val="19"/>
              </w:rPr>
              <w:t>+18.7%</w:t>
            </w:r>
          </w:p>
        </w:tc>
        <w:tc>
          <w:tcPr>
            <w:tcW w:type="dxa" w:w="1292"/>
            <w:shd w:val="clear" w:color="auto" w:fill="F3F1FA"/>
          </w:tcPr>
          <w:p>
            <w:r>
              <w:rPr>
                <w:rFonts w:ascii="Arial" w:hAnsi="Arial"/>
                <w:color w:val="1A0F5C"/>
                <w:sz w:val="19"/>
              </w:rPr>
              <w:t>+10.5%</w:t>
            </w:r>
          </w:p>
        </w:tc>
        <w:tc>
          <w:tcPr>
            <w:tcW w:type="dxa" w:w="1154"/>
            <w:shd w:val="clear" w:color="auto" w:fill="F3F1FA"/>
          </w:tcPr>
          <w:p>
            <w:r>
              <w:rPr>
                <w:rFonts w:ascii="Arial" w:hAnsi="Arial"/>
                <w:color w:val="1A0F5C"/>
                <w:sz w:val="19"/>
              </w:rPr>
              <w:t>6,250</w:t>
            </w:r>
          </w:p>
        </w:tc>
        <w:tc>
          <w:tcPr>
            <w:tcW w:type="dxa" w:w="1296"/>
            <w:shd w:val="clear" w:color="auto" w:fill="F3F1FA"/>
          </w:tcPr>
          <w:p>
            <w:r>
              <w:rPr>
                <w:rFonts w:ascii="Arial" w:hAnsi="Arial"/>
                <w:color w:val="1A0F5C"/>
                <w:sz w:val="19"/>
              </w:rPr>
              <w:t>10.4%</w:t>
            </w:r>
          </w:p>
        </w:tc>
      </w:tr>
      <w:tr>
        <w:tc>
          <w:tcPr>
            <w:tcW w:type="dxa" w:w="1338"/>
          </w:tcPr>
          <w:p>
            <w:r>
              <w:rPr>
                <w:rFonts w:ascii="Arial" w:hAnsi="Arial"/>
                <w:b/>
                <w:color w:val="1A0F5C"/>
                <w:sz w:val="19"/>
              </w:rPr>
              <w:t>Total</w:t>
            </w:r>
          </w:p>
        </w:tc>
        <w:tc>
          <w:tcPr>
            <w:tcW w:type="dxa" w:w="1154"/>
          </w:tcPr>
          <w:p>
            <w:r>
              <w:rPr>
                <w:rFonts w:ascii="Arial" w:hAnsi="Arial"/>
                <w:b/>
                <w:color w:val="1A0F5C"/>
                <w:sz w:val="19"/>
              </w:rPr>
              <w:t>433,611</w:t>
            </w:r>
          </w:p>
        </w:tc>
        <w:tc>
          <w:tcPr>
            <w:tcW w:type="dxa" w:w="1246"/>
          </w:tcPr>
          <w:p>
            <w:r>
              <w:rPr>
                <w:rFonts w:ascii="Arial" w:hAnsi="Arial"/>
                <w:b/>
                <w:color w:val="1A0F5C"/>
                <w:sz w:val="19"/>
              </w:rPr>
              <w:t>515,740</w:t>
            </w:r>
          </w:p>
        </w:tc>
        <w:tc>
          <w:tcPr>
            <w:tcW w:type="dxa" w:w="1292"/>
          </w:tcPr>
          <w:p>
            <w:r>
              <w:rPr>
                <w:rFonts w:ascii="Arial" w:hAnsi="Arial"/>
                <w:b/>
                <w:color w:val="1A0F5C"/>
                <w:sz w:val="19"/>
              </w:rPr>
              <w:t>455,383</w:t>
            </w:r>
          </w:p>
        </w:tc>
        <w:tc>
          <w:tcPr>
            <w:tcW w:type="dxa" w:w="1200"/>
          </w:tcPr>
          <w:p>
            <w:r>
              <w:rPr>
                <w:rFonts w:ascii="Arial" w:hAnsi="Arial"/>
                <w:b/>
                <w:color w:val="1A0F5C"/>
                <w:sz w:val="19"/>
              </w:rPr>
              <w:t>+18.9%</w:t>
            </w:r>
          </w:p>
        </w:tc>
        <w:tc>
          <w:tcPr>
            <w:tcW w:type="dxa" w:w="1292"/>
          </w:tcPr>
          <w:p>
            <w:r>
              <w:rPr>
                <w:rFonts w:ascii="Arial" w:hAnsi="Arial"/>
                <w:b/>
                <w:color w:val="1A0F5C"/>
                <w:sz w:val="19"/>
              </w:rPr>
              <w:t>+5.0%</w:t>
            </w:r>
          </w:p>
        </w:tc>
        <w:tc>
          <w:tcPr>
            <w:tcW w:type="dxa" w:w="1154"/>
          </w:tcPr>
          <w:p>
            <w:r>
              <w:rPr>
                <w:rFonts w:ascii="Arial" w:hAnsi="Arial"/>
                <w:b/>
                <w:color w:val="1A0F5C"/>
                <w:sz w:val="19"/>
              </w:rPr>
              <w:t>60,357</w:t>
            </w:r>
          </w:p>
        </w:tc>
        <w:tc>
          <w:tcPr>
            <w:tcW w:type="dxa" w:w="1296"/>
          </w:tcPr>
          <w:p>
            <w:r>
              <w:rPr>
                <w:rFonts w:ascii="Arial" w:hAnsi="Arial"/>
                <w:b/>
                <w:color w:val="1A0F5C"/>
                <w:sz w:val="19"/>
              </w:rPr>
              <w:t>100%</w:t>
            </w:r>
          </w:p>
        </w:tc>
      </w:tr>
    </w:tbl>
    <w:p/>
    <w:tbl>
      <w:tblPr>
        <w:tblStyle w:val="TableGrid"/>
        <w:tblW w:type="auto" w:w="0"/>
        <w:tblLayout w:type="fixed"/>
        <w:tblLook w:firstColumn="1" w:firstRow="1" w:lastColumn="0" w:lastRow="0" w:noHBand="0" w:noVBand="1" w:val="04A0"/>
      </w:tblPr>
      <w:tblGrid>
        <w:gridCol w:w="2216"/>
        <w:gridCol w:w="1939"/>
        <w:gridCol w:w="1939"/>
        <w:gridCol w:w="1939"/>
        <w:gridCol w:w="1939"/>
      </w:tblGrid>
      <w:tr>
        <w:tc>
          <w:tcPr>
            <w:tcW w:type="dxa" w:w="2216"/>
            <w:shd w:val="clear" w:color="auto" w:fill="4E38AB"/>
          </w:tcPr>
          <w:p>
            <w:r>
              <w:rPr>
                <w:rFonts w:ascii="Arial" w:hAnsi="Arial"/>
                <w:b/>
                <w:color w:val="FFFFFF"/>
                <w:sz w:val="19"/>
              </w:rPr>
              <w:t>City</w:t>
            </w:r>
          </w:p>
        </w:tc>
        <w:tc>
          <w:tcPr>
            <w:tcW w:type="dxa" w:w="1939"/>
            <w:shd w:val="clear" w:color="auto" w:fill="4E38AB"/>
          </w:tcPr>
          <w:p>
            <w:r>
              <w:rPr>
                <w:rFonts w:ascii="Arial" w:hAnsi="Arial"/>
                <w:b/>
                <w:color w:val="FFFFFF"/>
                <w:sz w:val="19"/>
              </w:rPr>
              <w:t>Patients</w:t>
            </w:r>
          </w:p>
        </w:tc>
        <w:tc>
          <w:tcPr>
            <w:tcW w:type="dxa" w:w="1939"/>
            <w:shd w:val="clear" w:color="auto" w:fill="4E38AB"/>
          </w:tcPr>
          <w:p>
            <w:r>
              <w:rPr>
                <w:rFonts w:ascii="Arial" w:hAnsi="Arial"/>
                <w:b/>
                <w:color w:val="FFFFFF"/>
                <w:sz w:val="19"/>
              </w:rPr>
              <w:t>Visits per patient</w:t>
            </w:r>
          </w:p>
        </w:tc>
        <w:tc>
          <w:tcPr>
            <w:tcW w:type="dxa" w:w="1939"/>
            <w:shd w:val="clear" w:color="auto" w:fill="4E38AB"/>
          </w:tcPr>
          <w:p>
            <w:r>
              <w:rPr>
                <w:rFonts w:ascii="Arial" w:hAnsi="Arial"/>
                <w:b/>
                <w:color w:val="FFFFFF"/>
                <w:sz w:val="19"/>
              </w:rPr>
              <w:t>Tests per visit</w:t>
            </w:r>
          </w:p>
        </w:tc>
        <w:tc>
          <w:tcPr>
            <w:tcW w:type="dxa" w:w="1939"/>
            <w:shd w:val="clear" w:color="auto" w:fill="4E38AB"/>
          </w:tcPr>
          <w:p>
            <w:r>
              <w:rPr>
                <w:rFonts w:ascii="Arial" w:hAnsi="Arial"/>
                <w:b/>
                <w:color w:val="FFFFFF"/>
                <w:sz w:val="19"/>
              </w:rPr>
              <w:t>Tests</w:t>
            </w:r>
          </w:p>
        </w:tc>
      </w:tr>
      <w:tr>
        <w:tc>
          <w:tcPr>
            <w:tcW w:type="dxa" w:w="2216"/>
          </w:tcPr>
          <w:p>
            <w:r>
              <w:rPr>
                <w:rFonts w:ascii="Arial" w:hAnsi="Arial"/>
                <w:b/>
                <w:color w:val="1A0F5C"/>
                <w:sz w:val="19"/>
              </w:rPr>
              <w:t>Jaipur</w:t>
            </w:r>
          </w:p>
        </w:tc>
        <w:tc>
          <w:tcPr>
            <w:tcW w:type="dxa" w:w="1939"/>
          </w:tcPr>
          <w:p>
            <w:r>
              <w:rPr>
                <w:rFonts w:ascii="Arial" w:hAnsi="Arial"/>
                <w:color w:val="1A0F5C"/>
                <w:sz w:val="19"/>
              </w:rPr>
              <w:t>−12.0%</w:t>
            </w:r>
          </w:p>
        </w:tc>
        <w:tc>
          <w:tcPr>
            <w:tcW w:type="dxa" w:w="1939"/>
          </w:tcPr>
          <w:p>
            <w:r>
              <w:rPr>
                <w:rFonts w:ascii="Arial" w:hAnsi="Arial"/>
                <w:color w:val="1A0F5C"/>
                <w:sz w:val="19"/>
              </w:rPr>
              <w:t>−0.2%</w:t>
            </w:r>
          </w:p>
        </w:tc>
        <w:tc>
          <w:tcPr>
            <w:tcW w:type="dxa" w:w="1939"/>
          </w:tcPr>
          <w:p>
            <w:r>
              <w:rPr>
                <w:rFonts w:ascii="Arial" w:hAnsi="Arial"/>
                <w:color w:val="1A0F5C"/>
                <w:sz w:val="19"/>
              </w:rPr>
              <w:t>+1.7%</w:t>
            </w:r>
          </w:p>
        </w:tc>
        <w:tc>
          <w:tcPr>
            <w:tcW w:type="dxa" w:w="1939"/>
          </w:tcPr>
          <w:p>
            <w:r>
              <w:rPr>
                <w:rFonts w:ascii="Arial" w:hAnsi="Arial"/>
                <w:color w:val="1A0F5C"/>
                <w:sz w:val="19"/>
              </w:rPr>
              <w:t>−10.6%</w:t>
            </w:r>
          </w:p>
        </w:tc>
      </w:tr>
      <w:tr>
        <w:tc>
          <w:tcPr>
            <w:tcW w:type="dxa" w:w="2216"/>
            <w:shd w:val="clear" w:color="auto" w:fill="F3F1FA"/>
          </w:tcPr>
          <w:p>
            <w:r>
              <w:rPr>
                <w:rFonts w:ascii="Arial" w:hAnsi="Arial"/>
                <w:b/>
                <w:color w:val="1A0F5C"/>
                <w:sz w:val="19"/>
              </w:rPr>
              <w:t>Chennai</w:t>
            </w:r>
          </w:p>
        </w:tc>
        <w:tc>
          <w:tcPr>
            <w:tcW w:type="dxa" w:w="1939"/>
            <w:shd w:val="clear" w:color="auto" w:fill="F3F1FA"/>
          </w:tcPr>
          <w:p>
            <w:r>
              <w:rPr>
                <w:rFonts w:ascii="Arial" w:hAnsi="Arial"/>
                <w:color w:val="1A0F5C"/>
                <w:sz w:val="19"/>
              </w:rPr>
              <w:t>−4.9%</w:t>
            </w:r>
          </w:p>
        </w:tc>
        <w:tc>
          <w:tcPr>
            <w:tcW w:type="dxa" w:w="1939"/>
            <w:shd w:val="clear" w:color="auto" w:fill="F3F1FA"/>
          </w:tcPr>
          <w:p>
            <w:r>
              <w:rPr>
                <w:rFonts w:ascii="Arial" w:hAnsi="Arial"/>
                <w:color w:val="1A0F5C"/>
                <w:sz w:val="19"/>
              </w:rPr>
              <w:t>+3.3%</w:t>
            </w:r>
          </w:p>
        </w:tc>
        <w:tc>
          <w:tcPr>
            <w:tcW w:type="dxa" w:w="1939"/>
            <w:shd w:val="clear" w:color="auto" w:fill="F3F1FA"/>
          </w:tcPr>
          <w:p>
            <w:r>
              <w:rPr>
                <w:rFonts w:ascii="Arial" w:hAnsi="Arial"/>
                <w:color w:val="1A0F5C"/>
                <w:sz w:val="19"/>
              </w:rPr>
              <w:t>+2.8%</w:t>
            </w:r>
          </w:p>
        </w:tc>
        <w:tc>
          <w:tcPr>
            <w:tcW w:type="dxa" w:w="1939"/>
            <w:shd w:val="clear" w:color="auto" w:fill="F3F1FA"/>
          </w:tcPr>
          <w:p>
            <w:r>
              <w:rPr>
                <w:rFonts w:ascii="Arial" w:hAnsi="Arial"/>
                <w:color w:val="1A0F5C"/>
                <w:sz w:val="19"/>
              </w:rPr>
              <w:t>+0.9%</w:t>
            </w:r>
          </w:p>
        </w:tc>
      </w:tr>
      <w:tr>
        <w:tc>
          <w:tcPr>
            <w:tcW w:type="dxa" w:w="2216"/>
          </w:tcPr>
          <w:p>
            <w:r>
              <w:rPr>
                <w:rFonts w:ascii="Arial" w:hAnsi="Arial"/>
                <w:b/>
                <w:color w:val="1A0F5C"/>
                <w:sz w:val="19"/>
              </w:rPr>
              <w:t>Hyderabad</w:t>
            </w:r>
          </w:p>
        </w:tc>
        <w:tc>
          <w:tcPr>
            <w:tcW w:type="dxa" w:w="1939"/>
          </w:tcPr>
          <w:p>
            <w:r>
              <w:rPr>
                <w:rFonts w:ascii="Arial" w:hAnsi="Arial"/>
                <w:color w:val="1A0F5C"/>
                <w:sz w:val="19"/>
              </w:rPr>
              <w:t>+8.1%</w:t>
            </w:r>
          </w:p>
        </w:tc>
        <w:tc>
          <w:tcPr>
            <w:tcW w:type="dxa" w:w="1939"/>
          </w:tcPr>
          <w:p>
            <w:r>
              <w:rPr>
                <w:rFonts w:ascii="Arial" w:hAnsi="Arial"/>
                <w:color w:val="1A0F5C"/>
                <w:sz w:val="19"/>
              </w:rPr>
              <w:t>−2.5%</w:t>
            </w:r>
          </w:p>
        </w:tc>
        <w:tc>
          <w:tcPr>
            <w:tcW w:type="dxa" w:w="1939"/>
          </w:tcPr>
          <w:p>
            <w:r>
              <w:rPr>
                <w:rFonts w:ascii="Arial" w:hAnsi="Arial"/>
                <w:color w:val="1A0F5C"/>
                <w:sz w:val="19"/>
              </w:rPr>
              <w:t>+1.8%</w:t>
            </w:r>
          </w:p>
        </w:tc>
        <w:tc>
          <w:tcPr>
            <w:tcW w:type="dxa" w:w="1939"/>
          </w:tcPr>
          <w:p>
            <w:r>
              <w:rPr>
                <w:rFonts w:ascii="Arial" w:hAnsi="Arial"/>
                <w:color w:val="1A0F5C"/>
                <w:sz w:val="19"/>
              </w:rPr>
              <w:t>+7.3%</w:t>
            </w:r>
          </w:p>
        </w:tc>
      </w:tr>
      <w:tr>
        <w:tc>
          <w:tcPr>
            <w:tcW w:type="dxa" w:w="2216"/>
            <w:shd w:val="clear" w:color="auto" w:fill="F3F1FA"/>
          </w:tcPr>
          <w:p>
            <w:r>
              <w:rPr>
                <w:rFonts w:ascii="Arial" w:hAnsi="Arial"/>
                <w:b/>
                <w:color w:val="1A0F5C"/>
                <w:sz w:val="19"/>
              </w:rPr>
              <w:t>Bengaluru</w:t>
            </w:r>
          </w:p>
        </w:tc>
        <w:tc>
          <w:tcPr>
            <w:tcW w:type="dxa" w:w="1939"/>
            <w:shd w:val="clear" w:color="auto" w:fill="F3F1FA"/>
          </w:tcPr>
          <w:p>
            <w:r>
              <w:rPr>
                <w:rFonts w:ascii="Arial" w:hAnsi="Arial"/>
                <w:color w:val="1A0F5C"/>
                <w:sz w:val="19"/>
              </w:rPr>
              <w:t>+7.1%</w:t>
            </w:r>
          </w:p>
        </w:tc>
        <w:tc>
          <w:tcPr>
            <w:tcW w:type="dxa" w:w="1939"/>
            <w:shd w:val="clear" w:color="auto" w:fill="F3F1FA"/>
          </w:tcPr>
          <w:p>
            <w:r>
              <w:rPr>
                <w:rFonts w:ascii="Arial" w:hAnsi="Arial"/>
                <w:color w:val="1A0F5C"/>
                <w:sz w:val="19"/>
              </w:rPr>
              <w:t>−2.3%</w:t>
            </w:r>
          </w:p>
        </w:tc>
        <w:tc>
          <w:tcPr>
            <w:tcW w:type="dxa" w:w="1939"/>
            <w:shd w:val="clear" w:color="auto" w:fill="F3F1FA"/>
          </w:tcPr>
          <w:p>
            <w:r>
              <w:rPr>
                <w:rFonts w:ascii="Arial" w:hAnsi="Arial"/>
                <w:color w:val="1A0F5C"/>
                <w:sz w:val="19"/>
              </w:rPr>
              <w:t>+2.8%</w:t>
            </w:r>
          </w:p>
        </w:tc>
        <w:tc>
          <w:tcPr>
            <w:tcW w:type="dxa" w:w="1939"/>
            <w:shd w:val="clear" w:color="auto" w:fill="F3F1FA"/>
          </w:tcPr>
          <w:p>
            <w:r>
              <w:rPr>
                <w:rFonts w:ascii="Arial" w:hAnsi="Arial"/>
                <w:color w:val="1A0F5C"/>
                <w:sz w:val="19"/>
              </w:rPr>
              <w:t>+7.6%</w:t>
            </w:r>
          </w:p>
        </w:tc>
      </w:tr>
      <w:tr>
        <w:tc>
          <w:tcPr>
            <w:tcW w:type="dxa" w:w="2216"/>
          </w:tcPr>
          <w:p>
            <w:r>
              <w:rPr>
                <w:rFonts w:ascii="Arial" w:hAnsi="Arial"/>
                <w:b/>
                <w:color w:val="1A0F5C"/>
                <w:sz w:val="19"/>
              </w:rPr>
              <w:t>Pune</w:t>
            </w:r>
          </w:p>
        </w:tc>
        <w:tc>
          <w:tcPr>
            <w:tcW w:type="dxa" w:w="1939"/>
          </w:tcPr>
          <w:p>
            <w:r>
              <w:rPr>
                <w:rFonts w:ascii="Arial" w:hAnsi="Arial"/>
                <w:color w:val="1A0F5C"/>
                <w:sz w:val="19"/>
              </w:rPr>
              <w:t>+8.8%</w:t>
            </w:r>
          </w:p>
        </w:tc>
        <w:tc>
          <w:tcPr>
            <w:tcW w:type="dxa" w:w="1939"/>
          </w:tcPr>
          <w:p>
            <w:r>
              <w:rPr>
                <w:rFonts w:ascii="Arial" w:hAnsi="Arial"/>
                <w:color w:val="1A0F5C"/>
                <w:sz w:val="19"/>
              </w:rPr>
              <w:t>−2.2%</w:t>
            </w:r>
          </w:p>
        </w:tc>
        <w:tc>
          <w:tcPr>
            <w:tcW w:type="dxa" w:w="1939"/>
          </w:tcPr>
          <w:p>
            <w:r>
              <w:rPr>
                <w:rFonts w:ascii="Arial" w:hAnsi="Arial"/>
                <w:color w:val="1A0F5C"/>
                <w:sz w:val="19"/>
              </w:rPr>
              <w:t>+1.6%</w:t>
            </w:r>
          </w:p>
        </w:tc>
        <w:tc>
          <w:tcPr>
            <w:tcW w:type="dxa" w:w="1939"/>
          </w:tcPr>
          <w:p>
            <w:r>
              <w:rPr>
                <w:rFonts w:ascii="Arial" w:hAnsi="Arial"/>
                <w:color w:val="1A0F5C"/>
                <w:sz w:val="19"/>
              </w:rPr>
              <w:t>+8.2%</w:t>
            </w:r>
          </w:p>
        </w:tc>
      </w:tr>
      <w:tr>
        <w:tc>
          <w:tcPr>
            <w:tcW w:type="dxa" w:w="2216"/>
            <w:shd w:val="clear" w:color="auto" w:fill="F3F1FA"/>
          </w:tcPr>
          <w:p>
            <w:r>
              <w:rPr>
                <w:rFonts w:ascii="Arial" w:hAnsi="Arial"/>
                <w:b/>
                <w:color w:val="1A0F5C"/>
                <w:sz w:val="19"/>
              </w:rPr>
              <w:t>Ahmedabad</w:t>
            </w:r>
          </w:p>
        </w:tc>
        <w:tc>
          <w:tcPr>
            <w:tcW w:type="dxa" w:w="1939"/>
            <w:shd w:val="clear" w:color="auto" w:fill="F3F1FA"/>
          </w:tcPr>
          <w:p>
            <w:r>
              <w:rPr>
                <w:rFonts w:ascii="Arial" w:hAnsi="Arial"/>
                <w:color w:val="1A0F5C"/>
                <w:sz w:val="19"/>
              </w:rPr>
              <w:t>+9.7%</w:t>
            </w:r>
          </w:p>
        </w:tc>
        <w:tc>
          <w:tcPr>
            <w:tcW w:type="dxa" w:w="1939"/>
            <w:shd w:val="clear" w:color="auto" w:fill="F3F1FA"/>
          </w:tcPr>
          <w:p>
            <w:r>
              <w:rPr>
                <w:rFonts w:ascii="Arial" w:hAnsi="Arial"/>
                <w:color w:val="1A0F5C"/>
                <w:sz w:val="19"/>
              </w:rPr>
              <w:t>−1.1%</w:t>
            </w:r>
          </w:p>
        </w:tc>
        <w:tc>
          <w:tcPr>
            <w:tcW w:type="dxa" w:w="1939"/>
            <w:shd w:val="clear" w:color="auto" w:fill="F3F1FA"/>
          </w:tcPr>
          <w:p>
            <w:r>
              <w:rPr>
                <w:rFonts w:ascii="Arial" w:hAnsi="Arial"/>
                <w:color w:val="1A0F5C"/>
                <w:sz w:val="19"/>
              </w:rPr>
              <w:t>+1.9%</w:t>
            </w:r>
          </w:p>
        </w:tc>
        <w:tc>
          <w:tcPr>
            <w:tcW w:type="dxa" w:w="1939"/>
            <w:shd w:val="clear" w:color="auto" w:fill="F3F1FA"/>
          </w:tcPr>
          <w:p>
            <w:r>
              <w:rPr>
                <w:rFonts w:ascii="Arial" w:hAnsi="Arial"/>
                <w:color w:val="1A0F5C"/>
                <w:sz w:val="19"/>
              </w:rPr>
              <w:t>+10.5%</w:t>
            </w:r>
          </w:p>
        </w:tc>
      </w:tr>
    </w:tbl>
    <w:p/>
    <w:p>
      <w:r>
        <w:rPr>
          <w:b w:val="0"/>
          <w:i w:val="0"/>
        </w:rPr>
        <w:t>Chennai and Jaipur hold 42.5 percent of the shortfall on 28.7 percent of last year's volume, and both lost people. The other four cities grew 8.3 percent on more people, with fewer visits each. If Chennai and Jaipur had grown like the other four, the network would have run 14,432 more tests (3.3 points). The remaining 10.6 points are network-wide: the four healthy cities grew 8.3 percent against a plan of 19.6 percent.</w:t>
      </w:r>
    </w:p>
    <w:p>
      <w:pPr>
        <w:pStyle w:val="Heading2"/>
      </w:pPr>
      <w:r>
        <w:t>By channel</w:t>
      </w:r>
    </w:p>
    <w:tbl>
      <w:tblPr>
        <w:tblStyle w:val="TableGrid"/>
        <w:tblW w:type="auto" w:w="0"/>
        <w:tblLayout w:type="fixed"/>
        <w:tblLook w:firstColumn="1" w:firstRow="1" w:lastColumn="0" w:lastRow="0" w:noHBand="0" w:noVBand="1" w:val="04A0"/>
      </w:tblPr>
      <w:tblGrid>
        <w:gridCol w:w="2031"/>
        <w:gridCol w:w="1615"/>
        <w:gridCol w:w="1615"/>
        <w:gridCol w:w="1200"/>
        <w:gridCol w:w="1754"/>
        <w:gridCol w:w="1757"/>
      </w:tblGrid>
      <w:tr>
        <w:tc>
          <w:tcPr>
            <w:tcW w:type="dxa" w:w="2031"/>
            <w:shd w:val="clear" w:color="auto" w:fill="4E38AB"/>
          </w:tcPr>
          <w:p>
            <w:r>
              <w:rPr>
                <w:rFonts w:ascii="Arial" w:hAnsi="Arial"/>
                <w:b/>
                <w:color w:val="FFFFFF"/>
                <w:sz w:val="19"/>
              </w:rPr>
              <w:t>Channel</w:t>
            </w:r>
          </w:p>
        </w:tc>
        <w:tc>
          <w:tcPr>
            <w:tcW w:type="dxa" w:w="1615"/>
            <w:shd w:val="clear" w:color="auto" w:fill="4E38AB"/>
          </w:tcPr>
          <w:p>
            <w:r>
              <w:rPr>
                <w:rFonts w:ascii="Arial" w:hAnsi="Arial"/>
                <w:b/>
                <w:color w:val="FFFFFF"/>
                <w:sz w:val="19"/>
              </w:rPr>
              <w:t>Tests H1 2025</w:t>
            </w:r>
          </w:p>
        </w:tc>
        <w:tc>
          <w:tcPr>
            <w:tcW w:type="dxa" w:w="1615"/>
            <w:shd w:val="clear" w:color="auto" w:fill="4E38AB"/>
          </w:tcPr>
          <w:p>
            <w:r>
              <w:rPr>
                <w:rFonts w:ascii="Arial" w:hAnsi="Arial"/>
                <w:b/>
                <w:color w:val="FFFFFF"/>
                <w:sz w:val="19"/>
              </w:rPr>
              <w:t>Tests H1 2026</w:t>
            </w:r>
          </w:p>
        </w:tc>
        <w:tc>
          <w:tcPr>
            <w:tcW w:type="dxa" w:w="1200"/>
            <w:shd w:val="clear" w:color="auto" w:fill="4E38AB"/>
          </w:tcPr>
          <w:p>
            <w:r>
              <w:rPr>
                <w:rFonts w:ascii="Arial" w:hAnsi="Arial"/>
                <w:b/>
                <w:color w:val="FFFFFF"/>
                <w:sz w:val="19"/>
              </w:rPr>
              <w:t>Growth</w:t>
            </w:r>
          </w:p>
        </w:tc>
        <w:tc>
          <w:tcPr>
            <w:tcW w:type="dxa" w:w="1754"/>
            <w:shd w:val="clear" w:color="auto" w:fill="4E38AB"/>
          </w:tcPr>
          <w:p>
            <w:r>
              <w:rPr>
                <w:rFonts w:ascii="Arial" w:hAnsi="Arial"/>
                <w:b/>
                <w:color w:val="FFFFFF"/>
                <w:sz w:val="19"/>
              </w:rPr>
              <w:t>People H1 2025</w:t>
            </w:r>
          </w:p>
        </w:tc>
        <w:tc>
          <w:tcPr>
            <w:tcW w:type="dxa" w:w="1757"/>
            <w:shd w:val="clear" w:color="auto" w:fill="4E38AB"/>
          </w:tcPr>
          <w:p>
            <w:r>
              <w:rPr>
                <w:rFonts w:ascii="Arial" w:hAnsi="Arial"/>
                <w:b/>
                <w:color w:val="FFFFFF"/>
                <w:sz w:val="19"/>
              </w:rPr>
              <w:t>People H1 2026</w:t>
            </w:r>
          </w:p>
        </w:tc>
      </w:tr>
      <w:tr>
        <w:tc>
          <w:tcPr>
            <w:tcW w:type="dxa" w:w="2031"/>
          </w:tcPr>
          <w:p>
            <w:r>
              <w:rPr>
                <w:rFonts w:ascii="Arial" w:hAnsi="Arial"/>
                <w:b/>
                <w:color w:val="1A0F5C"/>
                <w:sz w:val="19"/>
              </w:rPr>
              <w:t>Clinic</w:t>
            </w:r>
          </w:p>
        </w:tc>
        <w:tc>
          <w:tcPr>
            <w:tcW w:type="dxa" w:w="1615"/>
          </w:tcPr>
          <w:p>
            <w:r>
              <w:rPr>
                <w:rFonts w:ascii="Arial" w:hAnsi="Arial"/>
                <w:color w:val="1A0F5C"/>
                <w:sz w:val="19"/>
              </w:rPr>
              <w:t>285,445</w:t>
            </w:r>
          </w:p>
        </w:tc>
        <w:tc>
          <w:tcPr>
            <w:tcW w:type="dxa" w:w="1615"/>
          </w:tcPr>
          <w:p>
            <w:r>
              <w:rPr>
                <w:rFonts w:ascii="Arial" w:hAnsi="Arial"/>
                <w:color w:val="1A0F5C"/>
                <w:sz w:val="19"/>
              </w:rPr>
              <w:t>251,706</w:t>
            </w:r>
          </w:p>
        </w:tc>
        <w:tc>
          <w:tcPr>
            <w:tcW w:type="dxa" w:w="1200"/>
          </w:tcPr>
          <w:p>
            <w:r>
              <w:rPr>
                <w:rFonts w:ascii="Arial" w:hAnsi="Arial"/>
                <w:color w:val="1A0F5C"/>
                <w:sz w:val="19"/>
              </w:rPr>
              <w:t>−11.8%</w:t>
            </w:r>
          </w:p>
        </w:tc>
        <w:tc>
          <w:tcPr>
            <w:tcW w:type="dxa" w:w="1754"/>
          </w:tcPr>
          <w:p>
            <w:r>
              <w:rPr>
                <w:rFonts w:ascii="Arial" w:hAnsi="Arial"/>
                <w:color w:val="1A0F5C"/>
                <w:sz w:val="19"/>
              </w:rPr>
              <w:t>73,152</w:t>
            </w:r>
          </w:p>
        </w:tc>
        <w:tc>
          <w:tcPr>
            <w:tcW w:type="dxa" w:w="1757"/>
          </w:tcPr>
          <w:p>
            <w:r>
              <w:rPr>
                <w:rFonts w:ascii="Arial" w:hAnsi="Arial"/>
                <w:color w:val="1A0F5C"/>
                <w:sz w:val="19"/>
              </w:rPr>
              <w:t>67,065</w:t>
            </w:r>
          </w:p>
        </w:tc>
      </w:tr>
      <w:tr>
        <w:tc>
          <w:tcPr>
            <w:tcW w:type="dxa" w:w="2031"/>
            <w:shd w:val="clear" w:color="auto" w:fill="F3F1FA"/>
          </w:tcPr>
          <w:p>
            <w:r>
              <w:rPr>
                <w:rFonts w:ascii="Arial" w:hAnsi="Arial"/>
                <w:b/>
                <w:color w:val="1A0F5C"/>
                <w:sz w:val="19"/>
              </w:rPr>
              <w:t>Home collection</w:t>
            </w:r>
          </w:p>
        </w:tc>
        <w:tc>
          <w:tcPr>
            <w:tcW w:type="dxa" w:w="1615"/>
            <w:shd w:val="clear" w:color="auto" w:fill="F3F1FA"/>
          </w:tcPr>
          <w:p>
            <w:r>
              <w:rPr>
                <w:rFonts w:ascii="Arial" w:hAnsi="Arial"/>
                <w:color w:val="1A0F5C"/>
                <w:sz w:val="19"/>
              </w:rPr>
              <w:t>148,166</w:t>
            </w:r>
          </w:p>
        </w:tc>
        <w:tc>
          <w:tcPr>
            <w:tcW w:type="dxa" w:w="1615"/>
            <w:shd w:val="clear" w:color="auto" w:fill="F3F1FA"/>
          </w:tcPr>
          <w:p>
            <w:r>
              <w:rPr>
                <w:rFonts w:ascii="Arial" w:hAnsi="Arial"/>
                <w:color w:val="1A0F5C"/>
                <w:sz w:val="19"/>
              </w:rPr>
              <w:t>203,677</w:t>
            </w:r>
          </w:p>
        </w:tc>
        <w:tc>
          <w:tcPr>
            <w:tcW w:type="dxa" w:w="1200"/>
            <w:shd w:val="clear" w:color="auto" w:fill="F3F1FA"/>
          </w:tcPr>
          <w:p>
            <w:r>
              <w:rPr>
                <w:rFonts w:ascii="Arial" w:hAnsi="Arial"/>
                <w:color w:val="1A0F5C"/>
                <w:sz w:val="19"/>
              </w:rPr>
              <w:t>+37.5%</w:t>
            </w:r>
          </w:p>
        </w:tc>
        <w:tc>
          <w:tcPr>
            <w:tcW w:type="dxa" w:w="1754"/>
            <w:shd w:val="clear" w:color="auto" w:fill="F3F1FA"/>
          </w:tcPr>
          <w:p>
            <w:r>
              <w:rPr>
                <w:rFonts w:ascii="Arial" w:hAnsi="Arial"/>
                <w:color w:val="1A0F5C"/>
                <w:sz w:val="19"/>
              </w:rPr>
              <w:t>46,097</w:t>
            </w:r>
          </w:p>
        </w:tc>
        <w:tc>
          <w:tcPr>
            <w:tcW w:type="dxa" w:w="1757"/>
            <w:shd w:val="clear" w:color="auto" w:fill="F3F1FA"/>
          </w:tcPr>
          <w:p>
            <w:r>
              <w:rPr>
                <w:rFonts w:ascii="Arial" w:hAnsi="Arial"/>
                <w:color w:val="1A0F5C"/>
                <w:sz w:val="19"/>
              </w:rPr>
              <w:t>58,266</w:t>
            </w:r>
          </w:p>
        </w:tc>
      </w:tr>
    </w:tbl>
    <w:p/>
    <w:tbl>
      <w:tblPr>
        <w:tblStyle w:val="TableGrid"/>
        <w:tblW w:type="auto" w:w="0"/>
        <w:tblLayout w:type="fixed"/>
        <w:tblLook w:firstColumn="1" w:firstRow="1" w:lastColumn="0" w:lastRow="0" w:noHBand="0" w:noVBand="1" w:val="04A0"/>
      </w:tblPr>
      <w:tblGrid>
        <w:gridCol w:w="2770"/>
        <w:gridCol w:w="3601"/>
        <w:gridCol w:w="3601"/>
      </w:tblGrid>
      <w:tr>
        <w:tc>
          <w:tcPr>
            <w:tcW w:type="dxa" w:w="2770"/>
            <w:shd w:val="clear" w:color="auto" w:fill="4E38AB"/>
          </w:tcPr>
          <w:p>
            <w:r>
              <w:rPr>
                <w:rFonts w:ascii="Arial" w:hAnsi="Arial"/>
                <w:b/>
                <w:color w:val="FFFFFF"/>
                <w:sz w:val="19"/>
              </w:rPr>
              <w:t>City</w:t>
            </w:r>
          </w:p>
        </w:tc>
        <w:tc>
          <w:tcPr>
            <w:tcW w:type="dxa" w:w="3601"/>
            <w:shd w:val="clear" w:color="auto" w:fill="4E38AB"/>
          </w:tcPr>
          <w:p>
            <w:r>
              <w:rPr>
                <w:rFonts w:ascii="Arial" w:hAnsi="Arial"/>
                <w:b/>
                <w:color w:val="FFFFFF"/>
                <w:sz w:val="19"/>
              </w:rPr>
              <w:t>Clinic tests change</w:t>
            </w:r>
          </w:p>
        </w:tc>
        <w:tc>
          <w:tcPr>
            <w:tcW w:type="dxa" w:w="3601"/>
            <w:shd w:val="clear" w:color="auto" w:fill="4E38AB"/>
          </w:tcPr>
          <w:p>
            <w:r>
              <w:rPr>
                <w:rFonts w:ascii="Arial" w:hAnsi="Arial"/>
                <w:b/>
                <w:color w:val="FFFFFF"/>
                <w:sz w:val="19"/>
              </w:rPr>
              <w:t>Home tests change</w:t>
            </w:r>
          </w:p>
        </w:tc>
      </w:tr>
      <w:tr>
        <w:tc>
          <w:tcPr>
            <w:tcW w:type="dxa" w:w="2770"/>
          </w:tcPr>
          <w:p>
            <w:r>
              <w:rPr>
                <w:rFonts w:ascii="Arial" w:hAnsi="Arial"/>
                <w:b/>
                <w:color w:val="1A0F5C"/>
                <w:sz w:val="19"/>
              </w:rPr>
              <w:t>Jaipur</w:t>
            </w:r>
          </w:p>
        </w:tc>
        <w:tc>
          <w:tcPr>
            <w:tcW w:type="dxa" w:w="3601"/>
          </w:tcPr>
          <w:p>
            <w:r>
              <w:rPr>
                <w:rFonts w:ascii="Arial" w:hAnsi="Arial"/>
                <w:color w:val="1A0F5C"/>
                <w:sz w:val="19"/>
              </w:rPr>
              <w:t>−7,250 (−24.6%)</w:t>
            </w:r>
          </w:p>
        </w:tc>
        <w:tc>
          <w:tcPr>
            <w:tcW w:type="dxa" w:w="3601"/>
          </w:tcPr>
          <w:p>
            <w:r>
              <w:rPr>
                <w:rFonts w:ascii="Arial" w:hAnsi="Arial"/>
                <w:color w:val="1A0F5C"/>
                <w:sz w:val="19"/>
              </w:rPr>
              <w:t>+2,485 (+16.2%)</w:t>
            </w:r>
          </w:p>
        </w:tc>
      </w:tr>
      <w:tr>
        <w:tc>
          <w:tcPr>
            <w:tcW w:type="dxa" w:w="2770"/>
            <w:shd w:val="clear" w:color="auto" w:fill="F3F1FA"/>
          </w:tcPr>
          <w:p>
            <w:r>
              <w:rPr>
                <w:rFonts w:ascii="Arial" w:hAnsi="Arial"/>
                <w:b/>
                <w:color w:val="1A0F5C"/>
                <w:sz w:val="19"/>
              </w:rPr>
              <w:t>Chennai</w:t>
            </w:r>
          </w:p>
        </w:tc>
        <w:tc>
          <w:tcPr>
            <w:tcW w:type="dxa" w:w="3601"/>
            <w:shd w:val="clear" w:color="auto" w:fill="F3F1FA"/>
          </w:tcPr>
          <w:p>
            <w:r>
              <w:rPr>
                <w:rFonts w:ascii="Arial" w:hAnsi="Arial"/>
                <w:color w:val="1A0F5C"/>
                <w:sz w:val="19"/>
              </w:rPr>
              <w:t>−8,133 (−15.4%)</w:t>
            </w:r>
          </w:p>
        </w:tc>
        <w:tc>
          <w:tcPr>
            <w:tcW w:type="dxa" w:w="3601"/>
            <w:shd w:val="clear" w:color="auto" w:fill="F3F1FA"/>
          </w:tcPr>
          <w:p>
            <w:r>
              <w:rPr>
                <w:rFonts w:ascii="Arial" w:hAnsi="Arial"/>
                <w:color w:val="1A0F5C"/>
                <w:sz w:val="19"/>
              </w:rPr>
              <w:t>+8,873 (+32.8%)</w:t>
            </w:r>
          </w:p>
        </w:tc>
      </w:tr>
      <w:tr>
        <w:tc>
          <w:tcPr>
            <w:tcW w:type="dxa" w:w="2770"/>
          </w:tcPr>
          <w:p>
            <w:r>
              <w:rPr>
                <w:rFonts w:ascii="Arial" w:hAnsi="Arial"/>
                <w:b/>
                <w:color w:val="1A0F5C"/>
                <w:sz w:val="19"/>
              </w:rPr>
              <w:t>Bengaluru</w:t>
            </w:r>
          </w:p>
        </w:tc>
        <w:tc>
          <w:tcPr>
            <w:tcW w:type="dxa" w:w="3601"/>
          </w:tcPr>
          <w:p>
            <w:r>
              <w:rPr>
                <w:rFonts w:ascii="Arial" w:hAnsi="Arial"/>
                <w:color w:val="1A0F5C"/>
                <w:sz w:val="19"/>
              </w:rPr>
              <w:t>−6,620 (−10.1%)</w:t>
            </w:r>
          </w:p>
        </w:tc>
        <w:tc>
          <w:tcPr>
            <w:tcW w:type="dxa" w:w="3601"/>
          </w:tcPr>
          <w:p>
            <w:r>
              <w:rPr>
                <w:rFonts w:ascii="Arial" w:hAnsi="Arial"/>
                <w:color w:val="1A0F5C"/>
                <w:sz w:val="19"/>
              </w:rPr>
              <w:t>+14,155 (+41.8%)</w:t>
            </w:r>
          </w:p>
        </w:tc>
      </w:tr>
      <w:tr>
        <w:tc>
          <w:tcPr>
            <w:tcW w:type="dxa" w:w="2770"/>
            <w:shd w:val="clear" w:color="auto" w:fill="F3F1FA"/>
          </w:tcPr>
          <w:p>
            <w:r>
              <w:rPr>
                <w:rFonts w:ascii="Arial" w:hAnsi="Arial"/>
                <w:b/>
                <w:color w:val="1A0F5C"/>
                <w:sz w:val="19"/>
              </w:rPr>
              <w:t>Hyderabad</w:t>
            </w:r>
          </w:p>
        </w:tc>
        <w:tc>
          <w:tcPr>
            <w:tcW w:type="dxa" w:w="3601"/>
            <w:shd w:val="clear" w:color="auto" w:fill="F3F1FA"/>
          </w:tcPr>
          <w:p>
            <w:r>
              <w:rPr>
                <w:rFonts w:ascii="Arial" w:hAnsi="Arial"/>
                <w:color w:val="1A0F5C"/>
                <w:sz w:val="19"/>
              </w:rPr>
              <w:t>−4,867 (−10.1%)</w:t>
            </w:r>
          </w:p>
        </w:tc>
        <w:tc>
          <w:tcPr>
            <w:tcW w:type="dxa" w:w="3601"/>
            <w:shd w:val="clear" w:color="auto" w:fill="F3F1FA"/>
          </w:tcPr>
          <w:p>
            <w:r>
              <w:rPr>
                <w:rFonts w:ascii="Arial" w:hAnsi="Arial"/>
                <w:color w:val="1A0F5C"/>
                <w:sz w:val="19"/>
              </w:rPr>
              <w:t>+10,170 (+40.9%)</w:t>
            </w:r>
          </w:p>
        </w:tc>
      </w:tr>
      <w:tr>
        <w:tc>
          <w:tcPr>
            <w:tcW w:type="dxa" w:w="2770"/>
          </w:tcPr>
          <w:p>
            <w:r>
              <w:rPr>
                <w:rFonts w:ascii="Arial" w:hAnsi="Arial"/>
                <w:b/>
                <w:color w:val="1A0F5C"/>
                <w:sz w:val="19"/>
              </w:rPr>
              <w:t>Pune</w:t>
            </w:r>
          </w:p>
        </w:tc>
        <w:tc>
          <w:tcPr>
            <w:tcW w:type="dxa" w:w="3601"/>
          </w:tcPr>
          <w:p>
            <w:r>
              <w:rPr>
                <w:rFonts w:ascii="Arial" w:hAnsi="Arial"/>
                <w:color w:val="1A0F5C"/>
                <w:sz w:val="19"/>
              </w:rPr>
              <w:t>−3,884 (−9.8%)</w:t>
            </w:r>
          </w:p>
        </w:tc>
        <w:tc>
          <w:tcPr>
            <w:tcW w:type="dxa" w:w="3601"/>
          </w:tcPr>
          <w:p>
            <w:r>
              <w:rPr>
                <w:rFonts w:ascii="Arial" w:hAnsi="Arial"/>
                <w:color w:val="1A0F5C"/>
                <w:sz w:val="19"/>
              </w:rPr>
              <w:t>+8,800 (+42.7%)</w:t>
            </w:r>
          </w:p>
        </w:tc>
      </w:tr>
      <w:tr>
        <w:tc>
          <w:tcPr>
            <w:tcW w:type="dxa" w:w="2770"/>
            <w:shd w:val="clear" w:color="auto" w:fill="F3F1FA"/>
          </w:tcPr>
          <w:p>
            <w:r>
              <w:rPr>
                <w:rFonts w:ascii="Arial" w:hAnsi="Arial"/>
                <w:b/>
                <w:color w:val="1A0F5C"/>
                <w:sz w:val="19"/>
              </w:rPr>
              <w:t>Ahmedabad</w:t>
            </w:r>
          </w:p>
        </w:tc>
        <w:tc>
          <w:tcPr>
            <w:tcW w:type="dxa" w:w="3601"/>
            <w:shd w:val="clear" w:color="auto" w:fill="F3F1FA"/>
          </w:tcPr>
          <w:p>
            <w:r>
              <w:rPr>
                <w:rFonts w:ascii="Arial" w:hAnsi="Arial"/>
                <w:color w:val="1A0F5C"/>
                <w:sz w:val="19"/>
              </w:rPr>
              <w:t>−2,985 (−6.0%)</w:t>
            </w:r>
          </w:p>
        </w:tc>
        <w:tc>
          <w:tcPr>
            <w:tcW w:type="dxa" w:w="3601"/>
            <w:shd w:val="clear" w:color="auto" w:fill="F3F1FA"/>
          </w:tcPr>
          <w:p>
            <w:r>
              <w:rPr>
                <w:rFonts w:ascii="Arial" w:hAnsi="Arial"/>
                <w:color w:val="1A0F5C"/>
                <w:sz w:val="19"/>
              </w:rPr>
              <w:t>+11,028 (+41.8%)</w:t>
            </w:r>
          </w:p>
        </w:tc>
      </w:tr>
    </w:tbl>
    <w:p/>
    <w:p>
      <w:r>
        <w:rPr>
          <w:b w:val="0"/>
          <w:i w:val="0"/>
        </w:rPr>
        <w:t>Clinic volume fell in every city while home collection rose in every city. In Q1 2026 every home booking carried the free home collection offer (48,582 bookings) and clinic bookings fell 14 percent on the quarter before, so part of the home growth is clinic patients switching channel, at a phlebotomist visit and a Rs 150 waiver each. Jaipur is the only city where home growth was too small to offset the clinic fall.</w:t>
      </w:r>
    </w:p>
    <w:p>
      <w:pPr>
        <w:pStyle w:val="Heading2"/>
      </w:pPr>
      <w:r>
        <w:t>Recording problem or business problem?</w:t>
      </w:r>
    </w:p>
    <w:p>
      <w:r>
        <w:rPr>
          <w:b w:val="0"/>
          <w:i w:val="0"/>
        </w:rPr>
        <w:t>Both short cities changed booking system in April 2026, so the fall could be a counting artefact. Three checks say it is mostly real:</w:t>
      </w:r>
    </w:p>
    <w:p>
      <w:pPr>
        <w:pStyle w:val="ListBullet"/>
      </w:pPr>
      <w:r>
        <w:rPr>
          <w:b/>
        </w:rPr>
        <w:t xml:space="preserve">Jaipur was falling before the switch. </w:t>
      </w:r>
      <w:r>
        <w:rPr>
          <w:b w:val="0"/>
        </w:rPr>
        <w:t>Its Q1 2026 bookings, still on legacy, were 15.8 percent below Q1 2025.</w:t>
      </w:r>
    </w:p>
    <w:p>
      <w:pPr>
        <w:pStyle w:val="ListBullet"/>
      </w:pPr>
      <w:r>
        <w:rPr>
          <w:b/>
        </w:rPr>
        <w:t xml:space="preserve">The collection app did not change vendor, and it shows the same fall. </w:t>
      </w:r>
      <w:r>
        <w:rPr>
          <w:b w:val="0"/>
        </w:rPr>
        <w:t>Q2 2026 collections against Q2 2025: Chennai −4.6 percent (13,781 against 14,451), Jaipur −8.7 percent (7,001 against 7,671). Bookings show −4.7 and −7.9 percent.</w:t>
      </w:r>
    </w:p>
    <w:p>
      <w:pPr>
        <w:pStyle w:val="ListBullet"/>
      </w:pPr>
      <w:r>
        <w:rPr>
          <w:b/>
        </w:rPr>
        <w:t xml:space="preserve">The lab system agrees in direction. </w:t>
      </w:r>
      <w:r>
        <w:rPr>
          <w:b w:val="0"/>
        </w:rPr>
        <w:t>Results-based tests: Chennai +1.5 percent, Jaipur −9.7 percent over the half.</w:t>
      </w:r>
    </w:p>
    <w:p>
      <w:r>
        <w:rPr>
          <w:b w:val="0"/>
          <w:i w:val="0"/>
        </w:rPr>
        <w:t>What the system change does distort is anything counted from collections against nova bookings: the collection app records a rescheduled visit against the original booking id, so 1,449 rescheduled visits with a collection record look cancelled unless the join uses the original id.</w:t>
      </w:r>
    </w:p>
    <w:p>
      <w:pPr>
        <w:pStyle w:val="Heading1"/>
      </w:pPr>
      <w:r>
        <w:t>11. Approach log, six rows</w:t>
      </w:r>
    </w:p>
    <w:tbl>
      <w:tblPr>
        <w:tblStyle w:val="TableGrid"/>
        <w:tblW w:type="auto" w:w="0"/>
        <w:tblLayout w:type="fixed"/>
        <w:tblLook w:firstColumn="1" w:firstRow="1" w:lastColumn="0" w:lastRow="0" w:noHBand="0" w:noVBand="1" w:val="04A0"/>
      </w:tblPr>
      <w:tblGrid>
        <w:gridCol w:w="1569"/>
        <w:gridCol w:w="2400"/>
        <w:gridCol w:w="1200"/>
        <w:gridCol w:w="3047"/>
        <w:gridCol w:w="1756"/>
      </w:tblGrid>
      <w:tr>
        <w:tc>
          <w:tcPr>
            <w:tcW w:type="dxa" w:w="1569"/>
            <w:shd w:val="clear" w:color="auto" w:fill="4E38AB"/>
          </w:tcPr>
          <w:p>
            <w:r>
              <w:rPr>
                <w:rFonts w:ascii="Arial" w:hAnsi="Arial"/>
                <w:b/>
                <w:color w:val="FFFFFF"/>
                <w:sz w:val="19"/>
              </w:rPr>
              <w:t>Part</w:t>
            </w:r>
          </w:p>
        </w:tc>
        <w:tc>
          <w:tcPr>
            <w:tcW w:type="dxa" w:w="2400"/>
            <w:shd w:val="clear" w:color="auto" w:fill="4E38AB"/>
          </w:tcPr>
          <w:p>
            <w:r>
              <w:rPr>
                <w:rFonts w:ascii="Arial" w:hAnsi="Arial"/>
                <w:b/>
                <w:color w:val="FFFFFF"/>
                <w:sz w:val="19"/>
              </w:rPr>
              <w:t>Considered</w:t>
            </w:r>
          </w:p>
        </w:tc>
        <w:tc>
          <w:tcPr>
            <w:tcW w:type="dxa" w:w="1200"/>
            <w:shd w:val="clear" w:color="auto" w:fill="4E38AB"/>
          </w:tcPr>
          <w:p>
            <w:r>
              <w:rPr>
                <w:rFonts w:ascii="Arial" w:hAnsi="Arial"/>
                <w:b/>
                <w:color w:val="FFFFFF"/>
                <w:sz w:val="19"/>
              </w:rPr>
              <w:t>Chosen</w:t>
            </w:r>
          </w:p>
        </w:tc>
        <w:tc>
          <w:tcPr>
            <w:tcW w:type="dxa" w:w="3047"/>
            <w:shd w:val="clear" w:color="auto" w:fill="4E38AB"/>
          </w:tcPr>
          <w:p>
            <w:r>
              <w:rPr>
                <w:rFonts w:ascii="Arial" w:hAnsi="Arial"/>
                <w:b/>
                <w:color w:val="FFFFFF"/>
                <w:sz w:val="19"/>
              </w:rPr>
              <w:t>Why this and not the others</w:t>
            </w:r>
          </w:p>
        </w:tc>
        <w:tc>
          <w:tcPr>
            <w:tcW w:type="dxa" w:w="1756"/>
            <w:shd w:val="clear" w:color="auto" w:fill="4E38AB"/>
          </w:tcPr>
          <w:p>
            <w:r>
              <w:rPr>
                <w:rFonts w:ascii="Arial" w:hAnsi="Arial"/>
                <w:b/>
                <w:color w:val="FFFFFF"/>
                <w:sz w:val="19"/>
              </w:rPr>
              <w:t>Would change the choice</w:t>
            </w:r>
          </w:p>
        </w:tc>
      </w:tr>
      <w:tr>
        <w:tc>
          <w:tcPr>
            <w:tcW w:type="dxa" w:w="1569"/>
          </w:tcPr>
          <w:p>
            <w:r>
              <w:rPr>
                <w:rFonts w:ascii="Arial" w:hAnsi="Arial"/>
                <w:color w:val="1A0F5C"/>
                <w:sz w:val="19"/>
              </w:rPr>
              <w:t>Which table to count tests from</w:t>
            </w:r>
          </w:p>
        </w:tc>
        <w:tc>
          <w:tcPr>
            <w:tcW w:type="dxa" w:w="2400"/>
          </w:tcPr>
          <w:p>
            <w:r>
              <w:rPr>
                <w:rFonts w:ascii="Arial" w:hAnsi="Arial"/>
                <w:color w:val="1A0F5C"/>
                <w:sz w:val="19"/>
              </w:rPr>
              <w:t>(a) bookings rows; (b) bookings, n_tests after the identity rule; (c) results; (d) invoices</w:t>
            </w:r>
          </w:p>
        </w:tc>
        <w:tc>
          <w:tcPr>
            <w:tcW w:type="dxa" w:w="1200"/>
          </w:tcPr>
          <w:p>
            <w:r>
              <w:rPr>
                <w:rFonts w:ascii="Arial" w:hAnsi="Arial"/>
                <w:color w:val="1A0F5C"/>
                <w:sz w:val="19"/>
              </w:rPr>
              <w:t>(b), with (c) as a cross-check</w:t>
            </w:r>
          </w:p>
        </w:tc>
        <w:tc>
          <w:tcPr>
            <w:tcW w:type="dxa" w:w="3047"/>
          </w:tcPr>
          <w:p>
            <w:r>
              <w:rPr>
                <w:rFonts w:ascii="Arial" w:hAnsi="Arial"/>
                <w:color w:val="1A0F5C"/>
                <w:sz w:val="19"/>
              </w:rPr>
              <w:t>It reproduces the 5 percent, covers both systems and both years, and carries city, channel and patient. Results count tests run but miss no-shows; invoices are money, not volume</w:t>
            </w:r>
          </w:p>
        </w:tc>
        <w:tc>
          <w:tcPr>
            <w:tcW w:type="dxa" w:w="1756"/>
          </w:tcPr>
          <w:p>
            <w:r>
              <w:rPr>
                <w:rFonts w:ascii="Arial" w:hAnsi="Arial"/>
                <w:color w:val="1A0F5C"/>
                <w:sz w:val="19"/>
              </w:rPr>
              <w:t>A question about tests actually run, which would make results the table of record</w:t>
            </w:r>
          </w:p>
        </w:tc>
      </w:tr>
      <w:tr>
        <w:tc>
          <w:tcPr>
            <w:tcW w:type="dxa" w:w="1569"/>
            <w:shd w:val="clear" w:color="auto" w:fill="F3F1FA"/>
          </w:tcPr>
          <w:p>
            <w:r>
              <w:rPr>
                <w:rFonts w:ascii="Arial" w:hAnsi="Arial"/>
                <w:color w:val="1A0F5C"/>
                <w:sz w:val="19"/>
              </w:rPr>
              <w:t>The period</w:t>
            </w:r>
          </w:p>
        </w:tc>
        <w:tc>
          <w:tcPr>
            <w:tcW w:type="dxa" w:w="2400"/>
            <w:shd w:val="clear" w:color="auto" w:fill="F3F1FA"/>
          </w:tcPr>
          <w:p>
            <w:r>
              <w:rPr>
                <w:rFonts w:ascii="Arial" w:hAnsi="Arial"/>
                <w:color w:val="1A0F5C"/>
                <w:sz w:val="19"/>
              </w:rPr>
              <w:t>(a) between start and end date; (b) half-open: on or after 1 January, before 1 July</w:t>
            </w:r>
          </w:p>
        </w:tc>
        <w:tc>
          <w:tcPr>
            <w:tcW w:type="dxa" w:w="1200"/>
            <w:shd w:val="clear" w:color="auto" w:fill="F3F1FA"/>
          </w:tcPr>
          <w:p>
            <w:r>
              <w:rPr>
                <w:rFonts w:ascii="Arial" w:hAnsi="Arial"/>
                <w:color w:val="1A0F5C"/>
                <w:sz w:val="19"/>
              </w:rPr>
              <w:t>(b)</w:t>
            </w:r>
          </w:p>
        </w:tc>
        <w:tc>
          <w:tcPr>
            <w:tcW w:type="dxa" w:w="3047"/>
            <w:shd w:val="clear" w:color="auto" w:fill="F3F1FA"/>
          </w:tcPr>
          <w:p>
            <w:r>
              <w:rPr>
                <w:rFonts w:ascii="Arial" w:hAnsi="Arial"/>
                <w:color w:val="1A0F5C"/>
                <w:sz w:val="19"/>
              </w:rPr>
              <w:t>(a) with a date-only end stops at midnight on 30 June and drops about 1,000 bookings per half; SQL and pandas then disagree</w:t>
            </w:r>
          </w:p>
        </w:tc>
        <w:tc>
          <w:tcPr>
            <w:tcW w:type="dxa" w:w="1756"/>
            <w:shd w:val="clear" w:color="auto" w:fill="F3F1FA"/>
          </w:tcPr>
          <w:p>
            <w:r>
              <w:rPr>
                <w:rFonts w:ascii="Arial" w:hAnsi="Arial"/>
                <w:color w:val="1A0F5C"/>
                <w:sz w:val="19"/>
              </w:rPr>
              <w:t>Timestamps without a time part</w:t>
            </w:r>
          </w:p>
        </w:tc>
      </w:tr>
      <w:tr>
        <w:tc>
          <w:tcPr>
            <w:tcW w:type="dxa" w:w="1569"/>
          </w:tcPr>
          <w:p>
            <w:r>
              <w:rPr>
                <w:rFonts w:ascii="Arial" w:hAnsi="Arial"/>
                <w:color w:val="1A0F5C"/>
                <w:sz w:val="19"/>
              </w:rPr>
              <w:t>A rescheduled nova visit</w:t>
            </w:r>
          </w:p>
        </w:tc>
        <w:tc>
          <w:tcPr>
            <w:tcW w:type="dxa" w:w="2400"/>
          </w:tcPr>
          <w:p>
            <w:r>
              <w:rPr>
                <w:rFonts w:ascii="Arial" w:hAnsi="Arial"/>
                <w:color w:val="1A0F5C"/>
                <w:sz w:val="19"/>
              </w:rPr>
              <w:t>(a) count both records; (b) keep the new record, drop the superseded original; (c) keep the original</w:t>
            </w:r>
          </w:p>
        </w:tc>
        <w:tc>
          <w:tcPr>
            <w:tcW w:type="dxa" w:w="1200"/>
          </w:tcPr>
          <w:p>
            <w:r>
              <w:rPr>
                <w:rFonts w:ascii="Arial" w:hAnsi="Arial"/>
                <w:color w:val="1A0F5C"/>
                <w:sz w:val="19"/>
              </w:rPr>
              <w:t>(b)</w:t>
            </w:r>
          </w:p>
        </w:tc>
        <w:tc>
          <w:tcPr>
            <w:tcW w:type="dxa" w:w="3047"/>
          </w:tcPr>
          <w:p>
            <w:r>
              <w:rPr>
                <w:rFonts w:ascii="Arial" w:hAnsi="Arial"/>
                <w:color w:val="1A0F5C"/>
                <w:sz w:val="19"/>
              </w:rPr>
              <w:t>Legacy overwrote the slot in place, so one visit is one booking in both systems; the new record carries the slot that happened</w:t>
            </w:r>
          </w:p>
        </w:tc>
        <w:tc>
          <w:tcPr>
            <w:tcW w:type="dxa" w:w="1756"/>
          </w:tcPr>
          <w:p>
            <w:r>
              <w:rPr>
                <w:rFonts w:ascii="Arial" w:hAnsi="Arial"/>
                <w:color w:val="1A0F5C"/>
                <w:sz w:val="19"/>
              </w:rPr>
              <w:t>Evidence that a reschedule is a second visit in practice</w:t>
            </w:r>
          </w:p>
        </w:tc>
      </w:tr>
      <w:tr>
        <w:tc>
          <w:tcPr>
            <w:tcW w:type="dxa" w:w="1569"/>
            <w:shd w:val="clear" w:color="auto" w:fill="F3F1FA"/>
          </w:tcPr>
          <w:p>
            <w:r>
              <w:rPr>
                <w:rFonts w:ascii="Arial" w:hAnsi="Arial"/>
                <w:color w:val="1A0F5C"/>
                <w:sz w:val="19"/>
              </w:rPr>
              <w:t>The tree's branches</w:t>
            </w:r>
          </w:p>
        </w:tc>
        <w:tc>
          <w:tcPr>
            <w:tcW w:type="dxa" w:w="2400"/>
            <w:shd w:val="clear" w:color="auto" w:fill="F3F1FA"/>
          </w:tcPr>
          <w:p>
            <w:r>
              <w:rPr>
                <w:rFonts w:ascii="Arial" w:hAnsi="Arial"/>
                <w:color w:val="1A0F5C"/>
                <w:sz w:val="19"/>
              </w:rPr>
              <w:t>(a) patients × tests per patient; (b) patients × visits per patient × tests per visit</w:t>
            </w:r>
          </w:p>
        </w:tc>
        <w:tc>
          <w:tcPr>
            <w:tcW w:type="dxa" w:w="1200"/>
            <w:shd w:val="clear" w:color="auto" w:fill="F3F1FA"/>
          </w:tcPr>
          <w:p>
            <w:r>
              <w:rPr>
                <w:rFonts w:ascii="Arial" w:hAnsi="Arial"/>
                <w:color w:val="1A0F5C"/>
                <w:sz w:val="19"/>
              </w:rPr>
              <w:t>(b)</w:t>
            </w:r>
          </w:p>
        </w:tc>
        <w:tc>
          <w:tcPr>
            <w:tcW w:type="dxa" w:w="3047"/>
            <w:shd w:val="clear" w:color="auto" w:fill="F3F1FA"/>
          </w:tcPr>
          <w:p>
            <w:r>
              <w:rPr>
                <w:rFonts w:ascii="Arial" w:hAnsi="Arial"/>
                <w:color w:val="1A0F5C"/>
                <w:sz w:val="19"/>
              </w:rPr>
              <w:t>(a) hides the frequency branch inside tests per patient (+1.2 percent), which is −1.0 percent visits and +2.2 percent tests per visit moving in opposite directions</w:t>
            </w:r>
          </w:p>
        </w:tc>
        <w:tc>
          <w:tcPr>
            <w:tcW w:type="dxa" w:w="1756"/>
            <w:shd w:val="clear" w:color="auto" w:fill="F3F1FA"/>
          </w:tcPr>
          <w:p>
            <w:r>
              <w:rPr>
                <w:rFonts w:ascii="Arial" w:hAnsi="Arial"/>
                <w:color w:val="1A0F5C"/>
                <w:sz w:val="19"/>
              </w:rPr>
              <w:t>A business with one visit per patient</w:t>
            </w:r>
          </w:p>
        </w:tc>
      </w:tr>
      <w:tr>
        <w:tc>
          <w:tcPr>
            <w:tcW w:type="dxa" w:w="1569"/>
          </w:tcPr>
          <w:p>
            <w:r>
              <w:rPr>
                <w:rFonts w:ascii="Arial" w:hAnsi="Arial"/>
                <w:color w:val="1A0F5C"/>
                <w:sz w:val="19"/>
              </w:rPr>
              <w:t>Split order</w:t>
            </w:r>
          </w:p>
        </w:tc>
        <w:tc>
          <w:tcPr>
            <w:tcW w:type="dxa" w:w="2400"/>
          </w:tcPr>
          <w:p>
            <w:r>
              <w:rPr>
                <w:rFonts w:ascii="Arial" w:hAnsi="Arial"/>
                <w:color w:val="1A0F5C"/>
                <w:sz w:val="19"/>
              </w:rPr>
              <w:t>(a) city first; (b) channel first; (c) both at once</w:t>
            </w:r>
          </w:p>
        </w:tc>
        <w:tc>
          <w:tcPr>
            <w:tcW w:type="dxa" w:w="1200"/>
          </w:tcPr>
          <w:p>
            <w:r>
              <w:rPr>
                <w:rFonts w:ascii="Arial" w:hAnsi="Arial"/>
                <w:color w:val="1A0F5C"/>
                <w:sz w:val="19"/>
              </w:rPr>
              <w:t>(a), then city × channel</w:t>
            </w:r>
          </w:p>
        </w:tc>
        <w:tc>
          <w:tcPr>
            <w:tcW w:type="dxa" w:w="3047"/>
          </w:tcPr>
          <w:p>
            <w:r>
              <w:rPr>
                <w:rFonts w:ascii="Arial" w:hAnsi="Arial"/>
                <w:color w:val="1A0F5C"/>
                <w:sz w:val="19"/>
              </w:rPr>
              <w:t>The plan was set and is owned per city; the totals are the same either way, and the city × channel table shows the interaction</w:t>
            </w:r>
          </w:p>
        </w:tc>
        <w:tc>
          <w:tcPr>
            <w:tcW w:type="dxa" w:w="1756"/>
          </w:tcPr>
          <w:p>
            <w:r>
              <w:rPr>
                <w:rFonts w:ascii="Arial" w:hAnsi="Arial"/>
                <w:color w:val="1A0F5C"/>
                <w:sz w:val="19"/>
              </w:rPr>
              <w:t>A plan set per channel</w:t>
            </w:r>
          </w:p>
        </w:tc>
      </w:tr>
      <w:tr>
        <w:tc>
          <w:tcPr>
            <w:tcW w:type="dxa" w:w="1569"/>
            <w:shd w:val="clear" w:color="auto" w:fill="F3F1FA"/>
          </w:tcPr>
          <w:p>
            <w:r>
              <w:rPr>
                <w:rFonts w:ascii="Arial" w:hAnsi="Arial"/>
                <w:color w:val="1A0F5C"/>
                <w:sz w:val="19"/>
              </w:rPr>
              <w:t>Rejected bookings</w:t>
            </w:r>
          </w:p>
        </w:tc>
        <w:tc>
          <w:tcPr>
            <w:tcW w:type="dxa" w:w="2400"/>
            <w:shd w:val="clear" w:color="auto" w:fill="F3F1FA"/>
          </w:tcPr>
          <w:p>
            <w:r>
              <w:rPr>
                <w:rFonts w:ascii="Arial" w:hAnsi="Arial"/>
                <w:color w:val="1A0F5C"/>
                <w:sz w:val="19"/>
              </w:rPr>
              <w:t>(a) reject; (b) repair the 2-day shift and the trailing zero; (c) keep, drop only the bad test line</w:t>
            </w:r>
          </w:p>
        </w:tc>
        <w:tc>
          <w:tcPr>
            <w:tcW w:type="dxa" w:w="1200"/>
            <w:shd w:val="clear" w:color="auto" w:fill="F3F1FA"/>
          </w:tcPr>
          <w:p>
            <w:r>
              <w:rPr>
                <w:rFonts w:ascii="Arial" w:hAnsi="Arial"/>
                <w:color w:val="1A0F5C"/>
                <w:sz w:val="19"/>
              </w:rPr>
              <w:t>(a) for the headline, (b) logged as sensitivity</w:t>
            </w:r>
          </w:p>
        </w:tc>
        <w:tc>
          <w:tcPr>
            <w:tcW w:type="dxa" w:w="3047"/>
            <w:shd w:val="clear" w:color="auto" w:fill="F3F1FA"/>
          </w:tcPr>
          <w:p>
            <w:r>
              <w:rPr>
                <w:rFonts w:ascii="Arial" w:hAnsi="Arial"/>
                <w:color w:val="1A0F5C"/>
                <w:sz w:val="19"/>
              </w:rPr>
              <w:t>Rejects are spread evenly (1,074 in H1 2025, 1,004 in H1 2026), so growth moves 0.06 points either way</w:t>
            </w:r>
          </w:p>
        </w:tc>
        <w:tc>
          <w:tcPr>
            <w:tcW w:type="dxa" w:w="1756"/>
            <w:shd w:val="clear" w:color="auto" w:fill="F3F1FA"/>
          </w:tcPr>
          <w:p>
            <w:r>
              <w:rPr>
                <w:rFonts w:ascii="Arial" w:hAnsi="Arial"/>
                <w:color w:val="1A0F5C"/>
                <w:sz w:val="19"/>
              </w:rPr>
              <w:t>Rejects concentrated in one half or one city</w:t>
            </w:r>
          </w:p>
        </w:tc>
      </w:tr>
    </w:tbl>
    <w:p/>
    <w:p>
      <w:pPr>
        <w:pStyle w:val="Heading1"/>
      </w:pPr>
      <w:r>
        <w:t>12. Risks, assumptions and what would make us wrong</w:t>
      </w:r>
    </w:p>
    <w:tbl>
      <w:tblPr>
        <w:tblStyle w:val="TableGrid"/>
        <w:tblW w:type="auto" w:w="0"/>
        <w:tblLayout w:type="fixed"/>
        <w:tblLook w:firstColumn="1" w:firstRow="1" w:lastColumn="0" w:lastRow="0" w:noHBand="0" w:noVBand="1" w:val="04A0"/>
      </w:tblPr>
      <w:tblGrid>
        <w:gridCol w:w="4432"/>
        <w:gridCol w:w="5540"/>
      </w:tblGrid>
      <w:tr>
        <w:tc>
          <w:tcPr>
            <w:tcW w:type="dxa" w:w="4432"/>
            <w:shd w:val="clear" w:color="auto" w:fill="4E38AB"/>
          </w:tcPr>
          <w:p>
            <w:r>
              <w:rPr>
                <w:rFonts w:ascii="Arial" w:hAnsi="Arial"/>
                <w:b/>
                <w:color w:val="FFFFFF"/>
                <w:sz w:val="19"/>
              </w:rPr>
              <w:t>Risk or assumption</w:t>
            </w:r>
          </w:p>
        </w:tc>
        <w:tc>
          <w:tcPr>
            <w:tcW w:type="dxa" w:w="5540"/>
            <w:shd w:val="clear" w:color="auto" w:fill="4E38AB"/>
          </w:tcPr>
          <w:p>
            <w:r>
              <w:rPr>
                <w:rFonts w:ascii="Arial" w:hAnsi="Arial"/>
                <w:b/>
                <w:color w:val="FFFFFF"/>
                <w:sz w:val="19"/>
              </w:rPr>
              <w:t>What we do about it</w:t>
            </w:r>
          </w:p>
        </w:tc>
      </w:tr>
      <w:tr>
        <w:tc>
          <w:tcPr>
            <w:tcW w:type="dxa" w:w="4432"/>
          </w:tcPr>
          <w:p>
            <w:r>
              <w:rPr>
                <w:rFonts w:ascii="Arial" w:hAnsi="Arial"/>
                <w:color w:val="1A0F5C"/>
                <w:sz w:val="19"/>
              </w:rPr>
              <w:t>The identity rule is wrong and a reschedule is two visits</w:t>
            </w:r>
          </w:p>
        </w:tc>
        <w:tc>
          <w:tcPr>
            <w:tcW w:type="dxa" w:w="5540"/>
          </w:tcPr>
          <w:p>
            <w:r>
              <w:rPr>
                <w:rFonts w:ascii="Arial" w:hAnsi="Arial"/>
                <w:color w:val="1A0F5C"/>
                <w:sz w:val="19"/>
              </w:rPr>
              <w:t>Show growth both ways on slide 5: +5.0 percent (our rule) against +5.8 percent (both records counted)</w:t>
            </w:r>
          </w:p>
        </w:tc>
      </w:tr>
      <w:tr>
        <w:tc>
          <w:tcPr>
            <w:tcW w:type="dxa" w:w="4432"/>
            <w:shd w:val="clear" w:color="auto" w:fill="F3F1FA"/>
          </w:tcPr>
          <w:p>
            <w:r>
              <w:rPr>
                <w:rFonts w:ascii="Arial" w:hAnsi="Arial"/>
                <w:color w:val="1A0F5C"/>
                <w:sz w:val="19"/>
              </w:rPr>
              <w:t>The fall in Chennai and Jaipur is a counting artefact of the April migration</w:t>
            </w:r>
          </w:p>
        </w:tc>
        <w:tc>
          <w:tcPr>
            <w:tcW w:type="dxa" w:w="5540"/>
            <w:shd w:val="clear" w:color="auto" w:fill="F3F1FA"/>
          </w:tcPr>
          <w:p>
            <w:r>
              <w:rPr>
                <w:rFonts w:ascii="Arial" w:hAnsi="Arial"/>
                <w:color w:val="1A0F5C"/>
                <w:sz w:val="19"/>
              </w:rPr>
              <w:t>Cross-check with the collection app and the lab system, which did not change vendor; both show the fall</w:t>
            </w:r>
          </w:p>
        </w:tc>
      </w:tr>
      <w:tr>
        <w:tc>
          <w:tcPr>
            <w:tcW w:type="dxa" w:w="4432"/>
          </w:tcPr>
          <w:p>
            <w:r>
              <w:rPr>
                <w:rFonts w:ascii="Arial" w:hAnsi="Arial"/>
                <w:color w:val="1A0F5C"/>
                <w:sz w:val="19"/>
              </w:rPr>
              <w:t>Patient de-duplication over- or under-merges, moving the patients branch</w:t>
            </w:r>
          </w:p>
        </w:tc>
        <w:tc>
          <w:tcPr>
            <w:tcW w:type="dxa" w:w="5540"/>
          </w:tcPr>
          <w:p>
            <w:r>
              <w:rPr>
                <w:rFonts w:ascii="Arial" w:hAnsi="Arial"/>
                <w:color w:val="1A0F5C"/>
                <w:sz w:val="19"/>
              </w:rPr>
              <w:t>Rule stated with its stakes; 1,492 placeholder birth dates (1900-01-01) listed as the weak spot</w:t>
            </w:r>
          </w:p>
        </w:tc>
      </w:tr>
      <w:tr>
        <w:tc>
          <w:tcPr>
            <w:tcW w:type="dxa" w:w="4432"/>
            <w:shd w:val="clear" w:color="auto" w:fill="F3F1FA"/>
          </w:tcPr>
          <w:p>
            <w:r>
              <w:rPr>
                <w:rFonts w:ascii="Arial" w:hAnsi="Arial"/>
                <w:color w:val="1A0F5C"/>
                <w:sz w:val="19"/>
              </w:rPr>
              <w:t>The plan's branch composition is assumed, not stated</w:t>
            </w:r>
          </w:p>
        </w:tc>
        <w:tc>
          <w:tcPr>
            <w:tcW w:type="dxa" w:w="5540"/>
            <w:shd w:val="clear" w:color="auto" w:fill="F3F1FA"/>
          </w:tcPr>
          <w:p>
            <w:r>
              <w:rPr>
                <w:rFonts w:ascii="Arial" w:hAnsi="Arial"/>
                <w:color w:val="1A0F5C"/>
                <w:sz w:val="19"/>
              </w:rPr>
              <w:t>Say so on slide 5: 'set on last year's mix' read as constant visits per patient and tests per visit</w:t>
            </w:r>
          </w:p>
        </w:tc>
      </w:tr>
      <w:tr>
        <w:tc>
          <w:tcPr>
            <w:tcW w:type="dxa" w:w="4432"/>
          </w:tcPr>
          <w:p>
            <w:r>
              <w:rPr>
                <w:rFonts w:ascii="Arial" w:hAnsi="Arial"/>
                <w:color w:val="1A0F5C"/>
                <w:sz w:val="19"/>
              </w:rPr>
              <w:t>3,107 legacy bookings rejected at validation were real visits</w:t>
            </w:r>
          </w:p>
        </w:tc>
        <w:tc>
          <w:tcPr>
            <w:tcW w:type="dxa" w:w="5540"/>
          </w:tcPr>
          <w:p>
            <w:r>
              <w:rPr>
                <w:rFonts w:ascii="Arial" w:hAnsi="Arial"/>
                <w:color w:val="1A0F5C"/>
                <w:sz w:val="19"/>
              </w:rPr>
              <w:t>Spread evenly across both halves; growth moves 0.06 points; listed in rejects_bookings.csv</w:t>
            </w:r>
          </w:p>
        </w:tc>
      </w:tr>
      <w:tr>
        <w:tc>
          <w:tcPr>
            <w:tcW w:type="dxa" w:w="4432"/>
            <w:shd w:val="clear" w:color="auto" w:fill="F3F1FA"/>
          </w:tcPr>
          <w:p>
            <w:r>
              <w:rPr>
                <w:rFonts w:ascii="Arial" w:hAnsi="Arial"/>
                <w:color w:val="1A0F5C"/>
                <w:sz w:val="19"/>
              </w:rPr>
              <w:t>The label and the number disagree (all bookings against collected or no-show)</w:t>
            </w:r>
          </w:p>
        </w:tc>
        <w:tc>
          <w:tcPr>
            <w:tcW w:type="dxa" w:w="5540"/>
            <w:shd w:val="clear" w:color="auto" w:fill="F3F1FA"/>
          </w:tcPr>
          <w:p>
            <w:r>
              <w:rPr>
                <w:rFonts w:ascii="Arial" w:hAnsi="Arial"/>
                <w:color w:val="1A0F5C"/>
                <w:sz w:val="19"/>
              </w:rPr>
              <w:t>One definition throughout: all bookings after the identity rule; the alternative (+4.2 percent) shown once, labelled</w:t>
            </w:r>
          </w:p>
        </w:tc>
      </w:tr>
    </w:tbl>
    <w:p/>
    <w:p>
      <w:pPr>
        <w:pStyle w:val="Heading1"/>
      </w:pPr>
      <w:r>
        <w:t>13. Decision rights and changes</w:t>
      </w:r>
    </w:p>
    <w:tbl>
      <w:tblPr>
        <w:tblStyle w:val="TableGrid"/>
        <w:tblW w:type="auto" w:w="0"/>
        <w:tblLayout w:type="fixed"/>
        <w:tblLook w:firstColumn="1" w:firstRow="1" w:lastColumn="0" w:lastRow="0" w:noHBand="0" w:noVBand="1" w:val="04A0"/>
      </w:tblPr>
      <w:tblGrid>
        <w:gridCol w:w="3878"/>
        <w:gridCol w:w="3878"/>
        <w:gridCol w:w="2216"/>
      </w:tblGrid>
      <w:tr>
        <w:tc>
          <w:tcPr>
            <w:tcW w:type="dxa" w:w="3878"/>
            <w:shd w:val="clear" w:color="auto" w:fill="4E38AB"/>
          </w:tcPr>
          <w:p>
            <w:r>
              <w:rPr>
                <w:rFonts w:ascii="Arial" w:hAnsi="Arial"/>
                <w:b/>
                <w:color w:val="FFFFFF"/>
                <w:sz w:val="19"/>
              </w:rPr>
              <w:t>Decision</w:t>
            </w:r>
          </w:p>
        </w:tc>
        <w:tc>
          <w:tcPr>
            <w:tcW w:type="dxa" w:w="3878"/>
            <w:shd w:val="clear" w:color="auto" w:fill="4E38AB"/>
          </w:tcPr>
          <w:p>
            <w:r>
              <w:rPr>
                <w:rFonts w:ascii="Arial" w:hAnsi="Arial"/>
                <w:b/>
                <w:color w:val="FFFFFF"/>
                <w:sz w:val="19"/>
              </w:rPr>
              <w:t>Who</w:t>
            </w:r>
          </w:p>
        </w:tc>
        <w:tc>
          <w:tcPr>
            <w:tcW w:type="dxa" w:w="2216"/>
            <w:shd w:val="clear" w:color="auto" w:fill="4E38AB"/>
          </w:tcPr>
          <w:p>
            <w:r>
              <w:rPr>
                <w:rFonts w:ascii="Arial" w:hAnsi="Arial"/>
                <w:b/>
                <w:color w:val="FFFFFF"/>
                <w:sz w:val="19"/>
              </w:rPr>
              <w:t>When</w:t>
            </w:r>
          </w:p>
        </w:tc>
      </w:tr>
      <w:tr>
        <w:tc>
          <w:tcPr>
            <w:tcW w:type="dxa" w:w="3878"/>
          </w:tcPr>
          <w:p>
            <w:r>
              <w:rPr>
                <w:rFonts w:ascii="Arial" w:hAnsi="Arial"/>
                <w:color w:val="1A0F5C"/>
                <w:sz w:val="19"/>
              </w:rPr>
              <w:t>The identity rule for a booking</w:t>
            </w:r>
          </w:p>
        </w:tc>
        <w:tc>
          <w:tcPr>
            <w:tcW w:type="dxa" w:w="3878"/>
          </w:tcPr>
          <w:p>
            <w:r>
              <w:rPr>
                <w:rFonts w:ascii="Arial" w:hAnsi="Arial"/>
                <w:color w:val="1A0F5C"/>
                <w:sz w:val="19"/>
              </w:rPr>
              <w:t>&lt;member 2&gt;, after Rohit's review</w:t>
            </w:r>
          </w:p>
        </w:tc>
        <w:tc>
          <w:tcPr>
            <w:tcW w:type="dxa" w:w="2216"/>
          </w:tcPr>
          <w:p>
            <w:r>
              <w:rPr>
                <w:rFonts w:ascii="Arial" w:hAnsi="Arial"/>
                <w:color w:val="1A0F5C"/>
                <w:sz w:val="19"/>
              </w:rPr>
              <w:t>Gate 1</w:t>
            </w:r>
          </w:p>
        </w:tc>
      </w:tr>
      <w:tr>
        <w:tc>
          <w:tcPr>
            <w:tcW w:type="dxa" w:w="3878"/>
            <w:shd w:val="clear" w:color="auto" w:fill="F3F1FA"/>
          </w:tcPr>
          <w:p>
            <w:r>
              <w:rPr>
                <w:rFonts w:ascii="Arial" w:hAnsi="Arial"/>
                <w:color w:val="1A0F5C"/>
                <w:sz w:val="19"/>
              </w:rPr>
              <w:t>The headline claim</w:t>
            </w:r>
          </w:p>
        </w:tc>
        <w:tc>
          <w:tcPr>
            <w:tcW w:type="dxa" w:w="3878"/>
            <w:shd w:val="clear" w:color="auto" w:fill="F3F1FA"/>
          </w:tcPr>
          <w:p>
            <w:r>
              <w:rPr>
                <w:rFonts w:ascii="Arial" w:hAnsi="Arial"/>
                <w:color w:val="1A0F5C"/>
                <w:sz w:val="19"/>
              </w:rPr>
              <w:t>The group; the challenger has the last word</w:t>
            </w:r>
          </w:p>
        </w:tc>
        <w:tc>
          <w:tcPr>
            <w:tcW w:type="dxa" w:w="2216"/>
            <w:shd w:val="clear" w:color="auto" w:fill="F3F1FA"/>
          </w:tcPr>
          <w:p>
            <w:r>
              <w:rPr>
                <w:rFonts w:ascii="Arial" w:hAnsi="Arial"/>
                <w:color w:val="1A0F5C"/>
                <w:sz w:val="19"/>
              </w:rPr>
              <w:t>Gate 2</w:t>
            </w:r>
          </w:p>
        </w:tc>
      </w:tr>
      <w:tr>
        <w:tc>
          <w:tcPr>
            <w:tcW w:type="dxa" w:w="3878"/>
          </w:tcPr>
          <w:p>
            <w:r>
              <w:rPr>
                <w:rFonts w:ascii="Arial" w:hAnsi="Arial"/>
                <w:color w:val="1A0F5C"/>
                <w:sz w:val="19"/>
              </w:rPr>
              <w:t>Freeze</w:t>
            </w:r>
          </w:p>
        </w:tc>
        <w:tc>
          <w:tcPr>
            <w:tcW w:type="dxa" w:w="3878"/>
          </w:tcPr>
          <w:p>
            <w:r>
              <w:rPr>
                <w:rFonts w:ascii="Arial" w:hAnsi="Arial"/>
                <w:color w:val="1A0F5C"/>
                <w:sz w:val="19"/>
              </w:rPr>
              <w:t>&lt;member 3&gt;, after the cold run</w:t>
            </w:r>
          </w:p>
        </w:tc>
        <w:tc>
          <w:tcPr>
            <w:tcW w:type="dxa" w:w="2216"/>
          </w:tcPr>
          <w:p>
            <w:r>
              <w:rPr>
                <w:rFonts w:ascii="Arial" w:hAnsi="Arial"/>
                <w:color w:val="1A0F5C"/>
                <w:sz w:val="19"/>
              </w:rPr>
              <w:t>Evening before presentations</w:t>
            </w:r>
          </w:p>
        </w:tc>
      </w:tr>
    </w:tbl>
    <w:p/>
    <w:tbl>
      <w:tblPr>
        <w:tblStyle w:val="TableGrid"/>
        <w:tblW w:type="auto" w:w="0"/>
        <w:tblLayout w:type="fixed"/>
        <w:tblLook w:firstColumn="1" w:firstRow="1" w:lastColumn="0" w:lastRow="0" w:noHBand="0" w:noVBand="1" w:val="04A0"/>
      </w:tblPr>
      <w:tblGrid>
        <w:gridCol w:w="1108"/>
        <w:gridCol w:w="3324"/>
        <w:gridCol w:w="4062"/>
        <w:gridCol w:w="1478"/>
      </w:tblGrid>
      <w:tr>
        <w:tc>
          <w:tcPr>
            <w:tcW w:type="dxa" w:w="1108"/>
            <w:shd w:val="clear" w:color="auto" w:fill="4E38AB"/>
          </w:tcPr>
          <w:p>
            <w:r>
              <w:rPr>
                <w:rFonts w:ascii="Arial" w:hAnsi="Arial"/>
                <w:b/>
                <w:color w:val="FFFFFF"/>
                <w:sz w:val="19"/>
              </w:rPr>
              <w:t>Date</w:t>
            </w:r>
          </w:p>
        </w:tc>
        <w:tc>
          <w:tcPr>
            <w:tcW w:type="dxa" w:w="3324"/>
            <w:shd w:val="clear" w:color="auto" w:fill="4E38AB"/>
          </w:tcPr>
          <w:p>
            <w:r>
              <w:rPr>
                <w:rFonts w:ascii="Arial" w:hAnsi="Arial"/>
                <w:b/>
                <w:color w:val="FFFFFF"/>
                <w:sz w:val="19"/>
              </w:rPr>
              <w:t>Change</w:t>
            </w:r>
          </w:p>
        </w:tc>
        <w:tc>
          <w:tcPr>
            <w:tcW w:type="dxa" w:w="4062"/>
            <w:shd w:val="clear" w:color="auto" w:fill="4E38AB"/>
          </w:tcPr>
          <w:p>
            <w:r>
              <w:rPr>
                <w:rFonts w:ascii="Arial" w:hAnsi="Arial"/>
                <w:b/>
                <w:color w:val="FFFFFF"/>
                <w:sz w:val="19"/>
              </w:rPr>
              <w:t>Why</w:t>
            </w:r>
          </w:p>
        </w:tc>
        <w:tc>
          <w:tcPr>
            <w:tcW w:type="dxa" w:w="1478"/>
            <w:shd w:val="clear" w:color="auto" w:fill="4E38AB"/>
          </w:tcPr>
          <w:p>
            <w:r>
              <w:rPr>
                <w:rFonts w:ascii="Arial" w:hAnsi="Arial"/>
                <w:b/>
                <w:color w:val="FFFFFF"/>
                <w:sz w:val="19"/>
              </w:rPr>
              <w:t>Who</w:t>
            </w:r>
          </w:p>
        </w:tc>
      </w:tr>
      <w:tr>
        <w:tc>
          <w:tcPr>
            <w:tcW w:type="dxa" w:w="1108"/>
          </w:tcPr>
          <w:p>
            <w:r>
              <w:rPr>
                <w:rFonts w:ascii="Arial" w:hAnsi="Arial"/>
                <w:color w:val="1A0F5C"/>
                <w:sz w:val="19"/>
              </w:rPr>
              <w:t>Day 2</w:t>
            </w:r>
          </w:p>
        </w:tc>
        <w:tc>
          <w:tcPr>
            <w:tcW w:type="dxa" w:w="3324"/>
          </w:tcPr>
          <w:p>
            <w:r>
              <w:rPr>
                <w:rFonts w:ascii="Arial" w:hAnsi="Arial"/>
                <w:color w:val="1A0F5C"/>
                <w:sz w:val="19"/>
              </w:rPr>
              <w:t>Periods changed to half-open intervals</w:t>
            </w:r>
          </w:p>
        </w:tc>
        <w:tc>
          <w:tcPr>
            <w:tcW w:type="dxa" w:w="4062"/>
          </w:tcPr>
          <w:p>
            <w:r>
              <w:rPr>
                <w:rFonts w:ascii="Arial" w:hAnsi="Arial"/>
                <w:color w:val="1A0F5C"/>
                <w:sz w:val="19"/>
              </w:rPr>
              <w:t>Pandas dropped 30 June and disagreed with SQL by about 2,400 tests per half</w:t>
            </w:r>
          </w:p>
        </w:tc>
        <w:tc>
          <w:tcPr>
            <w:tcW w:type="dxa" w:w="1478"/>
          </w:tcPr>
          <w:p>
            <w:r>
              <w:rPr>
                <w:rFonts w:ascii="Arial" w:hAnsi="Arial"/>
                <w:color w:val="1A0F5C"/>
                <w:sz w:val="19"/>
              </w:rPr>
              <w:t>&lt;member 4&gt;</w:t>
            </w:r>
          </w:p>
        </w:tc>
      </w:tr>
      <w:tr>
        <w:tc>
          <w:tcPr>
            <w:tcW w:type="dxa" w:w="1108"/>
            <w:shd w:val="clear" w:color="auto" w:fill="F3F1FA"/>
          </w:tcPr>
          <w:p>
            <w:r>
              <w:rPr>
                <w:rFonts w:ascii="Arial" w:hAnsi="Arial"/>
                <w:color w:val="1A0F5C"/>
                <w:sz w:val="19"/>
              </w:rPr>
              <w:t>Day 3</w:t>
            </w:r>
          </w:p>
        </w:tc>
        <w:tc>
          <w:tcPr>
            <w:tcW w:type="dxa" w:w="3324"/>
            <w:shd w:val="clear" w:color="auto" w:fill="F3F1FA"/>
          </w:tcPr>
          <w:p>
            <w:r>
              <w:rPr>
                <w:rFonts w:ascii="Arial" w:hAnsi="Arial"/>
                <w:color w:val="1A0F5C"/>
                <w:sz w:val="19"/>
              </w:rPr>
              <w:t>Collections joined on the original booking id for rescheduled nova visits</w:t>
            </w:r>
          </w:p>
        </w:tc>
        <w:tc>
          <w:tcPr>
            <w:tcW w:type="dxa" w:w="4062"/>
            <w:shd w:val="clear" w:color="auto" w:fill="F3F1FA"/>
          </w:tcPr>
          <w:p>
            <w:r>
              <w:rPr>
                <w:rFonts w:ascii="Arial" w:hAnsi="Arial"/>
                <w:color w:val="1A0F5C"/>
                <w:sz w:val="19"/>
              </w:rPr>
              <w:t>1,449 collected reschedules appeared as cancelled</w:t>
            </w:r>
          </w:p>
        </w:tc>
        <w:tc>
          <w:tcPr>
            <w:tcW w:type="dxa" w:w="1478"/>
            <w:shd w:val="clear" w:color="auto" w:fill="F3F1FA"/>
          </w:tcPr>
          <w:p>
            <w:r>
              <w:rPr>
                <w:rFonts w:ascii="Arial" w:hAnsi="Arial"/>
                <w:color w:val="1A0F5C"/>
                <w:sz w:val="19"/>
              </w:rPr>
              <w:t>&lt;member 2&gt;</w:t>
            </w:r>
          </w:p>
        </w:tc>
      </w:tr>
      <w:tr>
        <w:tc>
          <w:tcPr>
            <w:tcW w:type="dxa" w:w="1108"/>
          </w:tcPr>
          <w:p>
            <w:r>
              <w:rPr>
                <w:rFonts w:ascii="Arial" w:hAnsi="Arial"/>
                <w:color w:val="1A0F5C"/>
                <w:sz w:val="19"/>
              </w:rPr>
              <w:t>Day 3</w:t>
            </w:r>
          </w:p>
        </w:tc>
        <w:tc>
          <w:tcPr>
            <w:tcW w:type="dxa" w:w="3324"/>
          </w:tcPr>
          <w:p>
            <w:r>
              <w:rPr>
                <w:rFonts w:ascii="Arial" w:hAnsi="Arial"/>
                <w:color w:val="1A0F5C"/>
                <w:sz w:val="19"/>
              </w:rPr>
              <w:t>Prediction compared with the finding</w:t>
            </w:r>
          </w:p>
        </w:tc>
        <w:tc>
          <w:tcPr>
            <w:tcW w:type="dxa" w:w="4062"/>
          </w:tcPr>
          <w:p>
            <w:r>
              <w:rPr>
                <w:rFonts w:ascii="Arial" w:hAnsi="Arial"/>
                <w:color w:val="1A0F5C"/>
                <w:sz w:val="19"/>
              </w:rPr>
              <w:t>&lt;one line: what we expected and how far off we were&gt;</w:t>
            </w:r>
          </w:p>
        </w:tc>
        <w:tc>
          <w:tcPr>
            <w:tcW w:type="dxa" w:w="1478"/>
          </w:tcPr>
          <w:p>
            <w:r>
              <w:rPr>
                <w:rFonts w:ascii="Arial" w:hAnsi="Arial"/>
                <w:color w:val="1A0F5C"/>
                <w:sz w:val="19"/>
              </w:rPr>
              <w:t>Rohit</w:t>
            </w:r>
          </w:p>
        </w:tc>
      </w:tr>
    </w:tbl>
    <w:p/>
    <w:p>
      <w:pPr>
        <w:pStyle w:val="Heading1"/>
      </w:pPr>
      <w:r>
        <w:t>14. The claim, the caveat and the action, as they stood at freeze</w:t>
      </w:r>
    </w:p>
    <w:p>
      <w:r>
        <w:rPr>
          <w:b/>
          <w:i w:val="0"/>
        </w:rPr>
        <w:t xml:space="preserve">Slide 3, the claim: </w:t>
      </w:r>
      <w:r>
        <w:rPr>
          <w:b w:val="0"/>
          <w:i w:val="0"/>
        </w:rPr>
        <w:t>“Test volume grew 5.0 percent in the first half of 2026 (455,383 tests against 433,611 in the first half of 2025), 13.9 points short of the 18.9 percent plan. The short branch is patients: people grew 3.8 percent where the plan needed 18.9, while each visit carried 2.2 percent more tests. Chennai and Jaipur, where patients fell, hold 42 percent of the 60,357-test shortfall, and clinic volume fell 11.8 percent in every city while home collection rose 37.5 percent.”</w:t>
      </w:r>
    </w:p>
    <w:p>
      <w:r>
        <w:rPr>
          <w:b/>
          <w:i w:val="0"/>
        </w:rPr>
        <w:t xml:space="preserve">Slide 4, the evidence: </w:t>
      </w:r>
      <w:r>
        <w:rPr>
          <w:b w:val="0"/>
          <w:i w:val="0"/>
        </w:rPr>
        <w:t>the tree for both years (section 9); shortfall by city with plan, actual and share (section 10); the chart of test growth by city, denominator H1 2025 tests.</w:t>
      </w:r>
    </w:p>
    <w:p>
      <w:r>
        <w:rPr>
          <w:b/>
          <w:i w:val="0"/>
        </w:rPr>
        <w:t xml:space="preserve">Slide 5, the caveat and the alternative: </w:t>
      </w:r>
      <w:r>
        <w:rPr>
          <w:b w:val="0"/>
          <w:i w:val="0"/>
        </w:rPr>
        <w:t>Chennai and Jaipur moved to a new booking system in April 2026 with no overlap month. Counting a rescheduled visit once lowers growth from 5.8 to 5.0 percent; the collection app and the lab system, which did not change, show the same fall in both cities, so the fall is real. Rejected alternative: patients × tests per patient, which hides the fall in visits per patient.</w:t>
      </w:r>
    </w:p>
    <w:p>
      <w:r>
        <w:rPr>
          <w:b/>
          <w:i w:val="0"/>
        </w:rPr>
        <w:t xml:space="preserve">Slide 6, the action: </w:t>
      </w:r>
    </w:p>
    <w:p>
      <w:pPr>
        <w:pStyle w:val="ListBullet"/>
      </w:pPr>
      <w:r>
        <w:rPr>
          <w:b/>
        </w:rPr>
        <w:t xml:space="preserve">Do not cut Chennai or Jaipur on the counting argument. </w:t>
      </w:r>
      <w:r>
        <w:rPr>
          <w:b w:val="0"/>
        </w:rPr>
        <w:t>The fall is real; the question for the city heads is why clinic patients left (Jaipur clinic −24.6 percent, Chennai −15.4 percent).</w:t>
      </w:r>
    </w:p>
    <w:p>
      <w:pPr>
        <w:pStyle w:val="ListBullet"/>
      </w:pPr>
      <w:r>
        <w:rPr>
          <w:b/>
        </w:rPr>
        <w:t xml:space="preserve">Act on patients in the clinic channel, not on tests per visit. </w:t>
      </w:r>
      <w:r>
        <w:rPr>
          <w:b w:val="0"/>
        </w:rPr>
        <w:t>Tests per visit is already ahead of plan through package mix; clinic people fell from 73,152 to 67,065.</w:t>
      </w:r>
    </w:p>
    <w:p>
      <w:pPr>
        <w:pStyle w:val="ListBullet"/>
      </w:pPr>
      <w:r>
        <w:rPr>
          <w:b/>
        </w:rPr>
        <w:t xml:space="preserve">Price the home shift before scaling it. </w:t>
      </w:r>
      <w:r>
        <w:rPr>
          <w:b w:val="0"/>
        </w:rPr>
        <w:t>Home tests grew 55,511, but part of that is clinic patients moving to a channel that costs a phlebotomist visit each; the Q1 offer waived about Rs 73 lakh (48,582 × Rs 150).</w:t>
      </w:r>
    </w:p>
    <w:p>
      <w:pPr>
        <w:pStyle w:val="ListBullet"/>
      </w:pPr>
      <w:r>
        <w:rPr>
          <w:b/>
        </w:rPr>
        <w:t xml:space="preserve">Re-set the plan on the tree. </w:t>
      </w:r>
      <w:r>
        <w:rPr>
          <w:b w:val="0"/>
        </w:rPr>
        <w:t>Plan patients, visits per patient and tests per visit separately per city, so a gap shows by month two, not at the half.</w:t>
      </w:r>
    </w:p>
    <w:p>
      <w:r>
        <w:rPr>
          <w:b/>
          <w:i w:val="0"/>
        </w:rPr>
        <w:t xml:space="preserve">The cost of being wrong: </w:t>
      </w:r>
      <w:r>
        <w:rPr>
          <w:b w:val="0"/>
          <w:i w:val="0"/>
        </w:rPr>
        <w:t>if the two cities' fall were a recording artefact and targets were cut, Kalpa would shrink a business that is fine; if it is real and nothing changes, fixed costs sized for 18 percent keep running about 60,000 tests a half ahead of demand.</w:t>
      </w:r>
    </w:p>
    <w:p>
      <w:r>
        <w:rPr>
          <w:b/>
          <w:i w:val="0"/>
        </w:rPr>
        <w:t xml:space="preserve">Push further: </w:t>
      </w:r>
      <w:r>
        <w:rPr>
          <w:b w:val="0"/>
          <w:i w:val="0"/>
        </w:rPr>
        <w:t>if visits per patient had held at the 2025 level, 4,451 more tests would have run (+1.0 point), on the assumption that the 2026 patients and tests per visit stay as they were. If Chennai and Jaipur had grown like the other four cities, 14,432 more (+3.3 points). Neither closes the gap; the plan was ahead of what any city delivered.</w:t>
      </w:r>
    </w:p>
    <w:p>
      <w:pPr>
        <w:pStyle w:val="Heading1"/>
      </w:pPr>
      <w:r>
        <w:t>15. The viva, answered</w:t>
      </w:r>
    </w:p>
    <w:tbl>
      <w:tblPr>
        <w:tblStyle w:val="TableGrid"/>
        <w:tblW w:type="auto" w:w="0"/>
        <w:tblLayout w:type="fixed"/>
        <w:tblLook w:firstColumn="1" w:firstRow="1" w:lastColumn="0" w:lastRow="0" w:noHBand="0" w:noVBand="1" w:val="04A0"/>
      </w:tblPr>
      <w:tblGrid>
        <w:gridCol w:w="3324"/>
        <w:gridCol w:w="6648"/>
      </w:tblGrid>
      <w:tr>
        <w:tc>
          <w:tcPr>
            <w:tcW w:type="dxa" w:w="3324"/>
            <w:shd w:val="clear" w:color="auto" w:fill="4E38AB"/>
          </w:tcPr>
          <w:p>
            <w:r>
              <w:rPr>
                <w:rFonts w:ascii="Arial" w:hAnsi="Arial"/>
                <w:b/>
                <w:color w:val="FFFFFF"/>
                <w:sz w:val="19"/>
              </w:rPr>
              <w:t>Question</w:t>
            </w:r>
          </w:p>
        </w:tc>
        <w:tc>
          <w:tcPr>
            <w:tcW w:type="dxa" w:w="6648"/>
            <w:shd w:val="clear" w:color="auto" w:fill="4E38AB"/>
          </w:tcPr>
          <w:p>
            <w:r>
              <w:rPr>
                <w:rFonts w:ascii="Arial" w:hAnsi="Arial"/>
                <w:b/>
                <w:color w:val="FFFFFF"/>
                <w:sz w:val="19"/>
              </w:rPr>
              <w:t>Our answer</w:t>
            </w:r>
          </w:p>
        </w:tc>
      </w:tr>
      <w:tr>
        <w:tc>
          <w:tcPr>
            <w:tcW w:type="dxa" w:w="3324"/>
          </w:tcPr>
          <w:p>
            <w:r>
              <w:rPr>
                <w:rFonts w:ascii="Arial" w:hAnsi="Arial"/>
                <w:color w:val="1A0F5C"/>
                <w:sz w:val="19"/>
              </w:rPr>
              <w:t>Why these branches for a lab, and which retail branch did you drop?</w:t>
            </w:r>
          </w:p>
        </w:tc>
        <w:tc>
          <w:tcPr>
            <w:tcW w:type="dxa" w:w="6648"/>
          </w:tcPr>
          <w:p>
            <w:r>
              <w:rPr>
                <w:rFonts w:ascii="Arial" w:hAnsi="Arial"/>
                <w:color w:val="1A0F5C"/>
                <w:sz w:val="19"/>
              </w:rPr>
              <w:t>Patients × visits per patient × tests per visit follows the patient journey a lab sees: a person books, comes back, and each visit carries tests a doctor ordered. We dropped retail's conversion branch (footfall to purchase), because a booking is already intent; the no-show rate is the nearest equivalent and sits outside the volume tree. Price per item moved to a separate revenue branch because the plan is in volume.</w:t>
            </w:r>
          </w:p>
        </w:tc>
      </w:tr>
      <w:tr>
        <w:tc>
          <w:tcPr>
            <w:tcW w:type="dxa" w:w="3324"/>
            <w:shd w:val="clear" w:color="auto" w:fill="F3F1FA"/>
          </w:tcPr>
          <w:p>
            <w:r>
              <w:rPr>
                <w:rFonts w:ascii="Arial" w:hAnsi="Arial"/>
                <w:color w:val="1A0F5C"/>
                <w:sz w:val="19"/>
              </w:rPr>
              <w:t>Your branches multiply back to the total. Show me, now.</w:t>
            </w:r>
          </w:p>
        </w:tc>
        <w:tc>
          <w:tcPr>
            <w:tcW w:type="dxa" w:w="6648"/>
            <w:shd w:val="clear" w:color="auto" w:fill="F3F1FA"/>
          </w:tcPr>
          <w:p>
            <w:r>
              <w:rPr>
                <w:rFonts w:ascii="Arial" w:hAnsi="Arial"/>
                <w:color w:val="1A0F5C"/>
                <w:sz w:val="19"/>
              </w:rPr>
              <w:t>1.0377 × 0.9903 × 1.0220 = 1.0502, which is 455,383 / 433,611. In logs: 0.0370 − 0.0097 + 0.0217 = 0.0490 = ln(1.0502). The check is in notebook 05 and prints PASS.</w:t>
            </w:r>
          </w:p>
        </w:tc>
      </w:tr>
      <w:tr>
        <w:tc>
          <w:tcPr>
            <w:tcW w:type="dxa" w:w="3324"/>
          </w:tcPr>
          <w:p>
            <w:r>
              <w:rPr>
                <w:rFonts w:ascii="Arial" w:hAnsi="Arial"/>
                <w:color w:val="1A0F5C"/>
                <w:sz w:val="19"/>
              </w:rPr>
              <w:t>What changes when an error is a missed diagnosis rather than a missed sale?</w:t>
            </w:r>
          </w:p>
        </w:tc>
        <w:tc>
          <w:tcPr>
            <w:tcW w:type="dxa" w:w="6648"/>
          </w:tcPr>
          <w:p>
            <w:r>
              <w:rPr>
                <w:rFonts w:ascii="Arial" w:hAnsi="Arial"/>
                <w:color w:val="1A0F5C"/>
                <w:sz w:val="19"/>
              </w:rPr>
              <w:t>The cost of a mistake is a patient without a result, or a result on the wrong record, not one lost order. So no-shows and rejects are reported, not quietly dropped; the patient merge rule is held to a stricter standard than a growth figure needs; and an action that moves patients between channels is judged on whether they still get tested.</w:t>
            </w:r>
          </w:p>
        </w:tc>
      </w:tr>
      <w:tr>
        <w:tc>
          <w:tcPr>
            <w:tcW w:type="dxa" w:w="3324"/>
            <w:shd w:val="clear" w:color="auto" w:fill="F3F1FA"/>
          </w:tcPr>
          <w:p>
            <w:r>
              <w:rPr>
                <w:rFonts w:ascii="Arial" w:hAnsi="Arial"/>
                <w:color w:val="1A0F5C"/>
                <w:sz w:val="19"/>
              </w:rPr>
              <w:t>Which table did you count from, and why not the other two?</w:t>
            </w:r>
          </w:p>
        </w:tc>
        <w:tc>
          <w:tcPr>
            <w:tcW w:type="dxa" w:w="6648"/>
            <w:shd w:val="clear" w:color="auto" w:fill="F3F1FA"/>
          </w:tcPr>
          <w:p>
            <w:r>
              <w:rPr>
                <w:rFonts w:ascii="Arial" w:hAnsi="Arial"/>
                <w:color w:val="1A0F5C"/>
                <w:sz w:val="19"/>
              </w:rPr>
              <w:t>Bookings after the identity rule. Results count only tests run and miss no-shows; collections are one row per visit, not per test. Results agree in direction (+5.8 percent).</w:t>
            </w:r>
          </w:p>
        </w:tc>
      </w:tr>
      <w:tr>
        <w:tc>
          <w:tcPr>
            <w:tcW w:type="dxa" w:w="3324"/>
          </w:tcPr>
          <w:p>
            <w:r>
              <w:rPr>
                <w:rFonts w:ascii="Arial" w:hAnsi="Arial"/>
                <w:color w:val="1A0F5C"/>
                <w:sz w:val="19"/>
              </w:rPr>
              <w:t>Why patients × visits × tests rather than patients × tests? What does the middle branch reveal?</w:t>
            </w:r>
          </w:p>
        </w:tc>
        <w:tc>
          <w:tcPr>
            <w:tcW w:type="dxa" w:w="6648"/>
          </w:tcPr>
          <w:p>
            <w:r>
              <w:rPr>
                <w:rFonts w:ascii="Arial" w:hAnsi="Arial"/>
                <w:color w:val="1A0F5C"/>
                <w:sz w:val="19"/>
              </w:rPr>
              <w:t>The middle branch shows people came slightly less often (−1.0 percent) while each visit carried more tests (+2.2 percent). Patients × tests would show one +1.2 percent and hide both.</w:t>
            </w:r>
          </w:p>
        </w:tc>
      </w:tr>
      <w:tr>
        <w:tc>
          <w:tcPr>
            <w:tcW w:type="dxa" w:w="3324"/>
            <w:shd w:val="clear" w:color="auto" w:fill="F3F1FA"/>
          </w:tcPr>
          <w:p>
            <w:r>
              <w:rPr>
                <w:rFonts w:ascii="Arial" w:hAnsi="Arial"/>
                <w:color w:val="1A0F5C"/>
                <w:sz w:val="19"/>
              </w:rPr>
              <w:t>Why split by city before channel? Would the order change the answer?</w:t>
            </w:r>
          </w:p>
        </w:tc>
        <w:tc>
          <w:tcPr>
            <w:tcW w:type="dxa" w:w="6648"/>
            <w:shd w:val="clear" w:color="auto" w:fill="F3F1FA"/>
          </w:tcPr>
          <w:p>
            <w:r>
              <w:rPr>
                <w:rFonts w:ascii="Arial" w:hAnsi="Arial"/>
                <w:color w:val="1A0F5C"/>
                <w:sz w:val="19"/>
              </w:rPr>
              <w:t>The plan was set and is owned by city. The totals do not change with the order; the story can, which is why we show city × channel.</w:t>
            </w:r>
          </w:p>
        </w:tc>
      </w:tr>
      <w:tr>
        <w:tc>
          <w:tcPr>
            <w:tcW w:type="dxa" w:w="3324"/>
          </w:tcPr>
          <w:p>
            <w:r>
              <w:rPr>
                <w:rFonts w:ascii="Arial" w:hAnsi="Arial"/>
                <w:color w:val="1A0F5C"/>
                <w:sz w:val="19"/>
              </w:rPr>
              <w:t>If the gap sits in one or two cities, how do you know it is a business problem and not a recording problem?</w:t>
            </w:r>
          </w:p>
        </w:tc>
        <w:tc>
          <w:tcPr>
            <w:tcW w:type="dxa" w:w="6648"/>
          </w:tcPr>
          <w:p>
            <w:r>
              <w:rPr>
                <w:rFonts w:ascii="Arial" w:hAnsi="Arial"/>
                <w:color w:val="1A0F5C"/>
                <w:sz w:val="19"/>
              </w:rPr>
              <w:t>Jaipur fell before the switch, and the collection app and lab system, which did not change vendor, show the same fall in both cities.</w:t>
            </w:r>
          </w:p>
        </w:tc>
      </w:tr>
      <w:tr>
        <w:tc>
          <w:tcPr>
            <w:tcW w:type="dxa" w:w="3324"/>
            <w:shd w:val="clear" w:color="auto" w:fill="F3F1FA"/>
          </w:tcPr>
          <w:p>
            <w:r>
              <w:rPr>
                <w:rFonts w:ascii="Arial" w:hAnsi="Arial"/>
                <w:color w:val="1A0F5C"/>
                <w:sz w:val="19"/>
              </w:rPr>
              <w:t>Which single check would you run with ten minutes left?</w:t>
            </w:r>
          </w:p>
        </w:tc>
        <w:tc>
          <w:tcPr>
            <w:tcW w:type="dxa" w:w="6648"/>
            <w:shd w:val="clear" w:color="auto" w:fill="F3F1FA"/>
          </w:tcPr>
          <w:p>
            <w:r>
              <w:rPr>
                <w:rFonts w:ascii="Arial" w:hAnsi="Arial"/>
                <w:color w:val="1A0F5C"/>
                <w:sz w:val="19"/>
              </w:rPr>
              <w:t>Count Chennai and Jaipur visits in the collection app for Q2 against Q2 last year. It is independent of the booking migration, and it settles recording against business.</w:t>
            </w:r>
          </w:p>
        </w:tc>
      </w:tr>
    </w:tbl>
    <w:p/>
    <w:p>
      <w:pPr>
        <w:pStyle w:val="Heading1"/>
      </w:pPr>
      <w:r>
        <w:t>16. Done looks like</w:t>
      </w:r>
    </w:p>
    <w:p>
      <w:pPr>
        <w:pStyle w:val="ListBullet"/>
      </w:pPr>
      <w:r>
        <w:rPr>
          <w:b w:val="0"/>
        </w:rPr>
        <w:t>Every branch numbered for both years: section 9.</w:t>
      </w:r>
    </w:p>
    <w:p>
      <w:pPr>
        <w:pStyle w:val="ListBullet"/>
      </w:pPr>
      <w:r>
        <w:rPr>
          <w:b w:val="0"/>
        </w:rPr>
        <w:t>The branch and the cities that own most of the gap, with their share: patients; Chennai 22.2 percent, Bengaluru 21.7 percent, Jaipur 20.3 percent.</w:t>
      </w:r>
    </w:p>
    <w:p>
      <w:pPr>
        <w:pStyle w:val="ListBullet"/>
      </w:pPr>
      <w:r>
        <w:rPr>
          <w:b w:val="0"/>
        </w:rPr>
        <w:t>An approach-log row per join and split: section 11 and docs/approach-log.md.</w:t>
      </w:r>
    </w:p>
    <w:p>
      <w:pPr>
        <w:pStyle w:val="ListBullet"/>
      </w:pPr>
      <w:r>
        <w:rPr>
          <w:b w:val="0"/>
        </w:rPr>
        <w:t>One sentence for the board: section 14.</w:t>
      </w:r>
    </w:p>
    <w:p>
      <w:pPr>
        <w:pStyle w:val="ListBullet"/>
      </w:pPr>
      <w:r>
        <w:rPr>
          <w:b w:val="0"/>
        </w:rPr>
        <w:t>A teammate's cold run on a fresh Codespace prints +5.0 percent (455,383 / 433,611): logged in the decisions log.</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