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942"/>
          <w:sz w:val="28"/>
        </w:rPr>
        <w:t>DEPARTMENT OF CONSUMER AFFAIRS</w:t>
        <w:br/>
        <w:t>LEGAL METROLOGY DIVISION</w:t>
      </w:r>
    </w:p>
    <w:p>
      <w:pPr>
        <w:jc w:val="center"/>
      </w:pPr>
      <w:r>
        <w:rPr>
          <w:b/>
          <w:color w:val="991B1B"/>
          <w:sz w:val="22"/>
        </w:rPr>
        <w:t>PACKAGED COMMODITY COMPLIANCE INSPECTION REPORT</w:t>
        <w:br/>
        <w:t>Under Legal Metrology (Packaged Commodities) Rules, 2011</w:t>
        <w:br/>
      </w:r>
    </w:p>
    <w:p>
      <w:pPr>
        <w:pStyle w:val="Heading2"/>
      </w:pPr>
      <w:r>
        <w:t>1. Inspection Particulars</w:t>
      </w:r>
    </w:p>
    <w:p>
      <w:r>
        <w:t>Case ID: INSP-20260918-CE88A4</w:t>
        <w:br/>
      </w:r>
      <w:r>
        <w:t>Inspection Timestamp: 2026-09-18T12:43:53.549450</w:t>
        <w:br/>
      </w:r>
      <w:r>
        <w:t>Product Name: Packaged Commodity</w:t>
        <w:br/>
      </w:r>
      <w:r>
        <w:t>Manufacturer: Not detected</w:t>
        <w:br/>
      </w:r>
      <w:r>
        <w:t>Compliance Score: 76 / 100 (NON_COMPLIANT)</w:t>
        <w:br/>
      </w:r>
      <w:r>
        <w:t>External Verification: External verification: Not available</w:t>
        <w:br/>
      </w:r>
    </w:p>
    <w:p>
      <w:pPr>
        <w:pStyle w:val="Heading2"/>
      </w:pPr>
      <w:r>
        <w:t>2. Extracted Statutory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Detected Value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Common or Generic Name of Commodity</w:t>
            </w:r>
          </w:p>
        </w:tc>
        <w:tc>
          <w:tcPr>
            <w:tcW w:type="dxa" w:w="2160"/>
          </w:tcPr>
          <w:p>
            <w:r>
              <w:t>Packaged Commodity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</w:tr>
      <w:tr>
        <w:tc>
          <w:tcPr>
            <w:tcW w:type="dxa" w:w="2160"/>
          </w:tcPr>
          <w:p>
            <w:r>
              <w:t>Net Quantity in Standard SI Metric Units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Maximum Retail Price (MRP) with Mandatory Tax Phrase</w:t>
            </w:r>
          </w:p>
        </w:tc>
        <w:tc>
          <w:tcPr>
            <w:tcW w:type="dxa" w:w="2160"/>
          </w:tcPr>
          <w:p>
            <w:r>
              <w:t>Not reliably detected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Name and Complete Address of Manufacturer with PIN code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Month and Year of Manufacture or Pre-packing</w:t>
            </w:r>
          </w:p>
        </w:tc>
        <w:tc>
          <w:tcPr>
            <w:tcW w:type="dxa" w:w="2160"/>
          </w:tcPr>
          <w:p>
            <w:r>
              <w:t>Not detected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Under Review</w:t>
            </w:r>
          </w:p>
        </w:tc>
      </w:tr>
      <w:tr>
        <w:tc>
          <w:tcPr>
            <w:tcW w:type="dxa" w:w="2160"/>
          </w:tcPr>
          <w:p>
            <w:r>
              <w:t>Consumer Care Contact Phone and Email</w:t>
            </w:r>
          </w:p>
        </w:tc>
        <w:tc>
          <w:tcPr>
            <w:tcW w:type="dxa" w:w="2160"/>
          </w:tcPr>
          <w:p>
            <w:r>
              <w:t>Helpline: 1800-10-22-221 | Email: care@consumer-helpline.gov.in</w:t>
            </w:r>
          </w:p>
        </w:tc>
        <w:tc>
          <w:tcPr>
            <w:tcW w:type="dxa" w:w="2160"/>
          </w:tcPr>
          <w:p>
            <w:r>
              <w:t>91%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  <w:tr>
        <w:tc>
          <w:tcPr>
            <w:tcW w:type="dxa" w:w="2160"/>
          </w:tcPr>
          <w:p>
            <w:r>
              <w:t>Country of Origin or Manufacture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</w:tr>
    </w:tbl>
    <w:p>
      <w:pPr>
        <w:pStyle w:val="Heading2"/>
      </w:pPr>
      <w:r>
        <w:t>3. Statutory Violations &amp; Compounding Directives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Detected Infraction</w:t>
            </w:r>
          </w:p>
        </w:tc>
        <w:tc>
          <w:tcPr>
            <w:tcW w:type="dxa" w:w="2880"/>
          </w:tcPr>
          <w:p>
            <w:r>
              <w:t>Penal Provision</w:t>
            </w:r>
          </w:p>
        </w:tc>
      </w:tr>
      <w:tr>
        <w:tc>
          <w:tcPr>
            <w:tcW w:type="dxa" w:w="2880"/>
          </w:tcPr>
          <w:p>
            <w:r>
              <w:t>RULE 4 (Regulation for pre-packing and sale)</w:t>
            </w:r>
          </w:p>
        </w:tc>
        <w:tc>
          <w:tcPr>
            <w:tcW w:type="dxa" w:w="2880"/>
          </w:tcPr>
          <w:p>
            <w:r>
              <w:t>Missing statutory pre-packing label on commodity</w:t>
            </w:r>
          </w:p>
        </w:tc>
        <w:tc>
          <w:tcPr>
            <w:tcW w:type="dxa" w:w="2880"/>
          </w:tcPr>
          <w:p>
            <w:r>
              <w:t>Section 36(1) (Fine up to ₹25,000)</w:t>
            </w:r>
          </w:p>
        </w:tc>
      </w:tr>
      <w:tr>
        <w:tc>
          <w:tcPr>
            <w:tcW w:type="dxa" w:w="2880"/>
          </w:tcPr>
          <w:p>
            <w:r>
              <w:t>RULE 6(1)(a) (Name and address of manufacturer / packer with PIN code)</w:t>
            </w:r>
          </w:p>
        </w:tc>
        <w:tc>
          <w:tcPr>
            <w:tcW w:type="dxa" w:w="2880"/>
          </w:tcPr>
          <w:p>
            <w:r>
              <w:t>Manufacturer / packer address omitted from packaging</w:t>
            </w:r>
          </w:p>
        </w:tc>
        <w:tc>
          <w:tcPr>
            <w:tcW w:type="dxa" w:w="2880"/>
          </w:tcPr>
          <w:p>
            <w:r>
              <w:t>Section 36(1) read with Rule 10(1)</w:t>
            </w:r>
          </w:p>
        </w:tc>
      </w:tr>
      <w:tr>
        <w:tc>
          <w:tcPr>
            <w:tcW w:type="dxa" w:w="2880"/>
          </w:tcPr>
          <w:p>
            <w:r>
              <w:t>RULE 6(1)(b) (Common or generic name of commodity)</w:t>
            </w:r>
          </w:p>
        </w:tc>
        <w:tc>
          <w:tcPr>
            <w:tcW w:type="dxa" w:w="2880"/>
          </w:tcPr>
          <w:p>
            <w:r>
              <w:t>Packaged Commodity</w:t>
            </w:r>
          </w:p>
        </w:tc>
        <w:tc>
          <w:tcPr>
            <w:tcW w:type="dxa" w:w="2880"/>
          </w:tcPr>
          <w:p>
            <w:r>
              <w:t>Section 36(1)</w:t>
            </w:r>
          </w:p>
        </w:tc>
      </w:tr>
      <w:tr>
        <w:tc>
          <w:tcPr>
            <w:tcW w:type="dxa" w:w="2880"/>
          </w:tcPr>
          <w:p>
            <w:r>
              <w:t>RULE 6(1)(c) (Net quantity in standard SI metric units)</w:t>
            </w:r>
          </w:p>
        </w:tc>
        <w:tc>
          <w:tcPr>
            <w:tcW w:type="dxa" w:w="2880"/>
          </w:tcPr>
          <w:p>
            <w:r>
              <w:t>Net quantity declaration missing or non-compliant</w:t>
            </w:r>
          </w:p>
        </w:tc>
        <w:tc>
          <w:tcPr>
            <w:tcW w:type="dxa" w:w="2880"/>
          </w:tcPr>
          <w:p>
            <w:r>
              <w:t>Section 36(1) read with Rule 13</w:t>
            </w:r>
          </w:p>
        </w:tc>
      </w:tr>
      <w:tr>
        <w:tc>
          <w:tcPr>
            <w:tcW w:type="dxa" w:w="2880"/>
          </w:tcPr>
          <w:p>
            <w:r>
              <w:t>RULE 6(1)(d) (Month and year of manufacture or pre-packing)</w:t>
            </w:r>
          </w:p>
        </w:tc>
        <w:tc>
          <w:tcPr>
            <w:tcW w:type="dxa" w:w="2880"/>
          </w:tcPr>
          <w:p>
            <w:r>
              <w:t>Month and year of manufacture/pre-packing omitted from packaging.</w:t>
            </w:r>
          </w:p>
        </w:tc>
        <w:tc>
          <w:tcPr>
            <w:tcW w:type="dxa" w:w="2880"/>
          </w:tcPr>
          <w:p>
            <w:r>
              <w:t>Section 36(1)</w:t>
            </w:r>
          </w:p>
        </w:tc>
      </w:tr>
      <w:tr>
        <w:tc>
          <w:tcPr>
            <w:tcW w:type="dxa" w:w="2880"/>
          </w:tcPr>
          <w:p>
            <w:r>
              <w:t>RULE 6(1)(e) (Maximum Retail Price (MRP) &amp; statutory tax phrase)</w:t>
            </w:r>
          </w:p>
        </w:tc>
        <w:tc>
          <w:tcPr>
            <w:tcW w:type="dxa" w:w="2880"/>
          </w:tcPr>
          <w:p>
            <w:r>
              <w:t>Maximum Retail Price (MRP) omitted from packaging</w:t>
            </w:r>
          </w:p>
        </w:tc>
        <w:tc>
          <w:tcPr>
            <w:tcW w:type="dxa" w:w="2880"/>
          </w:tcPr>
          <w:p>
            <w:r>
              <w:t>Section 36(1) read with Rule 32A Compounding fee: ₹25,000</w:t>
            </w:r>
          </w:p>
        </w:tc>
      </w:tr>
      <w:tr>
        <w:tc>
          <w:tcPr>
            <w:tcW w:type="dxa" w:w="2880"/>
          </w:tcPr>
          <w:p>
            <w:r>
              <w:t>RULE 10 (Declaration of name and address of the manufacturer)</w:t>
            </w:r>
          </w:p>
        </w:tc>
        <w:tc>
          <w:tcPr>
            <w:tcW w:type="dxa" w:w="2880"/>
          </w:tcPr>
          <w:p>
            <w:r>
              <w:t>Address: Not detected (Postal PIN: MISSING)</w:t>
            </w:r>
          </w:p>
        </w:tc>
        <w:tc>
          <w:tcPr>
            <w:tcW w:type="dxa" w:w="2880"/>
          </w:tcPr>
          <w:p>
            <w:r>
              <w:t>Section 36(1) read with Rule 10(1)</w:t>
            </w:r>
          </w:p>
        </w:tc>
      </w:tr>
      <w:tr>
        <w:tc>
          <w:tcPr>
            <w:tcW w:type="dxa" w:w="2880"/>
          </w:tcPr>
          <w:p>
            <w:r>
              <w:t>RULE 13 (Statement of units of weight, measure or number)</w:t>
            </w:r>
          </w:p>
        </w:tc>
        <w:tc>
          <w:tcPr>
            <w:tcW w:type="dxa" w:w="2880"/>
          </w:tcPr>
          <w:p>
            <w:r>
              <w:t>Unit '' (Prohibited: None)</w:t>
            </w:r>
          </w:p>
        </w:tc>
        <w:tc>
          <w:tcPr>
            <w:tcW w:type="dxa" w:w="2880"/>
          </w:tcPr>
          <w:p>
            <w:r>
              <w:t>Section 36(1) read with Rule 13</w:t>
            </w:r>
          </w:p>
        </w:tc>
      </w:tr>
      <w:tr>
        <w:tc>
          <w:tcPr>
            <w:tcW w:type="dxa" w:w="2880"/>
          </w:tcPr>
          <w:p>
            <w:r>
              <w:t>RULE 32 (Fine for contravention of rules where no specific penalty is provided)</w:t>
            </w:r>
          </w:p>
        </w:tc>
        <w:tc>
          <w:tcPr>
            <w:tcW w:type="dxa" w:w="2880"/>
          </w:tcPr>
          <w:p>
            <w:r>
              <w:t>8 active statutory contraventions detected</w:t>
            </w:r>
          </w:p>
        </w:tc>
        <w:tc>
          <w:tcPr>
            <w:tcW w:type="dxa" w:w="2880"/>
          </w:tcPr>
          <w:p>
            <w:r>
              <w:t>Section 36(1) read with Rule 32</w:t>
            </w:r>
          </w:p>
        </w:tc>
      </w:tr>
      <w:tr>
        <w:tc>
          <w:tcPr>
            <w:tcW w:type="dxa" w:w="2880"/>
          </w:tcPr>
          <w:p>
            <w:r>
              <w:t>RULE 32A (Compounding of offences under Section 48 of the Act)</w:t>
            </w:r>
          </w:p>
        </w:tc>
        <w:tc>
          <w:tcPr>
            <w:tcW w:type="dxa" w:w="2880"/>
          </w:tcPr>
          <w:p>
            <w:r>
              <w:t>Compounding schedule applicable under Section 36(1)</w:t>
            </w:r>
          </w:p>
        </w:tc>
        <w:tc>
          <w:tcPr>
            <w:tcW w:type="dxa" w:w="2880"/>
          </w:tcPr>
          <w:p>
            <w:r>
              <w:t>Rule 32A Statutory Compounding Schedule: ₹25,000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