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942"/>
          <w:sz w:val="28"/>
        </w:rPr>
        <w:t>DEPARTMENT OF CONSUMER AFFAIRS</w:t>
        <w:br/>
        <w:t>LEGAL METROLOGY DIVISION</w:t>
      </w:r>
    </w:p>
    <w:p>
      <w:pPr>
        <w:jc w:val="center"/>
      </w:pPr>
      <w:r>
        <w:rPr>
          <w:b/>
          <w:color w:val="991B1B"/>
          <w:sz w:val="22"/>
        </w:rPr>
        <w:t>PACKAGED COMMODITY COMPLIANCE INSPECTION REPORT</w:t>
        <w:br/>
        <w:t>Under Legal Metrology (Packaged Commodities) Rules, 2011</w:t>
        <w:br/>
      </w:r>
    </w:p>
    <w:p>
      <w:pPr>
        <w:pStyle w:val="Heading2"/>
      </w:pPr>
      <w:r>
        <w:t>1. Inspection Particulars</w:t>
      </w:r>
    </w:p>
    <w:p>
      <w:r>
        <w:t>Case ID: INSP-20260918-6ED875</w:t>
        <w:br/>
      </w:r>
      <w:r>
        <w:t>Inspection Timestamp: 2026-09-19T19:45:37.937440</w:t>
        <w:br/>
      </w:r>
      <w:r>
        <w:t>Jurisdiction:</w:t>
        <w:br/>
        <w:t>India</w:t>
        <w:br/>
      </w:r>
      <w:r>
        <w:t>Product Name: Lakmé Sun Expert Aqua Sun Gel SPF 50</w:t>
        <w:br/>
      </w:r>
      <w:r>
        <w:t>Manufacturer: Survey 284/2, Naroli, D&amp;NH - 396235</w:t>
        <w:br/>
      </w:r>
      <w:r>
        <w:t>Compliance Score: 93 / 100 (NON_COMPLIANT)</w:t>
        <w:br/>
      </w:r>
      <w:r>
        <w:t>External Verification: External verification: Not available</w:t>
        <w:br/>
      </w:r>
    </w:p>
    <w:p>
      <w:pPr>
        <w:pStyle w:val="Heading2"/>
      </w:pPr>
      <w:r>
        <w:t>2. Extracted Statutory Information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Detected Value</w:t>
            </w:r>
          </w:p>
        </w:tc>
        <w:tc>
          <w:tcPr>
            <w:tcW w:type="dxa" w:w="2160"/>
          </w:tcPr>
          <w:p>
            <w:r>
              <w:t>Confidence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Generic Name</w:t>
            </w:r>
          </w:p>
        </w:tc>
        <w:tc>
          <w:tcPr>
            <w:tcW w:type="dxa" w:w="2160"/>
          </w:tcPr>
          <w:p>
            <w:r>
              <w:t>Lakmé Sun Expert Aqua Sun Gel SPF 50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  <w:tr>
        <w:tc>
          <w:tcPr>
            <w:tcW w:type="dxa" w:w="2160"/>
          </w:tcPr>
          <w:p>
            <w:r>
              <w:t>Net Quantity</w:t>
            </w:r>
          </w:p>
        </w:tc>
        <w:tc>
          <w:tcPr>
            <w:tcW w:type="dxa" w:w="2160"/>
          </w:tcPr>
          <w:p>
            <w:r>
              <w:t>50 g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  <w:tr>
        <w:tc>
          <w:tcPr>
            <w:tcW w:type="dxa" w:w="2160"/>
          </w:tcPr>
          <w:p>
            <w:r>
              <w:t>Retail Sale Price (MRP)</w:t>
            </w:r>
          </w:p>
        </w:tc>
        <w:tc>
          <w:tcPr>
            <w:tcW w:type="dxa" w:w="2160"/>
          </w:tcPr>
          <w:p>
            <w:r>
              <w:t>₹ 499.00 (incl. of all taxes)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  <w:tr>
        <w:tc>
          <w:tcPr>
            <w:tcW w:type="dxa" w:w="2160"/>
          </w:tcPr>
          <w:p>
            <w:r>
              <w:t>Manufacturer Address</w:t>
            </w:r>
          </w:p>
        </w:tc>
        <w:tc>
          <w:tcPr>
            <w:tcW w:type="dxa" w:w="2160"/>
          </w:tcPr>
          <w:p>
            <w:r>
              <w:t>Survey 284/2, Naroli, D&amp;NH - 396235</w:t>
            </w:r>
          </w:p>
        </w:tc>
        <w:tc>
          <w:tcPr>
            <w:tcW w:type="dxa" w:w="2160"/>
          </w:tcPr>
          <w:p>
            <w:r>
              <w:t>98%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</w:tbl>
    <w:p>
      <w:pPr>
        <w:pStyle w:val="Heading2"/>
      </w:pPr>
      <w:r>
        <w:t>3. Statutory Violations &amp; Compounding Directives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Detected Infraction</w:t>
            </w:r>
          </w:p>
        </w:tc>
        <w:tc>
          <w:tcPr>
            <w:tcW w:type="dxa" w:w="2880"/>
          </w:tcPr>
          <w:p>
            <w:r>
              <w:t>Penal Provision</w:t>
            </w:r>
          </w:p>
        </w:tc>
      </w:tr>
      <w:tr>
        <w:tc>
          <w:tcPr>
            <w:tcW w:type="dxa" w:w="2880"/>
          </w:tcPr>
          <w:p>
            <w:r>
              <w:t>RULE 6(1)(d) (Month and year of manufacture or pre-packing)</w:t>
            </w:r>
          </w:p>
        </w:tc>
        <w:tc>
          <w:tcPr>
            <w:tcW w:type="dxa" w:w="2880"/>
          </w:tcPr>
          <w:p>
            <w:r>
              <w:t>Month and year of manufacture/pre-packing omitted from packaging.</w:t>
            </w:r>
          </w:p>
        </w:tc>
        <w:tc>
          <w:tcPr>
            <w:tcW w:type="dxa" w:w="2880"/>
          </w:tcPr>
          <w:p>
            <w:r>
              <w:t>Section 36(1)</w:t>
            </w:r>
          </w:p>
        </w:tc>
      </w:tr>
      <w:tr>
        <w:tc>
          <w:tcPr>
            <w:tcW w:type="dxa" w:w="2880"/>
          </w:tcPr>
          <w:p>
            <w:r>
              <w:t>RULE 32 (Fine for contravention of rules where no specific penalty is provided)</w:t>
            </w:r>
          </w:p>
        </w:tc>
        <w:tc>
          <w:tcPr>
            <w:tcW w:type="dxa" w:w="2880"/>
          </w:tcPr>
          <w:p>
            <w:r>
              <w:t>1 active statutory contraventions detected</w:t>
            </w:r>
          </w:p>
        </w:tc>
        <w:tc>
          <w:tcPr>
            <w:tcW w:type="dxa" w:w="2880"/>
          </w:tcPr>
          <w:p>
            <w:r>
              <w:t>Section 36(1) read with Rule 32</w:t>
            </w:r>
          </w:p>
        </w:tc>
      </w:tr>
      <w:tr>
        <w:tc>
          <w:tcPr>
            <w:tcW w:type="dxa" w:w="2880"/>
          </w:tcPr>
          <w:p>
            <w:r>
              <w:t>RULE 32A (Compounding of offences under Section 48 of the Act)</w:t>
            </w:r>
          </w:p>
        </w:tc>
        <w:tc>
          <w:tcPr>
            <w:tcW w:type="dxa" w:w="2880"/>
          </w:tcPr>
          <w:p>
            <w:r>
              <w:t>Compounding schedule applicable under Section 36(1)</w:t>
            </w:r>
          </w:p>
        </w:tc>
        <w:tc>
          <w:tcPr>
            <w:tcW w:type="dxa" w:w="2880"/>
          </w:tcPr>
          <w:p>
            <w:r>
              <w:t>Rule 32A Statutory Compounding Schedule: ₹25,000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