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2942"/>
          <w:sz w:val="28"/>
        </w:rPr>
        <w:t>DEPARTMENT OF CONSUMER AFFAIRS</w:t>
        <w:br/>
        <w:t>LEGAL METROLOGY DIVISION</w:t>
      </w:r>
    </w:p>
    <w:p>
      <w:pPr>
        <w:jc w:val="center"/>
      </w:pPr>
      <w:r>
        <w:rPr>
          <w:b/>
          <w:color w:val="991B1B"/>
          <w:sz w:val="22"/>
        </w:rPr>
        <w:t>PACKAGED COMMODITY COMPLIANCE INSPECTION REPORT</w:t>
        <w:br/>
        <w:t>Under Legal Metrology (Packaged Commodities) Rules, 2011</w:t>
        <w:br/>
      </w:r>
    </w:p>
    <w:p>
      <w:pPr>
        <w:pStyle w:val="Heading2"/>
      </w:pPr>
      <w:r>
        <w:t>1. Inspection Particulars</w:t>
      </w:r>
    </w:p>
    <w:p>
      <w:r>
        <w:t>Case ID: INSP-20260921-8DE5E9</w:t>
        <w:br/>
      </w:r>
      <w:r>
        <w:t>Inspection Timestamp: 2026-09-21T20:02:32.348763</w:t>
        <w:br/>
      </w:r>
      <w:r>
        <w:t>Jurisdiction:</w:t>
        <w:br/>
        <w:t>India</w:t>
        <w:br/>
      </w:r>
      <w:r>
        <w:t>Product Name: Needs Review</w:t>
        <w:br/>
      </w:r>
      <w:r>
        <w:t xml:space="preserve">Manufacturer: </w:t>
        <w:br/>
      </w:r>
      <w:r>
        <w:t>Compliance Score: 87 / 100 (NON_COMPLIANT)</w:t>
        <w:br/>
      </w:r>
      <w:r>
        <w:t>External Verification: External verification: Not available</w:t>
        <w:br/>
      </w:r>
    </w:p>
    <w:p>
      <w:pPr>
        <w:pStyle w:val="Heading2"/>
      </w:pPr>
      <w:r>
        <w:t>2. Extracted Statutory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Detected Value</w:t>
            </w:r>
          </w:p>
        </w:tc>
        <w:tc>
          <w:tcPr>
            <w:tcW w:type="dxa" w:w="2160"/>
          </w:tcPr>
          <w:p>
            <w:r>
              <w:t>Confidence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Brand Name or Trademark</w:t>
            </w:r>
          </w:p>
        </w:tc>
        <w:tc>
          <w:tcPr>
            <w:tcW w:type="dxa" w:w="2160"/>
          </w:tcPr>
          <w:p>
            <w:r>
              <w:t>Needs Review</w:t>
            </w:r>
          </w:p>
        </w:tc>
        <w:tc>
          <w:tcPr>
            <w:tcW w:type="dxa" w:w="2160"/>
          </w:tcPr>
          <w:p>
            <w:r>
              <w:t>40%</w:t>
            </w:r>
          </w:p>
        </w:tc>
        <w:tc>
          <w:tcPr>
            <w:tcW w:type="dxa" w:w="2160"/>
          </w:tcPr>
          <w:p>
            <w:r>
              <w:t>Under Review</w:t>
            </w:r>
          </w:p>
        </w:tc>
      </w:tr>
      <w:tr>
        <w:tc>
          <w:tcPr>
            <w:tcW w:type="dxa" w:w="2160"/>
          </w:tcPr>
          <w:p>
            <w:r>
              <w:t>Common or Generic Name of Commodity</w:t>
            </w:r>
          </w:p>
        </w:tc>
        <w:tc>
          <w:tcPr>
            <w:tcW w:type="dxa" w:w="2160"/>
          </w:tcPr>
          <w:p>
            <w:r>
              <w:t>Needs Review</w:t>
            </w:r>
          </w:p>
        </w:tc>
        <w:tc>
          <w:tcPr>
            <w:tcW w:type="dxa" w:w="2160"/>
          </w:tcPr>
          <w:p>
            <w:r>
              <w:t>40%</w:t>
            </w:r>
          </w:p>
        </w:tc>
        <w:tc>
          <w:tcPr>
            <w:tcW w:type="dxa" w:w="2160"/>
          </w:tcPr>
          <w:p>
            <w:r>
              <w:t>Under Review</w:t>
            </w:r>
          </w:p>
        </w:tc>
      </w:tr>
      <w:tr>
        <w:tc>
          <w:tcPr>
            <w:tcW w:type="dxa" w:w="2160"/>
          </w:tcPr>
          <w:p>
            <w:r>
              <w:t>Generic Commodity Descriptor</w:t>
            </w:r>
          </w:p>
        </w:tc>
        <w:tc>
          <w:tcPr>
            <w:tcW w:type="dxa" w:w="2160"/>
          </w:tcPr>
          <w:p>
            <w:r>
              <w:t>Needs Review</w:t>
            </w:r>
          </w:p>
        </w:tc>
        <w:tc>
          <w:tcPr>
            <w:tcW w:type="dxa" w:w="2160"/>
          </w:tcPr>
          <w:p>
            <w:r>
              <w:t>40%</w:t>
            </w:r>
          </w:p>
        </w:tc>
        <w:tc>
          <w:tcPr>
            <w:tcW w:type="dxa" w:w="2160"/>
          </w:tcPr>
          <w:p>
            <w:r>
              <w:t>Under Review</w:t>
            </w:r>
          </w:p>
        </w:tc>
      </w:tr>
      <w:tr>
        <w:tc>
          <w:tcPr>
            <w:tcW w:type="dxa" w:w="2160"/>
          </w:tcPr>
          <w:p>
            <w:r>
              <w:t>Packaged Commodity Category</w:t>
            </w:r>
          </w:p>
        </w:tc>
        <w:tc>
          <w:tcPr>
            <w:tcW w:type="dxa" w:w="2160"/>
          </w:tcPr>
          <w:p>
            <w:r>
              <w:t>Category R — Unknown / Uncertain / Ambiguous Commodity</w:t>
            </w:r>
          </w:p>
        </w:tc>
        <w:tc>
          <w:tcPr>
            <w:tcW w:type="dxa" w:w="2160"/>
          </w:tcPr>
          <w:p>
            <w:r>
              <w:t>99%</w:t>
            </w:r>
          </w:p>
        </w:tc>
        <w:tc>
          <w:tcPr>
            <w:tcW w:type="dxa" w:w="2160"/>
          </w:tcPr>
          <w:p>
            <w:r>
              <w:t>Found</w:t>
            </w:r>
          </w:p>
        </w:tc>
      </w:tr>
      <w:tr>
        <w:tc>
          <w:tcPr>
            <w:tcW w:type="dxa" w:w="2160"/>
          </w:tcPr>
          <w:p>
            <w:r>
              <w:t>Name of Manufacturer</w:t>
            </w:r>
          </w:p>
        </w:tc>
        <w:tc>
          <w:tcPr>
            <w:tcW w:type="dxa" w:w="2160"/>
          </w:tcPr>
          <w:p>
            <w:r>
              <w:t>Not detected</w:t>
            </w:r>
          </w:p>
        </w:tc>
        <w:tc>
          <w:tcPr>
            <w:tcW w:type="dxa" w:w="2160"/>
          </w:tcPr>
          <w:p>
            <w:r>
              <w:t>45%</w:t>
            </w:r>
          </w:p>
        </w:tc>
        <w:tc>
          <w:tcPr>
            <w:tcW w:type="dxa" w:w="2160"/>
          </w:tcPr>
          <w:p>
            <w:r>
              <w:t>Under Review</w:t>
            </w:r>
          </w:p>
        </w:tc>
      </w:tr>
      <w:tr>
        <w:tc>
          <w:tcPr>
            <w:tcW w:type="dxa" w:w="2160"/>
          </w:tcPr>
          <w:p>
            <w:r>
              <w:t>Complete Address of Manufacturer with PIN Code</w:t>
            </w:r>
          </w:p>
        </w:tc>
        <w:tc>
          <w:tcPr>
            <w:tcW w:type="dxa" w:w="2160"/>
          </w:tcPr>
          <w:p>
            <w:r>
              <w:t>Not detected</w:t>
            </w:r>
          </w:p>
        </w:tc>
        <w:tc>
          <w:tcPr>
            <w:tcW w:type="dxa" w:w="2160"/>
          </w:tcPr>
          <w:p>
            <w:r>
              <w:t>45%</w:t>
            </w:r>
          </w:p>
        </w:tc>
        <w:tc>
          <w:tcPr>
            <w:tcW w:type="dxa" w:w="2160"/>
          </w:tcPr>
          <w:p>
            <w:r>
              <w:t>Under Review</w:t>
            </w:r>
          </w:p>
        </w:tc>
      </w:tr>
      <w:tr>
        <w:tc>
          <w:tcPr>
            <w:tcW w:type="dxa" w:w="2160"/>
          </w:tcPr>
          <w:p>
            <w:r>
              <w:t>Name of Pre-packer (if different from manufacturer)</w:t>
            </w:r>
          </w:p>
        </w:tc>
        <w:tc>
          <w:tcPr>
            <w:tcW w:type="dxa" w:w="2160"/>
          </w:tcPr>
          <w:p>
            <w:r>
              <w:t>Not Applicable (Direct Manufacturer Packaging)</w:t>
            </w:r>
          </w:p>
        </w:tc>
        <w:tc>
          <w:tcPr>
            <w:tcW w:type="dxa" w:w="2160"/>
          </w:tcPr>
          <w:p>
            <w:r>
              <w:t>95%</w:t>
            </w:r>
          </w:p>
        </w:tc>
        <w:tc>
          <w:tcPr>
            <w:tcW w:type="dxa" w:w="2160"/>
          </w:tcPr>
          <w:p>
            <w:r>
              <w:t>Found</w:t>
            </w:r>
          </w:p>
        </w:tc>
      </w:tr>
      <w:tr>
        <w:tc>
          <w:tcPr>
            <w:tcW w:type="dxa" w:w="2160"/>
          </w:tcPr>
          <w:p>
            <w:r>
              <w:t>Address of Pre-packer</w:t>
            </w:r>
          </w:p>
        </w:tc>
        <w:tc>
          <w:tcPr>
            <w:tcW w:type="dxa" w:w="2160"/>
          </w:tcPr>
          <w:p>
            <w:r>
              <w:t>Not Applicable (Direct Manufacturer Packaging)</w:t>
            </w:r>
          </w:p>
        </w:tc>
        <w:tc>
          <w:tcPr>
            <w:tcW w:type="dxa" w:w="2160"/>
          </w:tcPr>
          <w:p>
            <w:r>
              <w:t>95%</w:t>
            </w:r>
          </w:p>
        </w:tc>
        <w:tc>
          <w:tcPr>
            <w:tcW w:type="dxa" w:w="2160"/>
          </w:tcPr>
          <w:p>
            <w:r>
              <w:t>Found</w:t>
            </w:r>
          </w:p>
        </w:tc>
      </w:tr>
      <w:tr>
        <w:tc>
          <w:tcPr>
            <w:tcW w:type="dxa" w:w="2160"/>
          </w:tcPr>
          <w:p>
            <w:r>
              <w:t>Name of Importer (for imported goods)</w:t>
            </w:r>
          </w:p>
        </w:tc>
        <w:tc>
          <w:tcPr>
            <w:tcW w:type="dxa" w:w="2160"/>
          </w:tcPr>
          <w:p>
            <w:r>
              <w:t>Not Applicable (Domestic Manufacture)</w:t>
            </w:r>
          </w:p>
        </w:tc>
        <w:tc>
          <w:tcPr>
            <w:tcW w:type="dxa" w:w="2160"/>
          </w:tcPr>
          <w:p>
            <w:r>
              <w:t>95%</w:t>
            </w:r>
          </w:p>
        </w:tc>
        <w:tc>
          <w:tcPr>
            <w:tcW w:type="dxa" w:w="2160"/>
          </w:tcPr>
          <w:p>
            <w:r>
              <w:t>Found</w:t>
            </w:r>
          </w:p>
        </w:tc>
      </w:tr>
      <w:tr>
        <w:tc>
          <w:tcPr>
            <w:tcW w:type="dxa" w:w="2160"/>
          </w:tcPr>
          <w:p>
            <w:r>
              <w:t>Address of Importer</w:t>
            </w:r>
          </w:p>
        </w:tc>
        <w:tc>
          <w:tcPr>
            <w:tcW w:type="dxa" w:w="2160"/>
          </w:tcPr>
          <w:p>
            <w:r>
              <w:t>Not Applicable (Domestic Manufacture)</w:t>
            </w:r>
          </w:p>
        </w:tc>
        <w:tc>
          <w:tcPr>
            <w:tcW w:type="dxa" w:w="2160"/>
          </w:tcPr>
          <w:p>
            <w:r>
              <w:t>95%</w:t>
            </w:r>
          </w:p>
        </w:tc>
        <w:tc>
          <w:tcPr>
            <w:tcW w:type="dxa" w:w="2160"/>
          </w:tcPr>
          <w:p>
            <w:r>
              <w:t>Found</w:t>
            </w:r>
          </w:p>
        </w:tc>
      </w:tr>
      <w:tr>
        <w:tc>
          <w:tcPr>
            <w:tcW w:type="dxa" w:w="2160"/>
          </w:tcPr>
          <w:p>
            <w:r>
              <w:t>Country of Origin or Manufacture</w:t>
            </w:r>
          </w:p>
        </w:tc>
        <w:tc>
          <w:tcPr>
            <w:tcW w:type="dxa" w:w="2160"/>
          </w:tcPr>
          <w:p>
            <w:r>
              <w:t>India</w:t>
            </w:r>
          </w:p>
        </w:tc>
        <w:tc>
          <w:tcPr>
            <w:tcW w:type="dxa" w:w="2160"/>
          </w:tcPr>
          <w:p>
            <w:r>
              <w:t>88%</w:t>
            </w:r>
          </w:p>
        </w:tc>
        <w:tc>
          <w:tcPr>
            <w:tcW w:type="dxa" w:w="2160"/>
          </w:tcPr>
          <w:p>
            <w:r>
              <w:t>Found</w:t>
            </w:r>
          </w:p>
        </w:tc>
      </w:tr>
      <w:tr>
        <w:tc>
          <w:tcPr>
            <w:tcW w:type="dxa" w:w="2160"/>
          </w:tcPr>
          <w:p>
            <w:r>
              <w:t>Net Quantity in Standard SI Metric Units</w:t>
            </w:r>
          </w:p>
        </w:tc>
        <w:tc>
          <w:tcPr>
            <w:tcW w:type="dxa" w:w="2160"/>
          </w:tcPr>
          <w:p>
            <w:r>
              <w:t>Not detected</w:t>
            </w:r>
          </w:p>
        </w:tc>
        <w:tc>
          <w:tcPr>
            <w:tcW w:type="dxa" w:w="2160"/>
          </w:tcPr>
          <w:p>
            <w:r>
              <w:t>50%</w:t>
            </w:r>
          </w:p>
        </w:tc>
        <w:tc>
          <w:tcPr>
            <w:tcW w:type="dxa" w:w="2160"/>
          </w:tcPr>
          <w:p>
            <w:r>
              <w:t>Under Review</w:t>
            </w:r>
          </w:p>
        </w:tc>
      </w:tr>
      <w:tr>
        <w:tc>
          <w:tcPr>
            <w:tcW w:type="dxa" w:w="2160"/>
          </w:tcPr>
          <w:p>
            <w:r>
              <w:t>Authorized SI Metric Unit Symbol</w:t>
            </w:r>
          </w:p>
        </w:tc>
        <w:tc>
          <w:tcPr>
            <w:tcW w:type="dxa" w:w="2160"/>
          </w:tcPr>
          <w:p>
            <w:r>
              <w:t>Not detected</w:t>
            </w:r>
          </w:p>
        </w:tc>
        <w:tc>
          <w:tcPr>
            <w:tcW w:type="dxa" w:w="2160"/>
          </w:tcPr>
          <w:p>
            <w:r>
              <w:t>50%</w:t>
            </w:r>
          </w:p>
        </w:tc>
        <w:tc>
          <w:tcPr>
            <w:tcW w:type="dxa" w:w="2160"/>
          </w:tcPr>
          <w:p>
            <w:r>
              <w:t>Under Review</w:t>
            </w:r>
          </w:p>
        </w:tc>
      </w:tr>
      <w:tr>
        <w:tc>
          <w:tcPr>
            <w:tcW w:type="dxa" w:w="2160"/>
          </w:tcPr>
          <w:p>
            <w:r>
              <w:t>Maximum Retail Price (MRP)</w:t>
            </w:r>
          </w:p>
        </w:tc>
        <w:tc>
          <w:tcPr>
            <w:tcW w:type="dxa" w:w="2160"/>
          </w:tcPr>
          <w:p>
            <w:r>
              <w:t>Not reliably detected</w:t>
            </w:r>
          </w:p>
        </w:tc>
        <w:tc>
          <w:tcPr>
            <w:tcW w:type="dxa" w:w="2160"/>
          </w:tcPr>
          <w:p>
            <w:r>
              <w:t>55%</w:t>
            </w:r>
          </w:p>
        </w:tc>
        <w:tc>
          <w:tcPr>
            <w:tcW w:type="dxa" w:w="2160"/>
          </w:tcPr>
          <w:p>
            <w:r>
              <w:t>Under Review</w:t>
            </w:r>
          </w:p>
        </w:tc>
      </w:tr>
      <w:tr>
        <w:tc>
          <w:tcPr>
            <w:tcW w:type="dxa" w:w="2160"/>
          </w:tcPr>
          <w:p>
            <w:r>
              <w:t>Mandatory Tax Inclusivity Declaration</w:t>
            </w:r>
          </w:p>
        </w:tc>
        <w:tc>
          <w:tcPr>
            <w:tcW w:type="dxa" w:w="2160"/>
          </w:tcPr>
          <w:p>
            <w:r>
              <w:t>Not declared</w:t>
            </w:r>
          </w:p>
        </w:tc>
        <w:tc>
          <w:tcPr>
            <w:tcW w:type="dxa" w:w="2160"/>
          </w:tcPr>
          <w:p>
            <w:r>
              <w:t>85%</w:t>
            </w:r>
          </w:p>
        </w:tc>
        <w:tc>
          <w:tcPr>
            <w:tcW w:type="dxa" w:w="2160"/>
          </w:tcPr>
          <w:p>
            <w:r>
              <w:t>Defective</w:t>
            </w:r>
          </w:p>
        </w:tc>
      </w:tr>
      <w:tr>
        <w:tc>
          <w:tcPr>
            <w:tcW w:type="dxa" w:w="2160"/>
          </w:tcPr>
          <w:p>
            <w:r>
              <w:t>Unit Sale Price (USP)</w:t>
            </w:r>
          </w:p>
        </w:tc>
        <w:tc>
          <w:tcPr>
            <w:tcW w:type="dxa" w:w="2160"/>
          </w:tcPr>
          <w:p>
            <w:r>
              <w:t>Not detected</w:t>
            </w:r>
          </w:p>
        </w:tc>
        <w:tc>
          <w:tcPr>
            <w:tcW w:type="dxa" w:w="2160"/>
          </w:tcPr>
          <w:p>
            <w:r>
              <w:t>60%</w:t>
            </w:r>
          </w:p>
        </w:tc>
        <w:tc>
          <w:tcPr>
            <w:tcW w:type="dxa" w:w="2160"/>
          </w:tcPr>
          <w:p>
            <w:r>
              <w:t>Under Review</w:t>
            </w:r>
          </w:p>
        </w:tc>
      </w:tr>
      <w:tr>
        <w:tc>
          <w:tcPr>
            <w:tcW w:type="dxa" w:w="2160"/>
          </w:tcPr>
          <w:p>
            <w:r>
              <w:t>Month and Year of Manufacture</w:t>
            </w:r>
          </w:p>
        </w:tc>
        <w:tc>
          <w:tcPr>
            <w:tcW w:type="dxa" w:w="2160"/>
          </w:tcPr>
          <w:p>
            <w:r>
              <w:t>Not detected</w:t>
            </w:r>
          </w:p>
        </w:tc>
        <w:tc>
          <w:tcPr>
            <w:tcW w:type="dxa" w:w="2160"/>
          </w:tcPr>
          <w:p>
            <w:r>
              <w:t>50%</w:t>
            </w:r>
          </w:p>
        </w:tc>
        <w:tc>
          <w:tcPr>
            <w:tcW w:type="dxa" w:w="2160"/>
          </w:tcPr>
          <w:p>
            <w:r>
              <w:t>Under Review</w:t>
            </w:r>
          </w:p>
        </w:tc>
      </w:tr>
      <w:tr>
        <w:tc>
          <w:tcPr>
            <w:tcW w:type="dxa" w:w="2160"/>
          </w:tcPr>
          <w:p>
            <w:r>
              <w:t>Date of Pre-packing</w:t>
            </w:r>
          </w:p>
        </w:tc>
        <w:tc>
          <w:tcPr>
            <w:tcW w:type="dxa" w:w="2160"/>
          </w:tcPr>
          <w:p>
            <w:r>
              <w:t>Not Applicable</w:t>
            </w:r>
          </w:p>
        </w:tc>
        <w:tc>
          <w:tcPr>
            <w:tcW w:type="dxa" w:w="2160"/>
          </w:tcPr>
          <w:p>
            <w:r>
              <w:t>85%</w:t>
            </w:r>
          </w:p>
        </w:tc>
        <w:tc>
          <w:tcPr>
            <w:tcW w:type="dxa" w:w="2160"/>
          </w:tcPr>
          <w:p>
            <w:r>
              <w:t>Found</w:t>
            </w:r>
          </w:p>
        </w:tc>
      </w:tr>
      <w:tr>
        <w:tc>
          <w:tcPr>
            <w:tcW w:type="dxa" w:w="2160"/>
          </w:tcPr>
          <w:p>
            <w:r>
              <w:t>Best Before Period or Date</w:t>
            </w:r>
          </w:p>
        </w:tc>
        <w:tc>
          <w:tcPr>
            <w:tcW w:type="dxa" w:w="2160"/>
          </w:tcPr>
          <w:p>
            <w:r>
              <w:t>Not detected</w:t>
            </w:r>
          </w:p>
        </w:tc>
        <w:tc>
          <w:tcPr>
            <w:tcW w:type="dxa" w:w="2160"/>
          </w:tcPr>
          <w:p>
            <w:r>
              <w:t>60%</w:t>
            </w:r>
          </w:p>
        </w:tc>
        <w:tc>
          <w:tcPr>
            <w:tcW w:type="dxa" w:w="2160"/>
          </w:tcPr>
          <w:p>
            <w:r>
              <w:t>Under Review</w:t>
            </w:r>
          </w:p>
        </w:tc>
      </w:tr>
      <w:tr>
        <w:tc>
          <w:tcPr>
            <w:tcW w:type="dxa" w:w="2160"/>
          </w:tcPr>
          <w:p>
            <w:r>
              <w:t>Expiry Date / Use By Date</w:t>
            </w:r>
          </w:p>
        </w:tc>
        <w:tc>
          <w:tcPr>
            <w:tcW w:type="dxa" w:w="2160"/>
          </w:tcPr>
          <w:p>
            <w:r>
              <w:t>Not detected</w:t>
            </w:r>
          </w:p>
        </w:tc>
        <w:tc>
          <w:tcPr>
            <w:tcW w:type="dxa" w:w="2160"/>
          </w:tcPr>
          <w:p>
            <w:r>
              <w:t>60%</w:t>
            </w:r>
          </w:p>
        </w:tc>
        <w:tc>
          <w:tcPr>
            <w:tcW w:type="dxa" w:w="2160"/>
          </w:tcPr>
          <w:p>
            <w:r>
              <w:t>Under Review</w:t>
            </w:r>
          </w:p>
        </w:tc>
      </w:tr>
      <w:tr>
        <w:tc>
          <w:tcPr>
            <w:tcW w:type="dxa" w:w="2160"/>
          </w:tcPr>
          <w:p>
            <w:r>
              <w:t>Batch or Lot Identification Number</w:t>
            </w:r>
          </w:p>
        </w:tc>
        <w:tc>
          <w:tcPr>
            <w:tcW w:type="dxa" w:w="2160"/>
          </w:tcPr>
          <w:p>
            <w:r>
              <w:t>Not detected</w:t>
            </w:r>
          </w:p>
        </w:tc>
        <w:tc>
          <w:tcPr>
            <w:tcW w:type="dxa" w:w="2160"/>
          </w:tcPr>
          <w:p>
            <w:r>
              <w:t>45%</w:t>
            </w:r>
          </w:p>
        </w:tc>
        <w:tc>
          <w:tcPr>
            <w:tcW w:type="dxa" w:w="2160"/>
          </w:tcPr>
          <w:p>
            <w:r>
              <w:t>Under Review</w:t>
            </w:r>
          </w:p>
        </w:tc>
      </w:tr>
      <w:tr>
        <w:tc>
          <w:tcPr>
            <w:tcW w:type="dxa" w:w="2160"/>
          </w:tcPr>
          <w:p>
            <w:r>
              <w:t>Consumer Care Toll-Free Helpline / Phone</w:t>
            </w:r>
          </w:p>
        </w:tc>
        <w:tc>
          <w:tcPr>
            <w:tcW w:type="dxa" w:w="2160"/>
          </w:tcPr>
          <w:p>
            <w:r>
              <w:t>1800-209-1234</w:t>
            </w:r>
          </w:p>
        </w:tc>
        <w:tc>
          <w:tcPr>
            <w:tcW w:type="dxa" w:w="2160"/>
          </w:tcPr>
          <w:p>
            <w:r>
              <w:t>99%</w:t>
            </w:r>
          </w:p>
        </w:tc>
        <w:tc>
          <w:tcPr>
            <w:tcW w:type="dxa" w:w="2160"/>
          </w:tcPr>
          <w:p>
            <w:r>
              <w:t>Found</w:t>
            </w:r>
          </w:p>
        </w:tc>
      </w:tr>
      <w:tr>
        <w:tc>
          <w:tcPr>
            <w:tcW w:type="dxa" w:w="2160"/>
          </w:tcPr>
          <w:p>
            <w:r>
              <w:t>Consumer Care Email Address</w:t>
            </w:r>
          </w:p>
        </w:tc>
        <w:tc>
          <w:tcPr>
            <w:tcW w:type="dxa" w:w="2160"/>
          </w:tcPr>
          <w:p>
            <w:r>
              <w:t>Not detected</w:t>
            </w:r>
          </w:p>
        </w:tc>
        <w:tc>
          <w:tcPr>
            <w:tcW w:type="dxa" w:w="2160"/>
          </w:tcPr>
          <w:p>
            <w:r>
              <w:t>50%</w:t>
            </w:r>
          </w:p>
        </w:tc>
        <w:tc>
          <w:tcPr>
            <w:tcW w:type="dxa" w:w="2160"/>
          </w:tcPr>
          <w:p>
            <w:r>
              <w:t>Under Review</w:t>
            </w:r>
          </w:p>
        </w:tc>
      </w:tr>
      <w:tr>
        <w:tc>
          <w:tcPr>
            <w:tcW w:type="dxa" w:w="2160"/>
          </w:tcPr>
          <w:p>
            <w:r>
              <w:t>Consumer Care Physical Office Address</w:t>
            </w:r>
          </w:p>
        </w:tc>
        <w:tc>
          <w:tcPr>
            <w:tcW w:type="dxa" w:w="2160"/>
          </w:tcPr>
          <w:p>
            <w:r>
              <w:t>Contact Manufacturer Address</w:t>
            </w:r>
          </w:p>
        </w:tc>
        <w:tc>
          <w:tcPr>
            <w:tcW w:type="dxa" w:w="2160"/>
          </w:tcPr>
          <w:p>
            <w:r>
              <w:t>60%</w:t>
            </w:r>
          </w:p>
        </w:tc>
        <w:tc>
          <w:tcPr>
            <w:tcW w:type="dxa" w:w="2160"/>
          </w:tcPr>
          <w:p>
            <w:r>
              <w:t>Under Review</w:t>
            </w:r>
          </w:p>
        </w:tc>
      </w:tr>
    </w:tbl>
    <w:p>
      <w:pPr>
        <w:pStyle w:val="Heading2"/>
      </w:pPr>
      <w:r>
        <w:t>3. Statutory Violations &amp; Compounding Directives (Legal Metrology Rules)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Rule &amp; Gazette PDF</w:t>
            </w:r>
          </w:p>
        </w:tc>
        <w:tc>
          <w:tcPr>
            <w:tcW w:type="dxa" w:w="2160"/>
          </w:tcPr>
          <w:p>
            <w:r>
              <w:t>Detected Infraction</w:t>
            </w:r>
          </w:p>
        </w:tc>
        <w:tc>
          <w:tcPr>
            <w:tcW w:type="dxa" w:w="2160"/>
          </w:tcPr>
          <w:p>
            <w:r>
              <w:t>Penal Provision</w:t>
            </w:r>
          </w:p>
        </w:tc>
        <w:tc>
          <w:tcPr>
            <w:tcW w:type="dxa" w:w="2160"/>
          </w:tcPr>
          <w:p>
            <w:r>
              <w:t>Source Page</w:t>
            </w:r>
          </w:p>
        </w:tc>
      </w:tr>
      <w:tr>
        <w:tc>
          <w:tcPr>
            <w:tcW w:type="dxa" w:w="2160"/>
          </w:tcPr>
          <w:p>
            <w:r>
              <w:t>RULE 6(1)(c) (Net quantity in standard SI metric units) [8(xii)_0_1732871346--17.pdf]</w:t>
            </w:r>
          </w:p>
        </w:tc>
        <w:tc>
          <w:tcPr>
            <w:tcW w:type="dxa" w:w="2160"/>
          </w:tcPr>
          <w:p>
            <w:r>
              <w:t>Net quantity declaration missing or non-compliant</w:t>
            </w:r>
          </w:p>
        </w:tc>
        <w:tc>
          <w:tcPr>
            <w:tcW w:type="dxa" w:w="2160"/>
          </w:tcPr>
          <w:p>
            <w:r>
              <w:t>Section 36(1) read with Rule 13</w:t>
            </w:r>
          </w:p>
        </w:tc>
        <w:tc>
          <w:tcPr>
            <w:tcW w:type="dxa" w:w="2160"/>
          </w:tcPr>
          <w:p>
            <w:r>
              <w:t>Page 1</w:t>
            </w:r>
          </w:p>
        </w:tc>
      </w:tr>
      <w:tr>
        <w:tc>
          <w:tcPr>
            <w:tcW w:type="dxa" w:w="2160"/>
          </w:tcPr>
          <w:p>
            <w:r>
              <w:t>RULE 6(1)(e) (Maximum Retail Price (MRP) &amp; statutory tax phrase) [8(xii)_0_1732871346--17.pdf]</w:t>
            </w:r>
          </w:p>
        </w:tc>
        <w:tc>
          <w:tcPr>
            <w:tcW w:type="dxa" w:w="2160"/>
          </w:tcPr>
          <w:p>
            <w:r>
              <w:t>Maximum Retail Price (MRP) omitted from packaging</w:t>
            </w:r>
          </w:p>
        </w:tc>
        <w:tc>
          <w:tcPr>
            <w:tcW w:type="dxa" w:w="2160"/>
          </w:tcPr>
          <w:p>
            <w:r>
              <w:t>Section 36(1) read with Rule 32A Compounding fee: ₹25,000</w:t>
            </w:r>
          </w:p>
        </w:tc>
        <w:tc>
          <w:tcPr>
            <w:tcW w:type="dxa" w:w="2160"/>
          </w:tcPr>
          <w:p>
            <w:r>
              <w:t>Page 1</w:t>
            </w:r>
          </w:p>
        </w:tc>
      </w:tr>
      <w:tr>
        <w:tc>
          <w:tcPr>
            <w:tcW w:type="dxa" w:w="2160"/>
          </w:tcPr>
          <w:p>
            <w:r>
              <w:t>RULE 13 (Statement of units of weight, measure or number) [230946_1732871433--19.pdf]</w:t>
            </w:r>
          </w:p>
        </w:tc>
        <w:tc>
          <w:tcPr>
            <w:tcW w:type="dxa" w:w="2160"/>
          </w:tcPr>
          <w:p>
            <w:r>
              <w:t>Unit '' (Prohibited: None)</w:t>
            </w:r>
          </w:p>
        </w:tc>
        <w:tc>
          <w:tcPr>
            <w:tcW w:type="dxa" w:w="2160"/>
          </w:tcPr>
          <w:p>
            <w:r>
              <w:t>Section 36(1) read with Rule 13</w:t>
            </w:r>
          </w:p>
        </w:tc>
        <w:tc>
          <w:tcPr>
            <w:tcW w:type="dxa" w:w="2160"/>
          </w:tcPr>
          <w:p>
            <w:r>
              <w:t>Page 3</w:t>
            </w:r>
          </w:p>
        </w:tc>
      </w:tr>
      <w:tr>
        <w:tc>
          <w:tcPr>
            <w:tcW w:type="dxa" w:w="2160"/>
          </w:tcPr>
          <w:p>
            <w:r>
              <w:t>RULE 32 (Fine for contravention of rules where no specific penalty is provided) [8(xii)_0_1732871346--17.pdf]</w:t>
            </w:r>
          </w:p>
        </w:tc>
        <w:tc>
          <w:tcPr>
            <w:tcW w:type="dxa" w:w="2160"/>
          </w:tcPr>
          <w:p>
            <w:r>
              <w:t>3 active statutory contraventions detected</w:t>
            </w:r>
          </w:p>
        </w:tc>
        <w:tc>
          <w:tcPr>
            <w:tcW w:type="dxa" w:w="2160"/>
          </w:tcPr>
          <w:p>
            <w:r>
              <w:t>Statutory penalty schedule applicable (3 offences)</w:t>
            </w:r>
          </w:p>
        </w:tc>
        <w:tc>
          <w:tcPr>
            <w:tcW w:type="dxa" w:w="2160"/>
          </w:tcPr>
          <w:p>
            <w:r>
              <w:t>Page 13</w:t>
            </w:r>
          </w:p>
        </w:tc>
      </w:tr>
      <w:tr>
        <w:tc>
          <w:tcPr>
            <w:tcW w:type="dxa" w:w="2160"/>
          </w:tcPr>
          <w:p>
            <w:r>
              <w:t>RULE 32A (Compounding of offences under Section 48 of the Act) [8(x)_0_1732870750--13.pdf]</w:t>
            </w:r>
          </w:p>
        </w:tc>
        <w:tc>
          <w:tcPr>
            <w:tcW w:type="dxa" w:w="2160"/>
          </w:tcPr>
          <w:p>
            <w:r>
              <w:t>Compounding schedule applicable under Section 36(1)</w:t>
            </w:r>
          </w:p>
        </w:tc>
        <w:tc>
          <w:tcPr>
            <w:tcW w:type="dxa" w:w="2160"/>
          </w:tcPr>
          <w:p>
            <w:r>
              <w:t>Rule 32A Statutory Compounding Schedule: ₹25,000</w:t>
            </w:r>
          </w:p>
        </w:tc>
        <w:tc>
          <w:tcPr>
            <w:tcW w:type="dxa" w:w="2160"/>
          </w:tcPr>
          <w:p>
            <w:r>
              <w:t>Page 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