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INSP-20260918-DCCE47</w:t>
        <w:br/>
      </w:r>
      <w:r>
        <w:t>Inspection Timestamp: 2026-09-18T14:33:44.620929</w:t>
        <w:br/>
      </w:r>
      <w:r>
        <w:t>Product Name: AMRUT PREMIUM TEA ५0०g</w:t>
        <w:br/>
      </w:r>
      <w:r>
        <w:t>Manufacturer: Mfd By: Amrut Beverage Pvt Ltd</w:t>
        <w:br/>
      </w:r>
      <w:r>
        <w:t>Compliance Score: 88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AMRUT PREMIUM TEA ५0०g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 with Mandatory Tax Phrase</w:t>
            </w:r>
          </w:p>
        </w:tc>
        <w:tc>
          <w:tcPr>
            <w:tcW w:type="dxa" w:w="2160"/>
          </w:tcPr>
          <w:p>
            <w:r>
              <w:t>MRP ₹ 0.00 (inclusive of all taxes)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and Complete Address of Manufacturer with PIN code</w:t>
            </w:r>
          </w:p>
        </w:tc>
        <w:tc>
          <w:tcPr>
            <w:tcW w:type="dxa" w:w="2160"/>
          </w:tcPr>
          <w:p>
            <w:r>
              <w:t>Mfd By: Amrut Beverage Pvt Ltd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Month and Year of Manufacture or Pre-packing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Contact Phone and Email</w:t>
            </w:r>
          </w:p>
        </w:tc>
        <w:tc>
          <w:tcPr>
            <w:tcW w:type="dxa" w:w="2160"/>
          </w:tcPr>
          <w:p>
            <w:r>
              <w:t>Helpline: 1800-209-1234 | Email: care@consumer-helpline.gov.in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p>
      <w:pPr>
        <w:pStyle w:val="Heading2"/>
      </w:pPr>
      <w:r>
        <w:t>3. Statutory Violations &amp; Compounding Directives (Legal Metrology Rules)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&amp; Gazette PDF</w:t>
            </w:r>
          </w:p>
        </w:tc>
        <w:tc>
          <w:tcPr>
            <w:tcW w:type="dxa" w:w="2160"/>
          </w:tcPr>
          <w:p>
            <w:r>
              <w:t>Detected Infraction</w:t>
            </w:r>
          </w:p>
        </w:tc>
        <w:tc>
          <w:tcPr>
            <w:tcW w:type="dxa" w:w="2160"/>
          </w:tcPr>
          <w:p>
            <w:r>
              <w:t>Penal Provision</w:t>
            </w:r>
          </w:p>
        </w:tc>
        <w:tc>
          <w:tcPr>
            <w:tcW w:type="dxa" w:w="2160"/>
          </w:tcPr>
          <w:p>
            <w:r>
              <w:t>Source Page</w:t>
            </w:r>
          </w:p>
        </w:tc>
      </w:tr>
      <w:tr>
        <w:tc>
          <w:tcPr>
            <w:tcW w:type="dxa" w:w="2160"/>
          </w:tcPr>
          <w:p>
            <w:r>
              <w:t>RULE 6(1)(c) (Net quantity in standard SI metric units) [8(xii)_0_1732871346--17.pdf]</w:t>
            </w:r>
          </w:p>
        </w:tc>
        <w:tc>
          <w:tcPr>
            <w:tcW w:type="dxa" w:w="2160"/>
          </w:tcPr>
          <w:p>
            <w:r>
              <w:t>Net quantity declaration missing or non-compliant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6(1)(d) (Month and year of manufacture or pre-packing) [8(xii)_0_1732871346--17.pdf]</w:t>
            </w:r>
          </w:p>
        </w:tc>
        <w:tc>
          <w:tcPr>
            <w:tcW w:type="dxa" w:w="2160"/>
          </w:tcPr>
          <w:p>
            <w:r>
              <w:t>Month and year of manufacture/pre-packing omitted from packaging.</w:t>
            </w:r>
          </w:p>
        </w:tc>
        <w:tc>
          <w:tcPr>
            <w:tcW w:type="dxa" w:w="2160"/>
          </w:tcPr>
          <w:p>
            <w:r>
              <w:t>Section 36(1)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13 (Statement of units of weight, measure or number) [230946_1732871433--19.pdf]</w:t>
            </w:r>
          </w:p>
        </w:tc>
        <w:tc>
          <w:tcPr>
            <w:tcW w:type="dxa" w:w="2160"/>
          </w:tcPr>
          <w:p>
            <w:r>
              <w:t>Unit '' (Prohibited: None)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3</w:t>
            </w:r>
          </w:p>
        </w:tc>
      </w:tr>
      <w:tr>
        <w:tc>
          <w:tcPr>
            <w:tcW w:type="dxa" w:w="2160"/>
          </w:tcPr>
          <w:p>
            <w:r>
              <w:t>RULE 32 (Fine for contravention of rules where no specific penalty is provided) [8(xii)_0_1732871346--17.pdf]</w:t>
            </w:r>
          </w:p>
        </w:tc>
        <w:tc>
          <w:tcPr>
            <w:tcW w:type="dxa" w:w="2160"/>
          </w:tcPr>
          <w:p>
            <w:r>
              <w:t>3 active statutory contraventions detected</w:t>
            </w:r>
          </w:p>
        </w:tc>
        <w:tc>
          <w:tcPr>
            <w:tcW w:type="dxa" w:w="2160"/>
          </w:tcPr>
          <w:p>
            <w:r>
              <w:t>Section 36(1) read with Rule 32</w:t>
            </w:r>
          </w:p>
        </w:tc>
        <w:tc>
          <w:tcPr>
            <w:tcW w:type="dxa" w:w="2160"/>
          </w:tcPr>
          <w:p>
            <w:r>
              <w:t>Page 13</w:t>
            </w:r>
          </w:p>
        </w:tc>
      </w:tr>
      <w:tr>
        <w:tc>
          <w:tcPr>
            <w:tcW w:type="dxa" w:w="2160"/>
          </w:tcPr>
          <w:p>
            <w:r>
              <w:t>RULE 32A (Compounding of offences under Section 48 of the Act) [8(x)_0_1732870750--13.pdf]</w:t>
            </w:r>
          </w:p>
        </w:tc>
        <w:tc>
          <w:tcPr>
            <w:tcW w:type="dxa" w:w="2160"/>
          </w:tcPr>
          <w:p>
            <w:r>
              <w:t>Compounding schedule applicable under Section 36(1)</w:t>
            </w:r>
          </w:p>
        </w:tc>
        <w:tc>
          <w:tcPr>
            <w:tcW w:type="dxa" w:w="2160"/>
          </w:tcPr>
          <w:p>
            <w:r>
              <w:t>Rule 32A Statutory Compounding Schedule: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