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4c7a995cc09080fcead90b8d32c6027a7758b1"/>
    <w:p>
      <w:pPr>
        <w:pStyle w:val="Heading1"/>
      </w:pPr>
      <w:r>
        <w:t xml:space="preserve">Enterprise Intelligence Orchestrator (EIO) – Enhanced Architecture Requirements</w:t>
      </w:r>
    </w:p>
    <w:p>
      <w:pPr>
        <w:pStyle w:val="FirstParagraph"/>
      </w:pPr>
      <w:r>
        <w:t xml:space="preserve">I want to enhance the architecture of my project</w:t>
      </w:r>
      <w:r>
        <w:t xml:space="preserve"> </w:t>
      </w:r>
      <w:r>
        <w:rPr>
          <w:b/>
          <w:bCs/>
        </w:rPr>
        <w:t xml:space="preserve">Enterprise Intelligence Orchestrator (EIO)</w:t>
      </w:r>
      <w:r>
        <w:t xml:space="preserve"> </w:t>
      </w:r>
      <w:r>
        <w:t xml:space="preserve">with an enterprise-grade AI orchestration layer. The objective is to demonstrate AI architecture, intelligent orchestration, and governance rather than simply integrating an LLM.</w:t>
      </w:r>
    </w:p>
    <w:bookmarkStart w:id="20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The platform must be:</w:t>
      </w:r>
    </w:p>
    <w:p>
      <w:pPr>
        <w:pStyle w:val="Compact"/>
        <w:numPr>
          <w:ilvl w:val="0"/>
          <w:numId w:val="1001"/>
        </w:numPr>
      </w:pPr>
      <w:r>
        <w:t xml:space="preserve">Database Agnostic</w:t>
      </w:r>
    </w:p>
    <w:p>
      <w:pPr>
        <w:pStyle w:val="Compact"/>
        <w:numPr>
          <w:ilvl w:val="0"/>
          <w:numId w:val="1001"/>
        </w:numPr>
      </w:pPr>
      <w:r>
        <w:t xml:space="preserve">File Storage Agnostic</w:t>
      </w:r>
    </w:p>
    <w:p>
      <w:pPr>
        <w:pStyle w:val="Compact"/>
        <w:numPr>
          <w:ilvl w:val="0"/>
          <w:numId w:val="1001"/>
        </w:numPr>
      </w:pPr>
      <w:r>
        <w:t xml:space="preserve">LLM Agnostic</w:t>
      </w:r>
    </w:p>
    <w:p>
      <w:pPr>
        <w:pStyle w:val="Compact"/>
        <w:numPr>
          <w:ilvl w:val="0"/>
          <w:numId w:val="1001"/>
        </w:numPr>
      </w:pPr>
      <w:r>
        <w:t xml:space="preserve">Cloud Agnostic</w:t>
      </w:r>
    </w:p>
    <w:p>
      <w:pPr>
        <w:pStyle w:val="Compact"/>
        <w:numPr>
          <w:ilvl w:val="0"/>
          <w:numId w:val="1001"/>
        </w:numPr>
      </w:pPr>
      <w:r>
        <w:t xml:space="preserve">Extensible through plug-in connectors</w:t>
      </w:r>
    </w:p>
    <w:p>
      <w:pPr>
        <w:pStyle w:val="Compact"/>
        <w:numPr>
          <w:ilvl w:val="0"/>
          <w:numId w:val="1001"/>
        </w:numPr>
      </w:pPr>
      <w:r>
        <w:t xml:space="preserve">Explainable</w:t>
      </w:r>
    </w:p>
    <w:p>
      <w:pPr>
        <w:pStyle w:val="Compact"/>
        <w:numPr>
          <w:ilvl w:val="0"/>
          <w:numId w:val="1001"/>
        </w:numPr>
      </w:pPr>
      <w:r>
        <w:t xml:space="preserve">Secure by Design</w:t>
      </w:r>
    </w:p>
    <w:p>
      <w:pPr>
        <w:pStyle w:val="Compact"/>
        <w:numPr>
          <w:ilvl w:val="0"/>
          <w:numId w:val="1001"/>
        </w:numPr>
      </w:pPr>
      <w:r>
        <w:t xml:space="preserve">Cost Optimized</w:t>
      </w:r>
    </w:p>
    <w:p>
      <w:pPr>
        <w:pStyle w:val="Compact"/>
        <w:numPr>
          <w:ilvl w:val="0"/>
          <w:numId w:val="1001"/>
        </w:numPr>
      </w:pPr>
      <w:r>
        <w:t xml:space="preserve">Enterprise Ready</w:t>
      </w:r>
    </w:p>
    <w:p>
      <w:pPr>
        <w:pStyle w:val="Compact"/>
        <w:numPr>
          <w:ilvl w:val="0"/>
          <w:numId w:val="1001"/>
        </w:numPr>
      </w:pPr>
      <w:r>
        <w:t xml:space="preserve">Policy Driven</w:t>
      </w:r>
    </w:p>
    <w:p>
      <w:pPr>
        <w:pStyle w:val="FirstParagraph"/>
      </w:pPr>
      <w:r>
        <w:t xml:space="preserve">No component should be tightly coupled to a specific database, storage provider, cloud provider, or LLM.</w:t>
      </w:r>
    </w:p>
    <w:p>
      <w:r>
        <w:pict>
          <v:rect style="width:0;height:1.5pt" o:hralign="center" o:hrstd="t" o:hr="t"/>
        </w:pict>
      </w:r>
    </w:p>
    <w:bookmarkEnd w:id="20"/>
    <w:bookmarkStart w:id="21" w:name="llm-provider-abstraction"/>
    <w:p>
      <w:pPr>
        <w:pStyle w:val="Heading2"/>
      </w:pPr>
      <w:r>
        <w:t xml:space="preserve">LLM Provider Abstraction</w:t>
      </w:r>
    </w:p>
    <w:p>
      <w:pPr>
        <w:pStyle w:val="FirstParagraph"/>
      </w:pPr>
      <w:r>
        <w:t xml:space="preserve">Create a pluggable LLM Provider Framework.</w:t>
      </w:r>
    </w:p>
    <w:p>
      <w:pPr>
        <w:pStyle w:val="BodyText"/>
      </w:pPr>
      <w:r>
        <w:t xml:space="preserve">The application should never call OpenAI, Granite, GPT-OSS, Claude, Gemini, or any other model directly.</w:t>
      </w:r>
    </w:p>
    <w:p>
      <w:pPr>
        <w:pStyle w:val="BodyText"/>
      </w:pPr>
      <w:r>
        <w:t xml:space="preserve">Instead, create a common provider interface that supports configuration-driven integration.</w:t>
      </w:r>
    </w:p>
    <w:p>
      <w:pPr>
        <w:pStyle w:val="BodyText"/>
      </w:pPr>
      <w:r>
        <w:t xml:space="preserve">Each provider should expose common capabilities such as:</w:t>
      </w:r>
    </w:p>
    <w:p>
      <w:pPr>
        <w:pStyle w:val="Compact"/>
        <w:numPr>
          <w:ilvl w:val="0"/>
          <w:numId w:val="1002"/>
        </w:numPr>
      </w:pPr>
      <w:r>
        <w:t xml:space="preserve">Chat completion</w:t>
      </w:r>
    </w:p>
    <w:p>
      <w:pPr>
        <w:pStyle w:val="Compact"/>
        <w:numPr>
          <w:ilvl w:val="0"/>
          <w:numId w:val="1002"/>
        </w:numPr>
      </w:pPr>
      <w:r>
        <w:t xml:space="preserve">Structured output</w:t>
      </w:r>
    </w:p>
    <w:p>
      <w:pPr>
        <w:pStyle w:val="Compact"/>
        <w:numPr>
          <w:ilvl w:val="0"/>
          <w:numId w:val="1002"/>
        </w:numPr>
      </w:pPr>
      <w:r>
        <w:t xml:space="preserve">Tool calling</w:t>
      </w:r>
    </w:p>
    <w:p>
      <w:pPr>
        <w:pStyle w:val="Compact"/>
        <w:numPr>
          <w:ilvl w:val="0"/>
          <w:numId w:val="1002"/>
        </w:numPr>
      </w:pPr>
      <w:r>
        <w:t xml:space="preserve">Embedding generation (optional)</w:t>
      </w:r>
    </w:p>
    <w:p>
      <w:pPr>
        <w:pStyle w:val="Compact"/>
        <w:numPr>
          <w:ilvl w:val="0"/>
          <w:numId w:val="1002"/>
        </w:numPr>
      </w:pPr>
      <w:r>
        <w:t xml:space="preserve">Streaming responses</w:t>
      </w:r>
    </w:p>
    <w:p>
      <w:pPr>
        <w:pStyle w:val="Compact"/>
        <w:numPr>
          <w:ilvl w:val="0"/>
          <w:numId w:val="1002"/>
        </w:numPr>
      </w:pPr>
      <w:r>
        <w:t xml:space="preserve">Token estimation</w:t>
      </w:r>
    </w:p>
    <w:p>
      <w:pPr>
        <w:pStyle w:val="Compact"/>
        <w:numPr>
          <w:ilvl w:val="0"/>
          <w:numId w:val="1002"/>
        </w:numPr>
      </w:pPr>
      <w:r>
        <w:t xml:space="preserve">Cost estimation</w:t>
      </w:r>
    </w:p>
    <w:p>
      <w:pPr>
        <w:pStyle w:val="Compact"/>
        <w:numPr>
          <w:ilvl w:val="0"/>
          <w:numId w:val="1002"/>
        </w:numPr>
      </w:pPr>
      <w:r>
        <w:t xml:space="preserve">Health check</w:t>
      </w:r>
    </w:p>
    <w:p>
      <w:pPr>
        <w:pStyle w:val="FirstParagraph"/>
      </w:pPr>
      <w:r>
        <w:t xml:space="preserve">Providers should be interchangeable through configuration only.</w:t>
      </w:r>
    </w:p>
    <w:p>
      <w:pPr>
        <w:pStyle w:val="BodyText"/>
      </w:pPr>
      <w:r>
        <w:t xml:space="preserve">Example providers:</w:t>
      </w:r>
    </w:p>
    <w:p>
      <w:pPr>
        <w:pStyle w:val="Compact"/>
        <w:numPr>
          <w:ilvl w:val="0"/>
          <w:numId w:val="1003"/>
        </w:numPr>
      </w:pPr>
      <w:r>
        <w:t xml:space="preserve">IBM Granite</w:t>
      </w:r>
    </w:p>
    <w:p>
      <w:pPr>
        <w:pStyle w:val="Compact"/>
        <w:numPr>
          <w:ilvl w:val="0"/>
          <w:numId w:val="1003"/>
        </w:numPr>
      </w:pPr>
      <w:r>
        <w:t xml:space="preserve">GPT-OSS</w:t>
      </w:r>
    </w:p>
    <w:p>
      <w:pPr>
        <w:pStyle w:val="Compact"/>
        <w:numPr>
          <w:ilvl w:val="0"/>
          <w:numId w:val="1003"/>
        </w:numPr>
      </w:pPr>
      <w:r>
        <w:t xml:space="preserve">OpenAI</w:t>
      </w:r>
    </w:p>
    <w:p>
      <w:pPr>
        <w:pStyle w:val="Compact"/>
        <w:numPr>
          <w:ilvl w:val="0"/>
          <w:numId w:val="1003"/>
        </w:numPr>
      </w:pPr>
      <w:r>
        <w:t xml:space="preserve">Anthropic Claude</w:t>
      </w:r>
    </w:p>
    <w:p>
      <w:pPr>
        <w:pStyle w:val="Compact"/>
        <w:numPr>
          <w:ilvl w:val="0"/>
          <w:numId w:val="1003"/>
        </w:numPr>
      </w:pPr>
      <w:r>
        <w:t xml:space="preserve">Gemini</w:t>
      </w:r>
    </w:p>
    <w:p>
      <w:pPr>
        <w:pStyle w:val="Compact"/>
        <w:numPr>
          <w:ilvl w:val="0"/>
          <w:numId w:val="1003"/>
        </w:numPr>
      </w:pPr>
      <w:r>
        <w:t xml:space="preserve">Ollama-hosted models</w:t>
      </w:r>
    </w:p>
    <w:p>
      <w:pPr>
        <w:pStyle w:val="Compact"/>
        <w:numPr>
          <w:ilvl w:val="0"/>
          <w:numId w:val="1003"/>
        </w:numPr>
      </w:pPr>
      <w:r>
        <w:t xml:space="preserve">Future enterprise models</w:t>
      </w:r>
    </w:p>
    <w:p>
      <w:pPr>
        <w:pStyle w:val="FirstParagraph"/>
      </w:pPr>
      <w:r>
        <w:t xml:space="preserve">Adding a new LLM provider should require implementing the provider interface without changing orchestration logic.</w:t>
      </w:r>
    </w:p>
    <w:p>
      <w:r>
        <w:pict>
          <v:rect style="width:0;height:1.5pt" o:hralign="center" o:hrstd="t" o:hr="t"/>
        </w:pict>
      </w:r>
    </w:p>
    <w:bookmarkEnd w:id="21"/>
    <w:bookmarkStart w:id="22" w:name="intelligent-planner-agent"/>
    <w:p>
      <w:pPr>
        <w:pStyle w:val="Heading2"/>
      </w:pPr>
      <w:r>
        <w:t xml:space="preserve">Intelligent Planner Agent</w:t>
      </w:r>
    </w:p>
    <w:p>
      <w:pPr>
        <w:pStyle w:val="FirstParagraph"/>
      </w:pPr>
      <w:r>
        <w:t xml:space="preserve">Every user request must first be analyzed by a lightweight Planner Agent.</w:t>
      </w:r>
    </w:p>
    <w:p>
      <w:pPr>
        <w:pStyle w:val="BodyText"/>
      </w:pPr>
      <w:r>
        <w:t xml:space="preserve">The Planner Agent is responsible for:</w:t>
      </w:r>
    </w:p>
    <w:p>
      <w:pPr>
        <w:pStyle w:val="Compact"/>
        <w:numPr>
          <w:ilvl w:val="0"/>
          <w:numId w:val="1004"/>
        </w:numPr>
      </w:pPr>
      <w:r>
        <w:t xml:space="preserve">Understanding user intent</w:t>
      </w:r>
    </w:p>
    <w:p>
      <w:pPr>
        <w:pStyle w:val="Compact"/>
        <w:numPr>
          <w:ilvl w:val="0"/>
          <w:numId w:val="1004"/>
        </w:numPr>
      </w:pPr>
      <w:r>
        <w:t xml:space="preserve">Detecting request complexity</w:t>
      </w:r>
    </w:p>
    <w:p>
      <w:pPr>
        <w:pStyle w:val="Compact"/>
        <w:numPr>
          <w:ilvl w:val="0"/>
          <w:numId w:val="1004"/>
        </w:numPr>
      </w:pPr>
      <w:r>
        <w:t xml:space="preserve">Identifying required tools</w:t>
      </w:r>
    </w:p>
    <w:p>
      <w:pPr>
        <w:pStyle w:val="Compact"/>
        <w:numPr>
          <w:ilvl w:val="0"/>
          <w:numId w:val="1004"/>
        </w:numPr>
      </w:pPr>
      <w:r>
        <w:t xml:space="preserve">Determining whether SQL generation is required</w:t>
      </w:r>
    </w:p>
    <w:p>
      <w:pPr>
        <w:pStyle w:val="Compact"/>
        <w:numPr>
          <w:ilvl w:val="0"/>
          <w:numId w:val="1004"/>
        </w:numPr>
      </w:pPr>
      <w:r>
        <w:t xml:space="preserve">Determining whether document retrieval (RAG) is required</w:t>
      </w:r>
    </w:p>
    <w:p>
      <w:pPr>
        <w:pStyle w:val="Compact"/>
        <w:numPr>
          <w:ilvl w:val="0"/>
          <w:numId w:val="1004"/>
        </w:numPr>
      </w:pPr>
      <w:r>
        <w:t xml:space="preserve">Determining whether multiple agents are required</w:t>
      </w:r>
    </w:p>
    <w:p>
      <w:pPr>
        <w:pStyle w:val="Compact"/>
        <w:numPr>
          <w:ilvl w:val="0"/>
          <w:numId w:val="1004"/>
        </w:numPr>
      </w:pPr>
      <w:r>
        <w:t xml:space="preserve">Estimating token usage</w:t>
      </w:r>
    </w:p>
    <w:p>
      <w:pPr>
        <w:pStyle w:val="Compact"/>
        <w:numPr>
          <w:ilvl w:val="0"/>
          <w:numId w:val="1004"/>
        </w:numPr>
      </w:pPr>
      <w:r>
        <w:t xml:space="preserve">Estimating execution cost</w:t>
      </w:r>
    </w:p>
    <w:p>
      <w:pPr>
        <w:pStyle w:val="Compact"/>
        <w:numPr>
          <w:ilvl w:val="0"/>
          <w:numId w:val="1004"/>
        </w:numPr>
      </w:pPr>
      <w:r>
        <w:t xml:space="preserve">Selecting the most appropriate execution strategy</w:t>
      </w:r>
    </w:p>
    <w:p>
      <w:pPr>
        <w:pStyle w:val="FirstParagraph"/>
      </w:pPr>
      <w:r>
        <w:t xml:space="preserve">The Planner should never assume that the most powerful LLM is required.</w:t>
      </w:r>
    </w:p>
    <w:p>
      <w:r>
        <w:pict>
          <v:rect style="width:0;height:1.5pt" o:hralign="center" o:hrstd="t" o:hr="t"/>
        </w:pict>
      </w:r>
    </w:p>
    <w:bookmarkEnd w:id="22"/>
    <w:bookmarkStart w:id="23" w:name="intelligent-model-router"/>
    <w:p>
      <w:pPr>
        <w:pStyle w:val="Heading2"/>
      </w:pPr>
      <w:r>
        <w:t xml:space="preserve">Intelligent Model Router</w:t>
      </w:r>
    </w:p>
    <w:p>
      <w:pPr>
        <w:pStyle w:val="FirstParagraph"/>
      </w:pPr>
      <w:r>
        <w:t xml:space="preserve">Implement a dedicated Model Routing Engine.</w:t>
      </w:r>
    </w:p>
    <w:p>
      <w:pPr>
        <w:pStyle w:val="BodyText"/>
      </w:pPr>
      <w:r>
        <w:t xml:space="preserve">The router should select the optimal model based on multiple criteria instead of always choosing a premium model.</w:t>
      </w:r>
    </w:p>
    <w:p>
      <w:pPr>
        <w:pStyle w:val="BodyText"/>
      </w:pPr>
      <w:r>
        <w:t xml:space="preserve">Routing criteria include:</w:t>
      </w:r>
    </w:p>
    <w:p>
      <w:pPr>
        <w:pStyle w:val="Compact"/>
        <w:numPr>
          <w:ilvl w:val="0"/>
          <w:numId w:val="1005"/>
        </w:numPr>
      </w:pPr>
      <w:r>
        <w:t xml:space="preserve">Request complexity</w:t>
      </w:r>
    </w:p>
    <w:p>
      <w:pPr>
        <w:pStyle w:val="Compact"/>
        <w:numPr>
          <w:ilvl w:val="0"/>
          <w:numId w:val="1005"/>
        </w:numPr>
      </w:pPr>
      <w:r>
        <w:t xml:space="preserve">Required reasoning capability</w:t>
      </w:r>
    </w:p>
    <w:p>
      <w:pPr>
        <w:pStyle w:val="Compact"/>
        <w:numPr>
          <w:ilvl w:val="0"/>
          <w:numId w:val="1005"/>
        </w:numPr>
      </w:pPr>
      <w:r>
        <w:t xml:space="preserve">SQL generation</w:t>
      </w:r>
    </w:p>
    <w:p>
      <w:pPr>
        <w:pStyle w:val="Compact"/>
        <w:numPr>
          <w:ilvl w:val="0"/>
          <w:numId w:val="1005"/>
        </w:numPr>
      </w:pPr>
      <w:r>
        <w:t xml:space="preserve">Long-context requirements</w:t>
      </w:r>
    </w:p>
    <w:p>
      <w:pPr>
        <w:pStyle w:val="Compact"/>
        <w:numPr>
          <w:ilvl w:val="0"/>
          <w:numId w:val="1005"/>
        </w:numPr>
      </w:pPr>
      <w:r>
        <w:t xml:space="preserve">RAG requirements</w:t>
      </w:r>
    </w:p>
    <w:p>
      <w:pPr>
        <w:pStyle w:val="Compact"/>
        <w:numPr>
          <w:ilvl w:val="0"/>
          <w:numId w:val="1005"/>
        </w:numPr>
      </w:pPr>
      <w:r>
        <w:t xml:space="preserve">Vision requirements</w:t>
      </w:r>
    </w:p>
    <w:p>
      <w:pPr>
        <w:pStyle w:val="Compact"/>
        <w:numPr>
          <w:ilvl w:val="0"/>
          <w:numId w:val="1005"/>
        </w:numPr>
      </w:pPr>
      <w:r>
        <w:t xml:space="preserve">Governance policies</w:t>
      </w:r>
    </w:p>
    <w:p>
      <w:pPr>
        <w:pStyle w:val="Compact"/>
        <w:numPr>
          <w:ilvl w:val="0"/>
          <w:numId w:val="1005"/>
        </w:numPr>
      </w:pPr>
      <w:r>
        <w:t xml:space="preserve">Estimated token count</w:t>
      </w:r>
    </w:p>
    <w:p>
      <w:pPr>
        <w:pStyle w:val="Compact"/>
        <w:numPr>
          <w:ilvl w:val="0"/>
          <w:numId w:val="1005"/>
        </w:numPr>
      </w:pPr>
      <w:r>
        <w:t xml:space="preserve">Latency</w:t>
      </w:r>
    </w:p>
    <w:p>
      <w:pPr>
        <w:pStyle w:val="Compact"/>
        <w:numPr>
          <w:ilvl w:val="0"/>
          <w:numId w:val="1005"/>
        </w:numPr>
      </w:pPr>
      <w:r>
        <w:t xml:space="preserve">Cost budget</w:t>
      </w:r>
    </w:p>
    <w:p>
      <w:pPr>
        <w:pStyle w:val="Compact"/>
        <w:numPr>
          <w:ilvl w:val="0"/>
          <w:numId w:val="1005"/>
        </w:numPr>
      </w:pPr>
      <w:r>
        <w:t xml:space="preserve">User permissions</w:t>
      </w:r>
    </w:p>
    <w:p>
      <w:pPr>
        <w:pStyle w:val="FirstParagraph"/>
      </w:pPr>
      <w:r>
        <w:t xml:space="preserve">Example routing strategy:</w:t>
      </w:r>
    </w:p>
    <w:p>
      <w:pPr>
        <w:pStyle w:val="Compact"/>
        <w:numPr>
          <w:ilvl w:val="0"/>
          <w:numId w:val="1006"/>
        </w:numPr>
      </w:pPr>
      <w:r>
        <w:t xml:space="preserve">Simple SQL generation → Local/Open Model (e.g., GPT-OSS)</w:t>
      </w:r>
    </w:p>
    <w:p>
      <w:pPr>
        <w:pStyle w:val="Compact"/>
        <w:numPr>
          <w:ilvl w:val="0"/>
          <w:numId w:val="1006"/>
        </w:numPr>
      </w:pPr>
      <w:r>
        <w:t xml:space="preserve">Simple document summarization → Local/Open Model</w:t>
      </w:r>
    </w:p>
    <w:p>
      <w:pPr>
        <w:pStyle w:val="Compact"/>
        <w:numPr>
          <w:ilvl w:val="0"/>
          <w:numId w:val="1006"/>
        </w:numPr>
      </w:pPr>
      <w:r>
        <w:t xml:space="preserve">Metadata analysis → Local/Open Model</w:t>
      </w:r>
    </w:p>
    <w:p>
      <w:pPr>
        <w:pStyle w:val="Compact"/>
        <w:numPr>
          <w:ilvl w:val="0"/>
          <w:numId w:val="1006"/>
        </w:numPr>
      </w:pPr>
      <w:r>
        <w:t xml:space="preserve">Complex multi-step reasoning → Premium Model</w:t>
      </w:r>
    </w:p>
    <w:p>
      <w:pPr>
        <w:pStyle w:val="Compact"/>
        <w:numPr>
          <w:ilvl w:val="0"/>
          <w:numId w:val="1006"/>
        </w:numPr>
      </w:pPr>
      <w:r>
        <w:t xml:space="preserve">Vision tasks → Vision-capable Model</w:t>
      </w:r>
    </w:p>
    <w:p>
      <w:pPr>
        <w:pStyle w:val="Compact"/>
        <w:numPr>
          <w:ilvl w:val="0"/>
          <w:numId w:val="1006"/>
        </w:numPr>
      </w:pPr>
      <w:r>
        <w:t xml:space="preserve">Sensitive enterprise data → Approved enterprise model only</w:t>
      </w:r>
    </w:p>
    <w:p>
      <w:pPr>
        <w:pStyle w:val="FirstParagraph"/>
      </w:pPr>
      <w:r>
        <w:t xml:space="preserve">The routing decision should be dynamic and configurable.</w:t>
      </w:r>
    </w:p>
    <w:p>
      <w:r>
        <w:pict>
          <v:rect style="width:0;height:1.5pt" o:hralign="center" o:hrstd="t" o:hr="t"/>
        </w:pict>
      </w:r>
    </w:p>
    <w:bookmarkEnd w:id="23"/>
    <w:bookmarkStart w:id="24" w:name="governance-policy-engine"/>
    <w:p>
      <w:pPr>
        <w:pStyle w:val="Heading2"/>
      </w:pPr>
      <w:r>
        <w:t xml:space="preserve">Governance &amp; Policy Engine</w:t>
      </w:r>
    </w:p>
    <w:p>
      <w:pPr>
        <w:pStyle w:val="FirstParagraph"/>
      </w:pPr>
      <w:r>
        <w:t xml:space="preserve">Introduce a Policy Engine that participates in every routing decision.</w:t>
      </w:r>
    </w:p>
    <w:p>
      <w:pPr>
        <w:pStyle w:val="BodyText"/>
      </w:pPr>
      <w:r>
        <w:t xml:space="preserve">The Policy Engine should evaluate:</w:t>
      </w:r>
    </w:p>
    <w:p>
      <w:pPr>
        <w:pStyle w:val="Compact"/>
        <w:numPr>
          <w:ilvl w:val="0"/>
          <w:numId w:val="1007"/>
        </w:numPr>
      </w:pPr>
      <w:r>
        <w:t xml:space="preserve">Data classification</w:t>
      </w:r>
    </w:p>
    <w:p>
      <w:pPr>
        <w:pStyle w:val="Compact"/>
        <w:numPr>
          <w:ilvl w:val="0"/>
          <w:numId w:val="1007"/>
        </w:numPr>
      </w:pPr>
      <w:r>
        <w:t xml:space="preserve">PII detection</w:t>
      </w:r>
    </w:p>
    <w:p>
      <w:pPr>
        <w:pStyle w:val="Compact"/>
        <w:numPr>
          <w:ilvl w:val="0"/>
          <w:numId w:val="1007"/>
        </w:numPr>
      </w:pPr>
      <w:r>
        <w:t xml:space="preserve">Confidentiality level</w:t>
      </w:r>
    </w:p>
    <w:p>
      <w:pPr>
        <w:pStyle w:val="Compact"/>
        <w:numPr>
          <w:ilvl w:val="0"/>
          <w:numId w:val="1007"/>
        </w:numPr>
      </w:pPr>
      <w:r>
        <w:t xml:space="preserve">Allowed models</w:t>
      </w:r>
    </w:p>
    <w:p>
      <w:pPr>
        <w:pStyle w:val="Compact"/>
        <w:numPr>
          <w:ilvl w:val="0"/>
          <w:numId w:val="1007"/>
        </w:numPr>
      </w:pPr>
      <w:r>
        <w:t xml:space="preserve">Cost budget</w:t>
      </w:r>
    </w:p>
    <w:p>
      <w:pPr>
        <w:pStyle w:val="Compact"/>
        <w:numPr>
          <w:ilvl w:val="0"/>
          <w:numId w:val="1007"/>
        </w:numPr>
      </w:pPr>
      <w:r>
        <w:t xml:space="preserve">Maximum latency</w:t>
      </w:r>
    </w:p>
    <w:p>
      <w:pPr>
        <w:pStyle w:val="Compact"/>
        <w:numPr>
          <w:ilvl w:val="0"/>
          <w:numId w:val="1007"/>
        </w:numPr>
      </w:pPr>
      <w:r>
        <w:t xml:space="preserve">User authorization</w:t>
      </w:r>
    </w:p>
    <w:p>
      <w:pPr>
        <w:pStyle w:val="Compact"/>
        <w:numPr>
          <w:ilvl w:val="0"/>
          <w:numId w:val="1007"/>
        </w:numPr>
      </w:pPr>
      <w:r>
        <w:t xml:space="preserve">Compliance rules</w:t>
      </w:r>
    </w:p>
    <w:p>
      <w:pPr>
        <w:pStyle w:val="Compact"/>
        <w:numPr>
          <w:ilvl w:val="0"/>
          <w:numId w:val="1007"/>
        </w:numPr>
      </w:pPr>
      <w:r>
        <w:t xml:space="preserve">Audit logging requirements</w:t>
      </w:r>
    </w:p>
    <w:p>
      <w:pPr>
        <w:pStyle w:val="FirstParagraph"/>
      </w:pPr>
      <w:r>
        <w:t xml:space="preserve">The final model selection should satisfy both technical capability and governance policies.</w:t>
      </w:r>
    </w:p>
    <w:p>
      <w:r>
        <w:pict>
          <v:rect style="width:0;height:1.5pt" o:hralign="center" o:hrstd="t" o:hr="t"/>
        </w:pict>
      </w:r>
    </w:p>
    <w:bookmarkEnd w:id="24"/>
    <w:bookmarkStart w:id="25" w:name="capability-registry"/>
    <w:p>
      <w:pPr>
        <w:pStyle w:val="Heading2"/>
      </w:pPr>
      <w:r>
        <w:t xml:space="preserve">Capability Registry</w:t>
      </w:r>
    </w:p>
    <w:p>
      <w:pPr>
        <w:pStyle w:val="FirstParagraph"/>
      </w:pPr>
      <w:r>
        <w:t xml:space="preserve">Instead of hardcoding model names, implement a Capability Registry.</w:t>
      </w:r>
    </w:p>
    <w:p>
      <w:pPr>
        <w:pStyle w:val="BodyText"/>
      </w:pPr>
      <w:r>
        <w:t xml:space="preserve">Each registered model should advertise capabilities such as:</w:t>
      </w:r>
    </w:p>
    <w:p>
      <w:pPr>
        <w:pStyle w:val="Compact"/>
        <w:numPr>
          <w:ilvl w:val="0"/>
          <w:numId w:val="1008"/>
        </w:numPr>
      </w:pPr>
      <w:r>
        <w:t xml:space="preserve">SQL Generation</w:t>
      </w:r>
    </w:p>
    <w:p>
      <w:pPr>
        <w:pStyle w:val="Compact"/>
        <w:numPr>
          <w:ilvl w:val="0"/>
          <w:numId w:val="1008"/>
        </w:numPr>
      </w:pPr>
      <w:r>
        <w:t xml:space="preserve">Function Calling</w:t>
      </w:r>
    </w:p>
    <w:p>
      <w:pPr>
        <w:pStyle w:val="Compact"/>
        <w:numPr>
          <w:ilvl w:val="0"/>
          <w:numId w:val="1008"/>
        </w:numPr>
      </w:pPr>
      <w:r>
        <w:t xml:space="preserve">Structured Output</w:t>
      </w:r>
    </w:p>
    <w:p>
      <w:pPr>
        <w:pStyle w:val="Compact"/>
        <w:numPr>
          <w:ilvl w:val="0"/>
          <w:numId w:val="1008"/>
        </w:numPr>
      </w:pPr>
      <w:r>
        <w:t xml:space="preserve">Long Context</w:t>
      </w:r>
    </w:p>
    <w:p>
      <w:pPr>
        <w:pStyle w:val="Compact"/>
        <w:numPr>
          <w:ilvl w:val="0"/>
          <w:numId w:val="1008"/>
        </w:numPr>
      </w:pPr>
      <w:r>
        <w:t xml:space="preserve">Vision</w:t>
      </w:r>
    </w:p>
    <w:p>
      <w:pPr>
        <w:pStyle w:val="Compact"/>
        <w:numPr>
          <w:ilvl w:val="0"/>
          <w:numId w:val="1008"/>
        </w:numPr>
      </w:pPr>
      <w:r>
        <w:t xml:space="preserve">Code Generation</w:t>
      </w:r>
    </w:p>
    <w:p>
      <w:pPr>
        <w:pStyle w:val="Compact"/>
        <w:numPr>
          <w:ilvl w:val="0"/>
          <w:numId w:val="1008"/>
        </w:numPr>
      </w:pPr>
      <w:r>
        <w:t xml:space="preserve">Multi-step Reasoning</w:t>
      </w:r>
    </w:p>
    <w:p>
      <w:pPr>
        <w:pStyle w:val="Compact"/>
        <w:numPr>
          <w:ilvl w:val="0"/>
          <w:numId w:val="1008"/>
        </w:numPr>
      </w:pPr>
      <w:r>
        <w:t xml:space="preserve">RAG Support</w:t>
      </w:r>
    </w:p>
    <w:p>
      <w:pPr>
        <w:pStyle w:val="Compact"/>
        <w:numPr>
          <w:ilvl w:val="0"/>
          <w:numId w:val="1008"/>
        </w:numPr>
      </w:pPr>
      <w:r>
        <w:t xml:space="preserve">Maximum Context Window</w:t>
      </w:r>
    </w:p>
    <w:p>
      <w:pPr>
        <w:pStyle w:val="Compact"/>
        <w:numPr>
          <w:ilvl w:val="0"/>
          <w:numId w:val="1008"/>
        </w:numPr>
      </w:pPr>
      <w:r>
        <w:t xml:space="preserve">Estimated Cost</w:t>
      </w:r>
    </w:p>
    <w:p>
      <w:pPr>
        <w:pStyle w:val="Compact"/>
        <w:numPr>
          <w:ilvl w:val="0"/>
          <w:numId w:val="1008"/>
        </w:numPr>
      </w:pPr>
      <w:r>
        <w:t xml:space="preserve">Estimated Latency</w:t>
      </w:r>
    </w:p>
    <w:p>
      <w:pPr>
        <w:pStyle w:val="FirstParagraph"/>
      </w:pPr>
      <w:r>
        <w:t xml:space="preserve">The Planner should select models based on capabilities rather than provider names.</w:t>
      </w:r>
    </w:p>
    <w:p>
      <w:r>
        <w:pict>
          <v:rect style="width:0;height:1.5pt" o:hralign="center" o:hrstd="t" o:hr="t"/>
        </w:pict>
      </w:r>
    </w:p>
    <w:bookmarkEnd w:id="25"/>
    <w:bookmarkStart w:id="28" w:name="connector-based-architecture"/>
    <w:p>
      <w:pPr>
        <w:pStyle w:val="Heading2"/>
      </w:pPr>
      <w:r>
        <w:t xml:space="preserve">Connector-Based Architecture</w:t>
      </w:r>
    </w:p>
    <w:p>
      <w:pPr>
        <w:pStyle w:val="FirstParagraph"/>
      </w:pPr>
      <w:r>
        <w:t xml:space="preserve">The platform should support plug-in connectors for enterprise systems.</w:t>
      </w:r>
    </w:p>
    <w:bookmarkStart w:id="26" w:name="database-connectors"/>
    <w:p>
      <w:pPr>
        <w:pStyle w:val="Heading3"/>
      </w:pPr>
      <w:r>
        <w:t xml:space="preserve">Database Connectors</w:t>
      </w:r>
    </w:p>
    <w:p>
      <w:pPr>
        <w:pStyle w:val="FirstParagraph"/>
      </w:pPr>
      <w:r>
        <w:t xml:space="preserve">Implement a common database interface supporting:</w:t>
      </w:r>
    </w:p>
    <w:p>
      <w:pPr>
        <w:pStyle w:val="Compact"/>
        <w:numPr>
          <w:ilvl w:val="0"/>
          <w:numId w:val="1009"/>
        </w:numPr>
      </w:pPr>
      <w:r>
        <w:t xml:space="preserve">SQLite (Demo)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p>
      <w:pPr>
        <w:pStyle w:val="Compact"/>
        <w:numPr>
          <w:ilvl w:val="0"/>
          <w:numId w:val="1009"/>
        </w:numPr>
      </w:pPr>
      <w:r>
        <w:t xml:space="preserve">SQL Server</w:t>
      </w:r>
    </w:p>
    <w:p>
      <w:pPr>
        <w:pStyle w:val="Compact"/>
        <w:numPr>
          <w:ilvl w:val="0"/>
          <w:numId w:val="1009"/>
        </w:numPr>
      </w:pPr>
      <w:r>
        <w:t xml:space="preserve">Oracle</w:t>
      </w:r>
    </w:p>
    <w:p>
      <w:pPr>
        <w:pStyle w:val="Compact"/>
        <w:numPr>
          <w:ilvl w:val="0"/>
          <w:numId w:val="1009"/>
        </w:numPr>
      </w:pPr>
      <w:r>
        <w:t xml:space="preserve">Snowflake</w:t>
      </w:r>
    </w:p>
    <w:p>
      <w:pPr>
        <w:pStyle w:val="Compact"/>
        <w:numPr>
          <w:ilvl w:val="0"/>
          <w:numId w:val="1009"/>
        </w:numPr>
      </w:pPr>
      <w:r>
        <w:t xml:space="preserve">DB2</w:t>
      </w:r>
    </w:p>
    <w:p>
      <w:pPr>
        <w:pStyle w:val="Compact"/>
        <w:numPr>
          <w:ilvl w:val="0"/>
          <w:numId w:val="1009"/>
        </w:numPr>
      </w:pPr>
      <w:r>
        <w:t xml:space="preserve">MySQL</w:t>
      </w:r>
    </w:p>
    <w:p>
      <w:pPr>
        <w:pStyle w:val="Compact"/>
        <w:numPr>
          <w:ilvl w:val="0"/>
          <w:numId w:val="1009"/>
        </w:numPr>
      </w:pPr>
      <w:r>
        <w:t xml:space="preserve">DuckDB</w:t>
      </w:r>
    </w:p>
    <w:p>
      <w:pPr>
        <w:pStyle w:val="Compact"/>
        <w:numPr>
          <w:ilvl w:val="0"/>
          <w:numId w:val="1009"/>
        </w:numPr>
      </w:pPr>
      <w:r>
        <w:t xml:space="preserve">Databricks SQL</w:t>
      </w:r>
    </w:p>
    <w:p>
      <w:pPr>
        <w:pStyle w:val="FirstParagraph"/>
      </w:pPr>
      <w:r>
        <w:t xml:space="preserve">Switching databases should require configuration only.</w:t>
      </w:r>
    </w:p>
    <w:p>
      <w:r>
        <w:pict>
          <v:rect style="width:0;height:1.5pt" o:hralign="center" o:hrstd="t" o:hr="t"/>
        </w:pict>
      </w:r>
    </w:p>
    <w:bookmarkEnd w:id="26"/>
    <w:bookmarkStart w:id="27" w:name="storage-connectors"/>
    <w:p>
      <w:pPr>
        <w:pStyle w:val="Heading3"/>
      </w:pPr>
      <w:r>
        <w:t xml:space="preserve">Storage Connectors</w:t>
      </w:r>
    </w:p>
    <w:p>
      <w:pPr>
        <w:pStyle w:val="FirstParagraph"/>
      </w:pPr>
      <w:r>
        <w:t xml:space="preserve">Implement a common storage interface supporting:</w:t>
      </w:r>
    </w:p>
    <w:p>
      <w:pPr>
        <w:pStyle w:val="Compact"/>
        <w:numPr>
          <w:ilvl w:val="0"/>
          <w:numId w:val="1010"/>
        </w:numPr>
      </w:pPr>
      <w:r>
        <w:t xml:space="preserve">Local File System (Demo)</w:t>
      </w:r>
    </w:p>
    <w:p>
      <w:pPr>
        <w:pStyle w:val="Compact"/>
        <w:numPr>
          <w:ilvl w:val="0"/>
          <w:numId w:val="1010"/>
        </w:numPr>
      </w:pPr>
      <w:r>
        <w:t xml:space="preserve">Amazon S3</w:t>
      </w:r>
    </w:p>
    <w:p>
      <w:pPr>
        <w:pStyle w:val="Compact"/>
        <w:numPr>
          <w:ilvl w:val="0"/>
          <w:numId w:val="1010"/>
        </w:numPr>
      </w:pPr>
      <w:r>
        <w:t xml:space="preserve">Azure Blob Storage</w:t>
      </w:r>
    </w:p>
    <w:p>
      <w:pPr>
        <w:pStyle w:val="Compact"/>
        <w:numPr>
          <w:ilvl w:val="0"/>
          <w:numId w:val="1010"/>
        </w:numPr>
      </w:pPr>
      <w:r>
        <w:t xml:space="preserve">Google Cloud Storage</w:t>
      </w:r>
    </w:p>
    <w:p>
      <w:pPr>
        <w:pStyle w:val="Compact"/>
        <w:numPr>
          <w:ilvl w:val="0"/>
          <w:numId w:val="1010"/>
        </w:numPr>
      </w:pPr>
      <w:r>
        <w:t xml:space="preserve">IBM Cloud Object Storage</w:t>
      </w:r>
    </w:p>
    <w:p>
      <w:pPr>
        <w:pStyle w:val="Compact"/>
        <w:numPr>
          <w:ilvl w:val="0"/>
          <w:numId w:val="1010"/>
        </w:numPr>
      </w:pPr>
      <w:r>
        <w:t xml:space="preserve">SharePoint</w:t>
      </w:r>
    </w:p>
    <w:p>
      <w:pPr>
        <w:pStyle w:val="Compact"/>
        <w:numPr>
          <w:ilvl w:val="0"/>
          <w:numId w:val="1010"/>
        </w:numPr>
      </w:pPr>
      <w:r>
        <w:t xml:space="preserve">OneDrive</w:t>
      </w:r>
    </w:p>
    <w:p>
      <w:pPr>
        <w:pStyle w:val="FirstParagraph"/>
      </w:pPr>
      <w:r>
        <w:t xml:space="preserve">The orchestration layer should interact only with the storage abstraction.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ulti-agent-orchestration"/>
    <w:p>
      <w:pPr>
        <w:pStyle w:val="Heading2"/>
      </w:pPr>
      <w:r>
        <w:t xml:space="preserve">Multi-Agent Orchestration</w:t>
      </w:r>
    </w:p>
    <w:p>
      <w:pPr>
        <w:pStyle w:val="FirstParagraph"/>
      </w:pPr>
      <w:r>
        <w:t xml:space="preserve">The architecture should include specialized agents such as:</w:t>
      </w:r>
    </w:p>
    <w:p>
      <w:pPr>
        <w:pStyle w:val="Compact"/>
        <w:numPr>
          <w:ilvl w:val="0"/>
          <w:numId w:val="1011"/>
        </w:numPr>
      </w:pPr>
      <w:r>
        <w:t xml:space="preserve">Planner Agent</w:t>
      </w:r>
    </w:p>
    <w:p>
      <w:pPr>
        <w:pStyle w:val="Compact"/>
        <w:numPr>
          <w:ilvl w:val="0"/>
          <w:numId w:val="1011"/>
        </w:numPr>
      </w:pPr>
      <w:r>
        <w:t xml:space="preserve">Metadata Discovery Agent</w:t>
      </w:r>
    </w:p>
    <w:p>
      <w:pPr>
        <w:pStyle w:val="Compact"/>
        <w:numPr>
          <w:ilvl w:val="0"/>
          <w:numId w:val="1011"/>
        </w:numPr>
      </w:pPr>
      <w:r>
        <w:t xml:space="preserve">Semantic Schema Agent</w:t>
      </w:r>
    </w:p>
    <w:p>
      <w:pPr>
        <w:pStyle w:val="Compact"/>
        <w:numPr>
          <w:ilvl w:val="0"/>
          <w:numId w:val="1011"/>
        </w:numPr>
      </w:pPr>
      <w:r>
        <w:t xml:space="preserve">SQL Generation Agent</w:t>
      </w:r>
    </w:p>
    <w:p>
      <w:pPr>
        <w:pStyle w:val="Compact"/>
        <w:numPr>
          <w:ilvl w:val="0"/>
          <w:numId w:val="1011"/>
        </w:numPr>
      </w:pPr>
      <w:r>
        <w:t xml:space="preserve">SQL Validation Agent</w:t>
      </w:r>
    </w:p>
    <w:p>
      <w:pPr>
        <w:pStyle w:val="Compact"/>
        <w:numPr>
          <w:ilvl w:val="0"/>
          <w:numId w:val="1011"/>
        </w:numPr>
      </w:pPr>
      <w:r>
        <w:t xml:space="preserve">Database Execution Agent</w:t>
      </w:r>
    </w:p>
    <w:p>
      <w:pPr>
        <w:pStyle w:val="Compact"/>
        <w:numPr>
          <w:ilvl w:val="0"/>
          <w:numId w:val="1011"/>
        </w:numPr>
      </w:pPr>
      <w:r>
        <w:t xml:space="preserve">Document Retrieval Agent</w:t>
      </w:r>
    </w:p>
    <w:p>
      <w:pPr>
        <w:pStyle w:val="Compact"/>
        <w:numPr>
          <w:ilvl w:val="0"/>
          <w:numId w:val="1011"/>
        </w:numPr>
      </w:pPr>
      <w:r>
        <w:t xml:space="preserve">RAG Agent</w:t>
      </w:r>
    </w:p>
    <w:p>
      <w:pPr>
        <w:pStyle w:val="Compact"/>
        <w:numPr>
          <w:ilvl w:val="0"/>
          <w:numId w:val="1011"/>
        </w:numPr>
      </w:pPr>
      <w:r>
        <w:t xml:space="preserve">Business Glossary Agent</w:t>
      </w:r>
    </w:p>
    <w:p>
      <w:pPr>
        <w:pStyle w:val="Compact"/>
        <w:numPr>
          <w:ilvl w:val="0"/>
          <w:numId w:val="1011"/>
        </w:numPr>
      </w:pPr>
      <w:r>
        <w:t xml:space="preserve">Data Quality Agent</w:t>
      </w:r>
    </w:p>
    <w:p>
      <w:pPr>
        <w:pStyle w:val="Compact"/>
        <w:numPr>
          <w:ilvl w:val="0"/>
          <w:numId w:val="1011"/>
        </w:numPr>
      </w:pPr>
      <w:r>
        <w:t xml:space="preserve">Lineage Agent</w:t>
      </w:r>
    </w:p>
    <w:p>
      <w:pPr>
        <w:pStyle w:val="Compact"/>
        <w:numPr>
          <w:ilvl w:val="0"/>
          <w:numId w:val="1011"/>
        </w:numPr>
      </w:pPr>
      <w:r>
        <w:t xml:space="preserve">Migration &amp; Reconciliation Agent</w:t>
      </w:r>
    </w:p>
    <w:p>
      <w:pPr>
        <w:pStyle w:val="Compact"/>
        <w:numPr>
          <w:ilvl w:val="0"/>
          <w:numId w:val="1011"/>
        </w:numPr>
      </w:pPr>
      <w:r>
        <w:t xml:space="preserve">Response Synthesis Agent</w:t>
      </w:r>
    </w:p>
    <w:p>
      <w:pPr>
        <w:pStyle w:val="FirstParagraph"/>
      </w:pPr>
      <w:r>
        <w:t xml:space="preserve">Each agent should have a single responsibility and be independently extensible.</w:t>
      </w:r>
    </w:p>
    <w:p>
      <w:r>
        <w:pict>
          <v:rect style="width:0;height:1.5pt" o:hralign="center" o:hrstd="t" o:hr="t"/>
        </w:pict>
      </w:r>
    </w:p>
    <w:bookmarkEnd w:id="29"/>
    <w:bookmarkStart w:id="30" w:name="response-explainability"/>
    <w:p>
      <w:pPr>
        <w:pStyle w:val="Heading2"/>
      </w:pPr>
      <w:r>
        <w:t xml:space="preserve">Response Explainability</w:t>
      </w:r>
    </w:p>
    <w:p>
      <w:pPr>
        <w:pStyle w:val="FirstParagraph"/>
      </w:pPr>
      <w:r>
        <w:t xml:space="preserve">Every response should include an execution summary showing:</w:t>
      </w:r>
    </w:p>
    <w:p>
      <w:pPr>
        <w:pStyle w:val="Compact"/>
        <w:numPr>
          <w:ilvl w:val="0"/>
          <w:numId w:val="1012"/>
        </w:numPr>
      </w:pPr>
      <w:r>
        <w:t xml:space="preserve">Planner decision</w:t>
      </w:r>
    </w:p>
    <w:p>
      <w:pPr>
        <w:pStyle w:val="Compact"/>
        <w:numPr>
          <w:ilvl w:val="0"/>
          <w:numId w:val="1012"/>
        </w:numPr>
      </w:pPr>
      <w:r>
        <w:t xml:space="preserve">Selected agents</w:t>
      </w:r>
    </w:p>
    <w:p>
      <w:pPr>
        <w:pStyle w:val="Compact"/>
        <w:numPr>
          <w:ilvl w:val="0"/>
          <w:numId w:val="1012"/>
        </w:numPr>
      </w:pPr>
      <w:r>
        <w:t xml:space="preserve">Selected tools</w:t>
      </w:r>
    </w:p>
    <w:p>
      <w:pPr>
        <w:pStyle w:val="Compact"/>
        <w:numPr>
          <w:ilvl w:val="0"/>
          <w:numId w:val="1012"/>
        </w:numPr>
      </w:pPr>
      <w:r>
        <w:t xml:space="preserve">Selected database</w:t>
      </w:r>
    </w:p>
    <w:p>
      <w:pPr>
        <w:pStyle w:val="Compact"/>
        <w:numPr>
          <w:ilvl w:val="0"/>
          <w:numId w:val="1012"/>
        </w:numPr>
      </w:pPr>
      <w:r>
        <w:t xml:space="preserve">Selected storage connector</w:t>
      </w:r>
    </w:p>
    <w:p>
      <w:pPr>
        <w:pStyle w:val="Compact"/>
        <w:numPr>
          <w:ilvl w:val="0"/>
          <w:numId w:val="1012"/>
        </w:numPr>
      </w:pPr>
      <w:r>
        <w:t xml:space="preserve">Selected LLM</w:t>
      </w:r>
    </w:p>
    <w:p>
      <w:pPr>
        <w:pStyle w:val="Compact"/>
        <w:numPr>
          <w:ilvl w:val="0"/>
          <w:numId w:val="1012"/>
        </w:numPr>
      </w:pPr>
      <w:r>
        <w:t xml:space="preserve">Reason for model selection</w:t>
      </w:r>
    </w:p>
    <w:p>
      <w:pPr>
        <w:pStyle w:val="Compact"/>
        <w:numPr>
          <w:ilvl w:val="0"/>
          <w:numId w:val="1012"/>
        </w:numPr>
      </w:pPr>
      <w:r>
        <w:t xml:space="preserve">Estimated and actual cost</w:t>
      </w:r>
    </w:p>
    <w:p>
      <w:pPr>
        <w:pStyle w:val="Compact"/>
        <w:numPr>
          <w:ilvl w:val="0"/>
          <w:numId w:val="1012"/>
        </w:numPr>
      </w:pPr>
      <w:r>
        <w:t xml:space="preserve">Execution timeline</w:t>
      </w:r>
    </w:p>
    <w:p>
      <w:pPr>
        <w:pStyle w:val="Compact"/>
        <w:numPr>
          <w:ilvl w:val="0"/>
          <w:numId w:val="1012"/>
        </w:numPr>
      </w:pPr>
      <w:r>
        <w:t xml:space="preserve">Confidence score</w:t>
      </w:r>
    </w:p>
    <w:p>
      <w:pPr>
        <w:pStyle w:val="FirstParagraph"/>
      </w:pPr>
      <w:r>
        <w:t xml:space="preserve">This demonstrates transparency and enterprise trust.</w:t>
      </w:r>
    </w:p>
    <w:p>
      <w:r>
        <w:pict>
          <v:rect style="width:0;height:1.5pt" o:hralign="center" o:hrstd="t" o:hr="t"/>
        </w:pict>
      </w:r>
    </w:p>
    <w:bookmarkEnd w:id="30"/>
    <w:bookmarkStart w:id="31" w:name="key-innovation"/>
    <w:p>
      <w:pPr>
        <w:pStyle w:val="Heading2"/>
      </w:pPr>
      <w:r>
        <w:t xml:space="preserve">Key Innovation</w:t>
      </w:r>
    </w:p>
    <w:p>
      <w:pPr>
        <w:pStyle w:val="FirstParagraph"/>
      </w:pPr>
      <w:r>
        <w:t xml:space="preserve">The primary innovation of EIO is</w:t>
      </w:r>
      <w:r>
        <w:t xml:space="preserve"> </w:t>
      </w:r>
      <w:r>
        <w:rPr>
          <w:b/>
          <w:bCs/>
        </w:rPr>
        <w:t xml:space="preserve">intelligent orchestration</w:t>
      </w:r>
      <w:r>
        <w:t xml:space="preserve">, not simply LLM integration.</w:t>
      </w:r>
    </w:p>
    <w:p>
      <w:pPr>
        <w:pStyle w:val="BodyText"/>
      </w:pPr>
      <w:r>
        <w:t xml:space="preserve">Unlike traditional AI assistants that always invoke the same premium model, EIO dynamically determines whether a lightweight/open model is sufficient or whether a premium model is justified based on complexity, governance, cost, latency, and required capabilities.</w:t>
      </w:r>
    </w:p>
    <w:p>
      <w:pPr>
        <w:pStyle w:val="BodyText"/>
      </w:pPr>
      <w:r>
        <w:t xml:space="preserve">This enables enterprises to reduce AI costs, avoid vendor lock-in, improve governance, and build a future-ready AI platform capable of integrating new databases, storage systems, AI models, and specialized agents without architectural changes.</w:t>
      </w:r>
    </w:p>
    <w:p>
      <w:pPr>
        <w:pStyle w:val="BodyText"/>
      </w:pPr>
      <w:r>
        <w:t xml:space="preserve">Please update the architecture, sequence diagrams, component diagrams, implementation plan, and source code to incorporate these enhancements while keeping the MVP achievable within the hackathon timeline.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2026-07-10T09:21:12Z</dcterms:created>
  <dcterms:modified xsi:type="dcterms:W3CDTF">2026-07-10T09:21:12Z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