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2AB32" w14:textId="77777777" w:rsidR="009B552F" w:rsidRPr="009B552F" w:rsidRDefault="009B552F" w:rsidP="009B552F">
      <w:pPr>
        <w:pStyle w:val="Heading1"/>
        <w:jc w:val="center"/>
      </w:pPr>
      <w:r w:rsidRPr="009B552F">
        <w:t>Global Education Dashboard Report</w:t>
      </w:r>
    </w:p>
    <w:p w14:paraId="61BF4622" w14:textId="4842A761" w:rsidR="009B552F" w:rsidRDefault="009B552F" w:rsidP="009B552F">
      <w:r w:rsidRPr="009B552F">
        <w:t xml:space="preserve">The dataset visualized in the dashboard focuses on global education metrics, including literacy rates, out-of-school rates, </w:t>
      </w:r>
      <w:r w:rsidRPr="009B552F">
        <w:t>enrolment</w:t>
      </w:r>
      <w:r w:rsidRPr="009B552F">
        <w:t xml:space="preserve"> data, and other key education-related statistics. </w:t>
      </w:r>
    </w:p>
    <w:p w14:paraId="70EE5F9F" w14:textId="613C4F68" w:rsidR="009B552F" w:rsidRPr="009B552F" w:rsidRDefault="009B552F" w:rsidP="009B552F">
      <w:pPr>
        <w:rPr>
          <w:u w:val="single"/>
        </w:rPr>
      </w:pPr>
      <w:r w:rsidRPr="009B552F">
        <w:rPr>
          <w:u w:val="single"/>
        </w:rPr>
        <w:t>Below is a breakdown of the metrics and insights represented in the dashboard:</w:t>
      </w:r>
    </w:p>
    <w:p w14:paraId="03D75B64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>Total Number of Countries Represented:</w:t>
      </w:r>
    </w:p>
    <w:p w14:paraId="77D9ABEB" w14:textId="1234C5D5" w:rsidR="009B552F" w:rsidRPr="009B552F" w:rsidRDefault="009B552F" w:rsidP="0031048C">
      <w:pPr>
        <w:ind w:left="720"/>
      </w:pPr>
      <w:r w:rsidRPr="009B552F">
        <w:t xml:space="preserve">The dataset includes data from </w:t>
      </w:r>
      <w:r w:rsidRPr="009B552F">
        <w:rPr>
          <w:b/>
          <w:bCs/>
        </w:rPr>
        <w:t>X countries</w:t>
      </w:r>
      <w:r w:rsidRPr="009B552F">
        <w:t xml:space="preserve">, showcasing educational statistics from regions worldwide. This provides a global view of literacy rates, </w:t>
      </w:r>
      <w:r w:rsidRPr="009B552F">
        <w:t>enrolment</w:t>
      </w:r>
      <w:r w:rsidRPr="009B552F">
        <w:t>, and educational outcomes across different regions.</w:t>
      </w:r>
    </w:p>
    <w:p w14:paraId="74A55718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>Average Youth Literacy Rate (Male: 78.4%, Female: 72.6%):</w:t>
      </w:r>
    </w:p>
    <w:p w14:paraId="060B3653" w14:textId="77777777" w:rsidR="009B552F" w:rsidRPr="009B552F" w:rsidRDefault="009B552F" w:rsidP="0031048C">
      <w:pPr>
        <w:ind w:left="720"/>
      </w:pPr>
      <w:r w:rsidRPr="009B552F">
        <w:t xml:space="preserve">The dataset tracks literacy rates for youth aged 15-24 across countries. The </w:t>
      </w:r>
      <w:r w:rsidRPr="009B552F">
        <w:rPr>
          <w:b/>
          <w:bCs/>
        </w:rPr>
        <w:t>average literacy rate</w:t>
      </w:r>
      <w:r w:rsidRPr="009B552F">
        <w:t xml:space="preserve"> for males is 78.4%, and for females, it is 72.6%. This highlights the gender gap in youth literacy rates on a global scale, with males having a slightly higher literacy rate than females.</w:t>
      </w:r>
    </w:p>
    <w:p w14:paraId="772FB257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>Out-of-School Rate (OOSR) by Gender and Education Level:</w:t>
      </w:r>
    </w:p>
    <w:p w14:paraId="7BD9A98A" w14:textId="77777777" w:rsidR="009B552F" w:rsidRPr="009B552F" w:rsidRDefault="009B552F" w:rsidP="0031048C">
      <w:pPr>
        <w:ind w:left="720"/>
      </w:pPr>
      <w:r w:rsidRPr="009B552F">
        <w:rPr>
          <w:b/>
          <w:bCs/>
        </w:rPr>
        <w:t>Out-of-school rates</w:t>
      </w:r>
      <w:r w:rsidRPr="009B552F">
        <w:t xml:space="preserve"> are visualized for various educational levels (Pre-Primary, Primary, Lower Secondary, Upper Secondary). For instance, the </w:t>
      </w:r>
      <w:r w:rsidRPr="009B552F">
        <w:rPr>
          <w:b/>
          <w:bCs/>
        </w:rPr>
        <w:t>OOSR for Pre-Primary Education</w:t>
      </w:r>
      <w:r w:rsidRPr="009B552F">
        <w:t xml:space="preserve"> shows that boys are more likely to be out of school in countries like </w:t>
      </w:r>
      <w:r w:rsidRPr="009B552F">
        <w:rPr>
          <w:b/>
          <w:bCs/>
        </w:rPr>
        <w:t>Angola (31%)</w:t>
      </w:r>
      <w:r w:rsidRPr="009B552F">
        <w:t xml:space="preserve">, while girls show higher rates in </w:t>
      </w:r>
      <w:r w:rsidRPr="009B552F">
        <w:rPr>
          <w:b/>
          <w:bCs/>
        </w:rPr>
        <w:t>Albania (2%)</w:t>
      </w:r>
      <w:r w:rsidRPr="009B552F">
        <w:t>. The OOSR visual highlights disparities in school attendance across different regions and education levels.</w:t>
      </w:r>
    </w:p>
    <w:p w14:paraId="684A0FBD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lastRenderedPageBreak/>
        <w:t>Sum of Birth Rate by Country:</w:t>
      </w:r>
    </w:p>
    <w:p w14:paraId="7C4AA231" w14:textId="588555E6" w:rsidR="009B552F" w:rsidRPr="009B552F" w:rsidRDefault="009B552F" w:rsidP="0031048C">
      <w:pPr>
        <w:ind w:left="720"/>
      </w:pPr>
      <w:r w:rsidRPr="009B552F">
        <w:t xml:space="preserve">The dashboard tracks the </w:t>
      </w:r>
      <w:r w:rsidRPr="009B552F">
        <w:rPr>
          <w:b/>
          <w:bCs/>
        </w:rPr>
        <w:t>birth rate</w:t>
      </w:r>
      <w:r w:rsidRPr="009B552F">
        <w:t xml:space="preserve"> per country, which is an important factor influencing education </w:t>
      </w:r>
      <w:r w:rsidRPr="009B552F">
        <w:t>enrolment</w:t>
      </w:r>
      <w:r w:rsidRPr="009B552F">
        <w:t xml:space="preserve">. Countries with higher birth rates, such as </w:t>
      </w:r>
      <w:r w:rsidRPr="009B552F">
        <w:rPr>
          <w:b/>
          <w:bCs/>
        </w:rPr>
        <w:t>Angola (40.73)</w:t>
      </w:r>
      <w:r w:rsidRPr="009B552F">
        <w:t xml:space="preserve">, tend to face more significant challenges in managing education systems compared to countries with lower birth rates like </w:t>
      </w:r>
      <w:r w:rsidRPr="009B552F">
        <w:rPr>
          <w:b/>
          <w:bCs/>
        </w:rPr>
        <w:t>Andorra (7.2)</w:t>
      </w:r>
      <w:r w:rsidRPr="009B552F">
        <w:t>.</w:t>
      </w:r>
    </w:p>
    <w:p w14:paraId="563D3E84" w14:textId="5D869591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 xml:space="preserve">Gross Primary Education </w:t>
      </w:r>
      <w:r w:rsidRPr="009B552F">
        <w:t>Enrolment</w:t>
      </w:r>
      <w:r w:rsidRPr="009B552F">
        <w:t xml:space="preserve"> (Average: 108.1%):</w:t>
      </w:r>
    </w:p>
    <w:p w14:paraId="06942C97" w14:textId="372C6976" w:rsidR="009B552F" w:rsidRPr="009B552F" w:rsidRDefault="009B552F" w:rsidP="0031048C">
      <w:pPr>
        <w:ind w:left="720"/>
      </w:pPr>
      <w:r w:rsidRPr="009B552F">
        <w:t xml:space="preserve">The </w:t>
      </w:r>
      <w:r w:rsidRPr="009B552F">
        <w:rPr>
          <w:b/>
          <w:bCs/>
        </w:rPr>
        <w:t xml:space="preserve">gross primary </w:t>
      </w:r>
      <w:r w:rsidRPr="009B552F">
        <w:rPr>
          <w:b/>
          <w:bCs/>
        </w:rPr>
        <w:t>enrolment</w:t>
      </w:r>
      <w:r w:rsidRPr="009B552F">
        <w:rPr>
          <w:b/>
          <w:bCs/>
        </w:rPr>
        <w:t xml:space="preserve"> rate</w:t>
      </w:r>
      <w:r w:rsidRPr="009B552F">
        <w:t xml:space="preserve"> measures the total </w:t>
      </w:r>
      <w:r w:rsidRPr="009B552F">
        <w:t>enrolment</w:t>
      </w:r>
      <w:r w:rsidRPr="009B552F">
        <w:t xml:space="preserve"> at the primary education level, including over-aged students. The global average is </w:t>
      </w:r>
      <w:r w:rsidRPr="009B552F">
        <w:rPr>
          <w:b/>
          <w:bCs/>
        </w:rPr>
        <w:t>108.1%</w:t>
      </w:r>
      <w:r w:rsidRPr="009B552F">
        <w:t xml:space="preserve">, indicating that many countries have near-universal primary education. Countries like </w:t>
      </w:r>
      <w:r w:rsidRPr="009B552F">
        <w:rPr>
          <w:b/>
          <w:bCs/>
        </w:rPr>
        <w:t>Algeria (109.9%)</w:t>
      </w:r>
      <w:r w:rsidRPr="009B552F">
        <w:t xml:space="preserve"> and </w:t>
      </w:r>
      <w:r w:rsidRPr="009B552F">
        <w:rPr>
          <w:b/>
          <w:bCs/>
        </w:rPr>
        <w:t>Albania (107.0%)</w:t>
      </w:r>
      <w:r w:rsidRPr="009B552F">
        <w:t xml:space="preserve"> have high primary </w:t>
      </w:r>
      <w:r w:rsidRPr="009B552F">
        <w:t>enrolment</w:t>
      </w:r>
      <w:r w:rsidRPr="009B552F">
        <w:t>, while the dashboard provides detailed insights into individual country performance.</w:t>
      </w:r>
    </w:p>
    <w:p w14:paraId="7D7F6023" w14:textId="71653851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 xml:space="preserve">Tertiary Education </w:t>
      </w:r>
      <w:r w:rsidRPr="009B552F">
        <w:t>Enrolment</w:t>
      </w:r>
      <w:r w:rsidRPr="009B552F">
        <w:t xml:space="preserve"> (Average: 31.7%):</w:t>
      </w:r>
    </w:p>
    <w:p w14:paraId="1A982344" w14:textId="50E4B25D" w:rsidR="009B552F" w:rsidRPr="009B552F" w:rsidRDefault="009B552F" w:rsidP="0031048C">
      <w:pPr>
        <w:ind w:left="720"/>
      </w:pPr>
      <w:r w:rsidRPr="009B552F">
        <w:t xml:space="preserve">The dashboard also includes </w:t>
      </w:r>
      <w:r w:rsidRPr="009B552F">
        <w:rPr>
          <w:b/>
          <w:bCs/>
        </w:rPr>
        <w:t xml:space="preserve">gross tertiary education </w:t>
      </w:r>
      <w:r w:rsidRPr="009B552F">
        <w:rPr>
          <w:b/>
          <w:bCs/>
        </w:rPr>
        <w:t>enrolment</w:t>
      </w:r>
      <w:r w:rsidRPr="009B552F">
        <w:t xml:space="preserve">, indicating access to higher education. For example, </w:t>
      </w:r>
      <w:r w:rsidRPr="009B552F">
        <w:rPr>
          <w:b/>
          <w:bCs/>
        </w:rPr>
        <w:t>Albania</w:t>
      </w:r>
      <w:r w:rsidRPr="009B552F">
        <w:t xml:space="preserve"> has a higher tertiary </w:t>
      </w:r>
      <w:r w:rsidRPr="009B552F">
        <w:t>enrolment</w:t>
      </w:r>
      <w:r w:rsidRPr="009B552F">
        <w:t xml:space="preserve"> rate (</w:t>
      </w:r>
      <w:r w:rsidRPr="009B552F">
        <w:rPr>
          <w:b/>
          <w:bCs/>
        </w:rPr>
        <w:t>55.0%</w:t>
      </w:r>
      <w:r w:rsidRPr="009B552F">
        <w:t xml:space="preserve">), while countries like </w:t>
      </w:r>
      <w:r w:rsidRPr="009B552F">
        <w:rPr>
          <w:b/>
          <w:bCs/>
        </w:rPr>
        <w:t>Angola (9.3%)</w:t>
      </w:r>
      <w:r w:rsidRPr="009B552F">
        <w:t xml:space="preserve"> have lower rates. This metric is key in understanding a country’s capacity for advancing education beyond secondary levels.</w:t>
      </w:r>
    </w:p>
    <w:p w14:paraId="598DA79E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>Youth Literacy Rate by Gender (15-24):</w:t>
      </w:r>
    </w:p>
    <w:p w14:paraId="2A642FEB" w14:textId="77777777" w:rsidR="009B552F" w:rsidRPr="009B552F" w:rsidRDefault="009B552F" w:rsidP="0031048C">
      <w:pPr>
        <w:ind w:left="720"/>
      </w:pPr>
      <w:r w:rsidRPr="009B552F">
        <w:t xml:space="preserve">The </w:t>
      </w:r>
      <w:r w:rsidRPr="009B552F">
        <w:rPr>
          <w:b/>
          <w:bCs/>
        </w:rPr>
        <w:t>literacy rates</w:t>
      </w:r>
      <w:r w:rsidRPr="009B552F">
        <w:t xml:space="preserve"> for youth aged 15-24 show clear gender gaps in some countries. For example, </w:t>
      </w:r>
      <w:r w:rsidRPr="009B552F">
        <w:rPr>
          <w:b/>
          <w:bCs/>
        </w:rPr>
        <w:t>Algeria</w:t>
      </w:r>
      <w:r w:rsidRPr="009B552F">
        <w:t xml:space="preserve"> has a male youth literacy rate of </w:t>
      </w:r>
      <w:r w:rsidRPr="009B552F">
        <w:rPr>
          <w:b/>
          <w:bCs/>
        </w:rPr>
        <w:t>98%</w:t>
      </w:r>
      <w:r w:rsidRPr="009B552F">
        <w:t xml:space="preserve">, while females are slightly lower at </w:t>
      </w:r>
      <w:r w:rsidRPr="009B552F">
        <w:rPr>
          <w:b/>
          <w:bCs/>
        </w:rPr>
        <w:t>97%</w:t>
      </w:r>
      <w:r w:rsidRPr="009B552F">
        <w:t>. This visualization allows users to track literacy rate improvements or challenges specific to gender across regions.</w:t>
      </w:r>
    </w:p>
    <w:p w14:paraId="608F03D7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>Sum of Unemployment Rate by Country:</w:t>
      </w:r>
    </w:p>
    <w:p w14:paraId="69933528" w14:textId="77777777" w:rsidR="009B552F" w:rsidRPr="009B552F" w:rsidRDefault="009B552F" w:rsidP="0031048C">
      <w:pPr>
        <w:ind w:left="720"/>
      </w:pPr>
      <w:r w:rsidRPr="009B552F">
        <w:t xml:space="preserve">This bar chart visualizes the </w:t>
      </w:r>
      <w:r w:rsidRPr="009B552F">
        <w:rPr>
          <w:b/>
          <w:bCs/>
        </w:rPr>
        <w:t>unemployment rate</w:t>
      </w:r>
      <w:r w:rsidRPr="009B552F">
        <w:t xml:space="preserve"> across different countries, which could be correlated with education levels. For instance, </w:t>
      </w:r>
      <w:r w:rsidRPr="009B552F">
        <w:rPr>
          <w:b/>
          <w:bCs/>
        </w:rPr>
        <w:t>Albania</w:t>
      </w:r>
      <w:r w:rsidRPr="009B552F">
        <w:t xml:space="preserve"> has an unemployment rate of </w:t>
      </w:r>
      <w:r w:rsidRPr="009B552F">
        <w:rPr>
          <w:b/>
          <w:bCs/>
        </w:rPr>
        <w:t>12.33%</w:t>
      </w:r>
      <w:r w:rsidRPr="009B552F">
        <w:t xml:space="preserve">, while countries like </w:t>
      </w:r>
      <w:r w:rsidRPr="009B552F">
        <w:rPr>
          <w:b/>
          <w:bCs/>
        </w:rPr>
        <w:t>Andorra</w:t>
      </w:r>
      <w:r w:rsidRPr="009B552F">
        <w:t xml:space="preserve"> report zero unemployment in the dataset. Understanding the relationship between education and unemployment can offer policy insights for improving employment outcomes.</w:t>
      </w:r>
    </w:p>
    <w:p w14:paraId="4F6B2881" w14:textId="77777777" w:rsidR="009B552F" w:rsidRPr="009B552F" w:rsidRDefault="009B552F" w:rsidP="009B552F">
      <w:pPr>
        <w:pStyle w:val="Heading2"/>
        <w:numPr>
          <w:ilvl w:val="0"/>
          <w:numId w:val="2"/>
        </w:numPr>
      </w:pPr>
      <w:r w:rsidRPr="009B552F">
        <w:t>Sum of Primary and Secondary Proficiency Rates by Region:</w:t>
      </w:r>
    </w:p>
    <w:p w14:paraId="5CFDC90F" w14:textId="77777777" w:rsidR="009B552F" w:rsidRPr="009B552F" w:rsidRDefault="009B552F" w:rsidP="0031048C">
      <w:pPr>
        <w:ind w:left="720"/>
      </w:pPr>
      <w:r w:rsidRPr="009B552F">
        <w:t xml:space="preserve">The dashboard includes </w:t>
      </w:r>
      <w:r w:rsidRPr="009B552F">
        <w:rPr>
          <w:b/>
          <w:bCs/>
        </w:rPr>
        <w:t>proficiency rates</w:t>
      </w:r>
      <w:r w:rsidRPr="009B552F">
        <w:t xml:space="preserve"> in reading and math at both the primary and lower secondary levels. For example, the average reading proficiency for </w:t>
      </w:r>
      <w:r w:rsidRPr="009B552F">
        <w:rPr>
          <w:b/>
          <w:bCs/>
        </w:rPr>
        <w:t>Afghanistan</w:t>
      </w:r>
      <w:r w:rsidRPr="009B552F">
        <w:t xml:space="preserve"> at the end of primary school is </w:t>
      </w:r>
      <w:r w:rsidRPr="009B552F">
        <w:rPr>
          <w:b/>
          <w:bCs/>
        </w:rPr>
        <w:t>13%</w:t>
      </w:r>
      <w:r w:rsidRPr="009B552F">
        <w:t xml:space="preserve">, while </w:t>
      </w:r>
      <w:r w:rsidRPr="009B552F">
        <w:rPr>
          <w:b/>
          <w:bCs/>
        </w:rPr>
        <w:t>Albania</w:t>
      </w:r>
      <w:r w:rsidRPr="009B552F">
        <w:t xml:space="preserve"> has higher lower-secondary proficiency levels, particularly in reading (</w:t>
      </w:r>
      <w:r w:rsidRPr="009B552F">
        <w:rPr>
          <w:b/>
          <w:bCs/>
        </w:rPr>
        <w:t>48%</w:t>
      </w:r>
      <w:r w:rsidRPr="009B552F">
        <w:t>).</w:t>
      </w:r>
    </w:p>
    <w:p w14:paraId="0F172962" w14:textId="16DAB0DC" w:rsidR="009B552F" w:rsidRPr="009B552F" w:rsidRDefault="009B552F" w:rsidP="00AB27DE">
      <w:pPr>
        <w:pStyle w:val="Heading2"/>
        <w:numPr>
          <w:ilvl w:val="0"/>
          <w:numId w:val="2"/>
        </w:numPr>
        <w:ind w:left="567"/>
      </w:pPr>
      <w:r w:rsidRPr="009B552F">
        <w:t xml:space="preserve">Gross Tertiary Education </w:t>
      </w:r>
      <w:r w:rsidRPr="009B552F">
        <w:t>Enrolment</w:t>
      </w:r>
      <w:r w:rsidRPr="009B552F">
        <w:t xml:space="preserve"> by Literacy Rate:</w:t>
      </w:r>
    </w:p>
    <w:p w14:paraId="4BA1F9BF" w14:textId="4B216A93" w:rsidR="009B552F" w:rsidRPr="005C6445" w:rsidRDefault="009B552F" w:rsidP="00D1730E">
      <w:pPr>
        <w:ind w:left="720"/>
      </w:pPr>
      <w:r w:rsidRPr="009B552F">
        <w:t xml:space="preserve">This chart explores the relationship between </w:t>
      </w:r>
      <w:r w:rsidRPr="009B552F">
        <w:rPr>
          <w:b/>
          <w:bCs/>
        </w:rPr>
        <w:t xml:space="preserve">gross tertiary </w:t>
      </w:r>
      <w:r w:rsidRPr="009B552F">
        <w:rPr>
          <w:b/>
          <w:bCs/>
        </w:rPr>
        <w:t>enrolment</w:t>
      </w:r>
      <w:r w:rsidRPr="009B552F">
        <w:t xml:space="preserve"> and youth literacy rates, helping users </w:t>
      </w:r>
      <w:r w:rsidRPr="009B552F">
        <w:t>analyse</w:t>
      </w:r>
      <w:r w:rsidRPr="009B552F">
        <w:t xml:space="preserve"> if higher literacy leads to better access to tertiary education. Countries like </w:t>
      </w:r>
      <w:r w:rsidRPr="009B552F">
        <w:rPr>
          <w:b/>
          <w:bCs/>
        </w:rPr>
        <w:t>Albania</w:t>
      </w:r>
      <w:r w:rsidRPr="009B552F">
        <w:t xml:space="preserve">, with high literacy rates and strong tertiary </w:t>
      </w:r>
      <w:r w:rsidRPr="009B552F">
        <w:t>enrolment</w:t>
      </w:r>
      <w:r w:rsidRPr="009B552F">
        <w:t xml:space="preserve">, provide a point of comparison with countries like </w:t>
      </w:r>
      <w:r w:rsidRPr="009B552F">
        <w:rPr>
          <w:b/>
          <w:bCs/>
        </w:rPr>
        <w:t>Angola</w:t>
      </w:r>
      <w:r w:rsidRPr="009B552F">
        <w:t>, where both metrics are lower.</w:t>
      </w:r>
    </w:p>
    <w:sectPr w:rsidR="009B552F" w:rsidRPr="005C6445" w:rsidSect="009B552F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366DC" w14:textId="77777777" w:rsidR="00FE7C03" w:rsidRDefault="00FE7C03" w:rsidP="009B552F">
      <w:pPr>
        <w:spacing w:after="0" w:line="240" w:lineRule="auto"/>
      </w:pPr>
      <w:r>
        <w:separator/>
      </w:r>
    </w:p>
  </w:endnote>
  <w:endnote w:type="continuationSeparator" w:id="0">
    <w:p w14:paraId="251F487C" w14:textId="77777777" w:rsidR="00FE7C03" w:rsidRDefault="00FE7C03" w:rsidP="009B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260"/>
      <w:gridCol w:w="698"/>
    </w:tblGrid>
    <w:tr w:rsidR="00C07165" w14:paraId="50F5D50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F41C5C17251479CA8DA1D3BCCAF84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FCE8F8" w14:textId="3BA5C41D" w:rsidR="00C07165" w:rsidRDefault="00C0716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Rohit KAVULURI</w:t>
              </w:r>
            </w:p>
          </w:sdtContent>
        </w:sdt>
      </w:tc>
      <w:tc>
        <w:tcPr>
          <w:tcW w:w="250" w:type="pct"/>
          <w:shd w:val="clear" w:color="auto" w:fill="9B57D3" w:themeFill="accent2"/>
          <w:vAlign w:val="center"/>
        </w:tcPr>
        <w:p w14:paraId="6582409E" w14:textId="77777777" w:rsidR="00C07165" w:rsidRDefault="00C0716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485CDB4" w14:textId="77777777" w:rsidR="00C07165" w:rsidRDefault="00C07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A575F" w14:textId="77777777" w:rsidR="00FE7C03" w:rsidRDefault="00FE7C03" w:rsidP="009B552F">
      <w:pPr>
        <w:spacing w:after="0" w:line="240" w:lineRule="auto"/>
      </w:pPr>
      <w:r>
        <w:separator/>
      </w:r>
    </w:p>
  </w:footnote>
  <w:footnote w:type="continuationSeparator" w:id="0">
    <w:p w14:paraId="54140416" w14:textId="77777777" w:rsidR="00FE7C03" w:rsidRDefault="00FE7C03" w:rsidP="009B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8"/>
      <w:gridCol w:w="6970"/>
    </w:tblGrid>
    <w:tr w:rsidR="009B552F" w14:paraId="187E55B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53AD65B8F491481B843C25C0A01722E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9B57D3" w:themeFill="accent2"/>
              <w:vAlign w:val="center"/>
            </w:tcPr>
            <w:p w14:paraId="01119618" w14:textId="4DA5CC47" w:rsidR="009B552F" w:rsidRDefault="009B552F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9B552F">
                <w:rPr>
                  <w:caps/>
                  <w:color w:val="FFFFFF" w:themeColor="background1"/>
                  <w:sz w:val="18"/>
                  <w:szCs w:val="18"/>
                </w:rPr>
                <w:t>Educational Outcomes and Literacy Across the Globe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0148F2D089745698E5FDE25DD36FB0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9B57D3" w:themeFill="accent2"/>
              <w:vAlign w:val="center"/>
            </w:tcPr>
            <w:p w14:paraId="1AB7CE9E" w14:textId="3EBDA8F0" w:rsidR="009B552F" w:rsidRDefault="009B552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21481A5451</w:t>
              </w:r>
            </w:p>
          </w:tc>
        </w:sdtContent>
      </w:sdt>
    </w:tr>
    <w:tr w:rsidR="009B552F" w14:paraId="74DD3CF1" w14:textId="77777777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14:paraId="41AAC4D4" w14:textId="77777777" w:rsidR="009B552F" w:rsidRDefault="009B552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14:paraId="4F4DC076" w14:textId="77777777" w:rsidR="009B552F" w:rsidRDefault="009B552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5124F62" w14:textId="77777777" w:rsidR="009B552F" w:rsidRDefault="009B5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86C66"/>
    <w:multiLevelType w:val="multilevel"/>
    <w:tmpl w:val="8D58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77CEB"/>
    <w:multiLevelType w:val="hybridMultilevel"/>
    <w:tmpl w:val="32F0A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362538">
    <w:abstractNumId w:val="0"/>
  </w:num>
  <w:num w:numId="2" w16cid:durableId="88133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2F"/>
    <w:rsid w:val="0031048C"/>
    <w:rsid w:val="005C6445"/>
    <w:rsid w:val="009B552F"/>
    <w:rsid w:val="00AB27DE"/>
    <w:rsid w:val="00C07165"/>
    <w:rsid w:val="00CC787E"/>
    <w:rsid w:val="00D1730E"/>
    <w:rsid w:val="00F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35FEE"/>
  <w15:chartTrackingRefBased/>
  <w15:docId w15:val="{89022F5B-4116-4D3A-B320-7B9A8930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52F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52F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2F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52F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2F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52F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52F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52F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52F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52F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52F"/>
    <w:rPr>
      <w:b/>
      <w:bCs/>
      <w:smallCaps/>
      <w:color w:val="6D1D6A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5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2F"/>
  </w:style>
  <w:style w:type="paragraph" w:styleId="Footer">
    <w:name w:val="footer"/>
    <w:basedOn w:val="Normal"/>
    <w:link w:val="FooterChar"/>
    <w:uiPriority w:val="99"/>
    <w:unhideWhenUsed/>
    <w:rsid w:val="009B5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AD65B8F491481B843C25C0A017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C4C9-6D60-4753-BDB1-72782BA9E1D5}"/>
      </w:docPartPr>
      <w:docPartBody>
        <w:p w:rsidR="00000000" w:rsidRDefault="00CF5E96" w:rsidP="00CF5E96">
          <w:pPr>
            <w:pStyle w:val="53AD65B8F491481B843C25C0A01722E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0148F2D089745698E5FDE25DD36F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F3E69-8EEB-40CE-BBC7-B304232E8905}"/>
      </w:docPartPr>
      <w:docPartBody>
        <w:p w:rsidR="00000000" w:rsidRDefault="00CF5E96" w:rsidP="00CF5E96">
          <w:pPr>
            <w:pStyle w:val="E0148F2D089745698E5FDE25DD36FB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8F41C5C17251479CA8DA1D3BCCAF8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8B66-3EB5-421E-AA78-7FC8C7F905A8}"/>
      </w:docPartPr>
      <w:docPartBody>
        <w:p w:rsidR="00000000" w:rsidRDefault="00CF5E96" w:rsidP="00CF5E96">
          <w:pPr>
            <w:pStyle w:val="8F41C5C17251479CA8DA1D3BCCAF841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6"/>
    <w:rsid w:val="007C7ABE"/>
    <w:rsid w:val="00CC787E"/>
    <w:rsid w:val="00C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D65B8F491481B843C25C0A01722EE">
    <w:name w:val="53AD65B8F491481B843C25C0A01722EE"/>
    <w:rsid w:val="00CF5E96"/>
  </w:style>
  <w:style w:type="character" w:styleId="PlaceholderText">
    <w:name w:val="Placeholder Text"/>
    <w:basedOn w:val="DefaultParagraphFont"/>
    <w:uiPriority w:val="99"/>
    <w:semiHidden/>
    <w:rsid w:val="00CF5E96"/>
    <w:rPr>
      <w:color w:val="808080"/>
    </w:rPr>
  </w:style>
  <w:style w:type="paragraph" w:customStyle="1" w:styleId="E0148F2D089745698E5FDE25DD36FB03">
    <w:name w:val="E0148F2D089745698E5FDE25DD36FB03"/>
    <w:rsid w:val="00CF5E96"/>
  </w:style>
  <w:style w:type="paragraph" w:customStyle="1" w:styleId="8F41C5C17251479CA8DA1D3BCCAF8416">
    <w:name w:val="8F41C5C17251479CA8DA1D3BCCAF8416"/>
    <w:rsid w:val="00CF5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21481A5451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F5824-4E30-4F7E-AEFA-8C9D3BA7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Educational Outcomes and Literacy Across the Globe</vt:lpstr>
      <vt:lpstr>Global Education Dashboard Report</vt:lpstr>
      <vt:lpstr>    Total Number of Countries Represented:</vt:lpstr>
      <vt:lpstr>    Average Youth Literacy Rate (Male: 78.4%, Female: 72.6%):</vt:lpstr>
      <vt:lpstr>    Out-of-School Rate (OOSR) by Gender and Education Level:</vt:lpstr>
      <vt:lpstr>    Sum of Birth Rate by Country:</vt:lpstr>
      <vt:lpstr>    Gross Primary Education Enrolment (Average: 108.1%):</vt:lpstr>
      <vt:lpstr>    Tertiary Education Enrolment (Average: 31.7%):</vt:lpstr>
      <vt:lpstr>    Youth Literacy Rate by Gender (15-24):</vt:lpstr>
      <vt:lpstr>    Sum of Unemployment Rate by Country:</vt:lpstr>
      <vt:lpstr>    Sum of Primary and Secondary Proficiency Rates by Region:</vt:lpstr>
      <vt:lpstr>    Gross Tertiary Education Enrolment by Literacy Rate: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Outcomes and Literacy Across the Globe</dc:title>
  <dc:subject/>
  <dc:creator>Rohit KAVULURI</dc:creator>
  <cp:keywords/>
  <dc:description/>
  <cp:lastModifiedBy>Rohit K</cp:lastModifiedBy>
  <cp:revision>11</cp:revision>
  <dcterms:created xsi:type="dcterms:W3CDTF">2024-10-15T12:57:00Z</dcterms:created>
  <dcterms:modified xsi:type="dcterms:W3CDTF">2024-10-15T13:08:00Z</dcterms:modified>
</cp:coreProperties>
</file>