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64A56"/>
          <w:sz w:val="44"/>
          <w:szCs w:val="44"/>
        </w:rPr>
        <w:t xml:space="preserve">Freight Rate Prediction</w:t>
      </w:r>
    </w:p>
    <w:p>
      <w:pPr>
        <w:spacing w:after="200"/>
      </w:pPr>
      <w:r>
        <w:rPr>
          <w:rFonts w:ascii="Calibri" w:cs="Calibri" w:eastAsia="Calibri" w:hAnsi="Calibri"/>
          <w:color w:val="555555"/>
          <w:sz w:val="24"/>
          <w:szCs w:val="24"/>
        </w:rPr>
        <w:t xml:space="preserve">Validation approach, data split, diagnostics and December forecast</w:t>
      </w:r>
    </w:p>
    <w:p>
      <w:pPr>
        <w:pStyle w:val="Heading1"/>
        <w:keepNext/>
        <w:spacing w:after="120" w:before="260"/>
      </w:pPr>
      <w:r>
        <w:rPr>
          <w:rFonts w:ascii="Calibri" w:cs="Calibri" w:eastAsia="Calibri" w:hAnsi="Calibri"/>
          <w:b/>
          <w:bCs/>
          <w:color w:val="064A56"/>
          <w:sz w:val="30"/>
          <w:szCs w:val="30"/>
        </w:rPr>
        <w:t xml:space="preserve">1. Summary</w:t>
      </w:r>
    </w:p>
    <w:p>
      <w:pPr>
        <w:spacing w:after="110"/>
      </w:pPr>
      <w:r>
        <w:rPr>
          <w:rFonts w:ascii="Calibri" w:cs="Calibri" w:eastAsia="Calibri" w:hAnsi="Calibri"/>
          <w:sz w:val="21"/>
          <w:szCs w:val="21"/>
        </w:rPr>
        <w:t xml:space="preserve">Task: predict the posted rate of 12,000 loads in Nov-Dec 2025 from 48,000 labelled loads in Jan-Oct 2025. The test period is the future of the development data, so every validation fold trains on the past and scores the next two months.</w:t>
      </w:r>
    </w:p>
    <w:p>
      <w:pPr>
        <w:pStyle w:val="ListParagraph"/>
        <w:numPr>
          <w:ilvl w:val="0"/>
          <w:numId w:val="2"/>
        </w:numPr>
        <w:spacing w:after="60"/>
      </w:pPr>
      <w:r>
        <w:rPr>
          <w:rFonts w:ascii="Calibri" w:cs="Calibri" w:eastAsia="Calibri" w:hAnsi="Calibri"/>
          <w:b/>
          <w:bCs/>
          <w:sz w:val="21"/>
          <w:szCs w:val="21"/>
        </w:rPr>
        <w:t xml:space="preserve">Model: </w:t>
      </w:r>
      <w:r>
        <w:rPr>
          <w:rFonts w:ascii="Calibri" w:cs="Calibri" w:eastAsia="Calibri" w:hAnsi="Calibri"/>
          <w:sz w:val="21"/>
          <w:szCs w:val="21"/>
        </w:rPr>
        <w:t xml:space="preserve">LightGBM on log(rate), L1 (median) objective, 5-seed average, 45-day recency weights, a linear daily-market term, and a regime-aware quote_signal feature.</w:t>
      </w:r>
    </w:p>
    <w:p>
      <w:pPr>
        <w:pStyle w:val="ListParagraph"/>
        <w:numPr>
          <w:ilvl w:val="0"/>
          <w:numId w:val="2"/>
        </w:numPr>
        <w:spacing w:after="60"/>
      </w:pPr>
      <w:r>
        <w:rPr>
          <w:rFonts w:ascii="Calibri" w:cs="Calibri" w:eastAsia="Calibri" w:hAnsi="Calibri"/>
          <w:b/>
          <w:bCs/>
          <w:sz w:val="21"/>
          <w:szCs w:val="21"/>
        </w:rPr>
        <w:t xml:space="preserve">Forward-CV accuracy (mean of 5 folds, original dollar scale): </w:t>
      </w:r>
      <w:r>
        <w:rPr>
          <w:rFonts w:ascii="Calibri" w:cs="Calibri" w:eastAsia="Calibri" w:hAnsi="Calibri"/>
          <w:sz w:val="21"/>
          <w:szCs w:val="21"/>
        </w:rPr>
        <w:t xml:space="preserve">MAE $111, median absolute % error 1.72%, mean absolute % error 4.73% (2.47% excluding the ~1.4% corrupted labels), R2 0.83. Most recent fold (train Jan-Aug, score Sep-Oct): median 1.33%, MAE $92.</w:t>
      </w:r>
    </w:p>
    <w:p>
      <w:pPr>
        <w:pStyle w:val="ListParagraph"/>
        <w:numPr>
          <w:ilvl w:val="0"/>
          <w:numId w:val="2"/>
        </w:numPr>
        <w:spacing w:after="60"/>
      </w:pPr>
      <w:r>
        <w:rPr>
          <w:rFonts w:ascii="Calibri" w:cs="Calibri" w:eastAsia="Calibri" w:hAnsi="Calibri"/>
          <w:b/>
          <w:bCs/>
          <w:sz w:val="21"/>
          <w:szCs w:val="21"/>
        </w:rPr>
        <w:t xml:space="preserve">Reproducibility: </w:t>
      </w:r>
      <w:r>
        <w:rPr>
          <w:rFonts w:ascii="Calibri" w:cs="Calibri" w:eastAsia="Calibri" w:hAnsi="Calibri"/>
          <w:sz w:val="21"/>
          <w:szCs w:val="21"/>
        </w:rPr>
        <w:t xml:space="preserve">full from-scratch run in a new virtualenv regenerated every output identically (section 10); seed counts and configurations per table are listed in section 5.</w:t>
      </w:r>
    </w:p>
    <w:p>
      <w:pPr>
        <w:pStyle w:val="ListParagraph"/>
        <w:numPr>
          <w:ilvl w:val="0"/>
          <w:numId w:val="2"/>
        </w:numPr>
        <w:spacing w:after="60"/>
      </w:pPr>
      <w:r>
        <w:rPr>
          <w:rFonts w:ascii="Calibri" w:cs="Calibri" w:eastAsia="Calibri" w:hAnsi="Calibri"/>
          <w:b/>
          <w:bCs/>
          <w:sz w:val="21"/>
          <w:szCs w:val="21"/>
        </w:rPr>
        <w:t xml:space="preserve">Weak spot, stated plainly: </w:t>
      </w:r>
      <w:r>
        <w:rPr>
          <w:rFonts w:ascii="Calibri" w:cs="Calibri" w:eastAsia="Calibri" w:hAnsi="Calibri"/>
          <w:sz w:val="21"/>
          <w:szCs w:val="21"/>
        </w:rPr>
        <w:t xml:space="preserve">August (a month the early folds had never seen) has median error 5.60% versus 1.0–1.8% in other months. Nov-Dec share August's regime, and only one such month exists in the labels, so the test-period error could be higher than the headline.</w:t>
      </w:r>
    </w:p>
    <w:p>
      <w:pPr>
        <w:pStyle w:val="ListParagraph"/>
        <w:numPr>
          <w:ilvl w:val="0"/>
          <w:numId w:val="2"/>
        </w:numPr>
        <w:spacing w:after="60"/>
      </w:pPr>
      <w:r>
        <w:rPr>
          <w:rFonts w:ascii="Calibri" w:cs="Calibri" w:eastAsia="Calibri" w:hAnsi="Calibri"/>
          <w:b/>
          <w:bCs/>
          <w:sz w:val="21"/>
          <w:szCs w:val="21"/>
        </w:rPr>
        <w:t xml:space="preserve">December chart: </w:t>
      </w:r>
      <w:r>
        <w:rPr>
          <w:rFonts w:ascii="Calibri" w:cs="Calibri" w:eastAsia="Calibri" w:hAnsi="Calibri"/>
          <w:sz w:val="21"/>
          <w:szCs w:val="21"/>
        </w:rPr>
        <w:t xml:space="preserve">$817-$829 (about $2.29/mile) for the fixed Lexington to Fort Wayne load, produced by the supplied score.py from the same final model as the validation file.</w:t>
      </w:r>
    </w:p>
    <w:p>
      <w:pPr>
        <w:pStyle w:val="Heading1"/>
        <w:keepNext/>
        <w:spacing w:after="120" w:before="260"/>
      </w:pPr>
      <w:r>
        <w:rPr>
          <w:rFonts w:ascii="Calibri" w:cs="Calibri" w:eastAsia="Calibri" w:hAnsi="Calibri"/>
          <w:b/>
          <w:bCs/>
          <w:color w:val="064A56"/>
          <w:sz w:val="30"/>
          <w:szCs w:val="30"/>
        </w:rPr>
        <w:t xml:space="preserve">2. Validation design and data split</w:t>
      </w:r>
    </w:p>
    <w:p>
      <w:pPr>
        <w:spacing w:after="110"/>
      </w:pPr>
      <w:r>
        <w:rPr>
          <w:rFonts w:ascii="Calibri" w:cs="Calibri" w:eastAsia="Calibri" w:hAnsi="Calibri"/>
          <w:sz w:val="21"/>
          <w:szCs w:val="21"/>
        </w:rPr>
        <w:t xml:space="preserve">validation.csv spans 2025-11-01 to 2025-12-31 and train_test.csv spans 2025-01-01 to 2025-10-31, so the test set is entirely after the development data. A random split lets the model see other loads from the same day. With the same model and features, random 5-fold gave a median error of 1.44% versus 2.44% under forward-chaining, so random K-fold overstates accuracy by about 1.7x. It is shown only as a diagnostic.</w:t>
      </w:r>
    </w:p>
    <w:p>
      <w:pPr>
        <w:keepNext/>
        <w:spacing w:after="60" w:before="80"/>
        <w:jc w:val="center"/>
      </w:pPr>
      <w:r>
        <w:drawing>
          <wp:inline distT="0" distB="0" distL="0" distR="0">
            <wp:extent cx="2857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1981200"/>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1. Same model, only the validation scheme differs.</w:t>
      </w:r>
    </w:p>
    <w:p>
      <w:pPr>
        <w:keepNext/>
        <w:spacing w:after="60" w:before="80"/>
        <w:jc w:val="center"/>
      </w:pPr>
      <w:r>
        <w:drawing>
          <wp:inline distT="0" distB="0" distL="0" distR="0">
            <wp:extent cx="5334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676400"/>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2. Five forward-chaining folds (train on the past, score the next 2 months); final model fits all of Jan-Oct.</w:t>
      </w:r>
    </w:p>
    <w:p>
      <w:pPr>
        <w:spacing w:after="110"/>
      </w:pPr>
      <w:r>
        <w:rPr>
          <w:rFonts w:ascii="Calibri" w:cs="Calibri" w:eastAsia="Calibri" w:hAnsi="Calibri"/>
          <w:sz w:val="21"/>
          <w:szCs w:val="21"/>
        </w:rPr>
        <w:t xml:space="preserve">Everything that is learned from labels (the model, recency weights, the market slope) is fitted inside each fold on the training window only. The same cleaning and feature code runs in training, in every fold and at final inference.</w:t>
      </w:r>
    </w:p>
    <w:p>
      <w:pPr>
        <w:pStyle w:val="Heading2"/>
        <w:keepNext/>
        <w:spacing w:after="80" w:before="160"/>
      </w:pPr>
      <w:r>
        <w:rPr>
          <w:rFonts w:ascii="Calibri" w:cs="Calibri" w:eastAsia="Calibri" w:hAnsi="Calibri"/>
          <w:b/>
          <w:bCs/>
          <w:color w:val="064A56"/>
          <w:sz w:val="24"/>
          <w:szCs w:val="24"/>
        </w:rPr>
        <w:t xml:space="preserve">2.1 Information-availability assumptions (tested where possible)</w:t>
      </w:r>
    </w:p>
    <w:p>
      <w:pPr>
        <w:pStyle w:val="ListParagraph"/>
        <w:numPr>
          <w:ilvl w:val="0"/>
          <w:numId w:val="2"/>
        </w:numPr>
        <w:spacing w:after="60"/>
      </w:pPr>
      <w:r>
        <w:rPr>
          <w:rFonts w:ascii="Calibri" w:cs="Calibri" w:eastAsia="Calibri" w:hAnsi="Calibri"/>
          <w:b/>
          <w:bCs/>
          <w:sz w:val="21"/>
          <w:szCs w:val="21"/>
        </w:rPr>
        <w:t xml:space="preserve">Same-day market level. </w:t>
      </w:r>
      <w:r>
        <w:rPr>
          <w:rFonts w:ascii="Calibri" w:cs="Calibri" w:eastAsia="Calibri" w:hAnsi="Calibri"/>
          <w:sz w:val="21"/>
          <w:szCs w:val="21"/>
        </w:rPr>
        <w:t xml:space="preserve">The daily market level is the mean of market_index over all loads on that date, which assumes the scoring file is a batch whose same-day rows are all available. It uses features only, never labels. Its deviation from the month mean also uses other days of the same month; a strictly causal deployment would use a trailing mean instead. A strictly causal variant was built and tested (Table 1b).</w:t>
      </w:r>
    </w:p>
    <w:p>
      <w:pPr>
        <w:pStyle w:val="ListParagraph"/>
        <w:numPr>
          <w:ilvl w:val="0"/>
          <w:numId w:val="2"/>
        </w:numPr>
        <w:spacing w:after="60"/>
      </w:pPr>
      <w:r>
        <w:rPr>
          <w:rFonts w:ascii="Calibri" w:cs="Calibri" w:eastAsia="Calibri" w:hAnsi="Calibri"/>
          <w:b/>
          <w:bCs/>
          <w:sz w:val="21"/>
          <w:szCs w:val="21"/>
        </w:rPr>
        <w:t xml:space="preserve">quote_signal regime. </w:t>
      </w:r>
      <w:r>
        <w:rPr>
          <w:rFonts w:ascii="Calibri" w:cs="Calibri" w:eastAsia="Calibri" w:hAnsi="Calibri"/>
          <w:sz w:val="21"/>
          <w:szCs w:val="21"/>
        </w:rPr>
        <w:t xml:space="preserve">The regime is the skew of quote_signal in a month, computed from features only. I checked whether it is knowable early: using only the first 7 days of each month reproduces the full-month classification in all 12 months, including Nov and Dec (Table 1), so it is available about a week into a month.</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300"/>
        <w:gridCol w:w="2800"/>
        <w:gridCol w:w="1200"/>
      </w:tblGrid>
      <w:tr>
        <w:trPr>
          <w:cantSplit/>
          <w:tblHeader/>
        </w:trPr>
        <w:tc>
          <w:tcPr>
            <w:tcW w:type="dxa" w:w="11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Month</w:t>
            </w:r>
          </w:p>
        </w:tc>
        <w:tc>
          <w:tcPr>
            <w:tcW w:type="dxa" w:w="24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Regime (full month)</w:t>
            </w:r>
          </w:p>
        </w:tc>
        <w:tc>
          <w:tcPr>
            <w:tcW w:type="dxa" w:w="13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Skew</w:t>
            </w:r>
          </w:p>
        </w:tc>
        <w:tc>
          <w:tcPr>
            <w:tcW w:type="dxa" w:w="28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Regime (first 7 days)</w:t>
            </w:r>
          </w:p>
        </w:tc>
        <w:tc>
          <w:tcPr>
            <w:tcW w:type="dxa" w:w="12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Agree</w:t>
            </w:r>
          </w:p>
        </w:tc>
      </w:tr>
      <w:tr>
        <w:trPr>
          <w:cantSplit/>
          <w:tblHeader w:val="false"/>
        </w:trPr>
        <w:tc>
          <w:tcPr>
            <w:tcW w:type="dxa" w:w="11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1</w:t>
            </w:r>
          </w:p>
        </w:tc>
        <w:tc>
          <w:tcPr>
            <w:tcW w:type="dxa" w:w="24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positive</w:t>
            </w:r>
          </w:p>
        </w:tc>
        <w:tc>
          <w:tcPr>
            <w:tcW w:type="dxa" w:w="13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0.87</w:t>
            </w:r>
          </w:p>
        </w:tc>
        <w:tc>
          <w:tcPr>
            <w:tcW w:type="dxa" w:w="28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positive</w:t>
            </w:r>
          </w:p>
        </w:tc>
        <w:tc>
          <w:tcPr>
            <w:tcW w:type="dxa" w:w="12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yes</w:t>
            </w:r>
          </w:p>
        </w:tc>
      </w:tr>
      <w:tr>
        <w:trPr>
          <w:cantSplit/>
          <w:tblHeader w:val="false"/>
        </w:trPr>
        <w:tc>
          <w:tcPr>
            <w:tcW w:type="dxa" w:w="11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2</w:t>
            </w:r>
          </w:p>
        </w:tc>
        <w:tc>
          <w:tcPr>
            <w:tcW w:type="dxa" w:w="24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positive</w:t>
            </w:r>
          </w:p>
        </w:tc>
        <w:tc>
          <w:tcPr>
            <w:tcW w:type="dxa" w:w="13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0.95</w:t>
            </w:r>
          </w:p>
        </w:tc>
        <w:tc>
          <w:tcPr>
            <w:tcW w:type="dxa" w:w="28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positive</w:t>
            </w:r>
          </w:p>
        </w:tc>
        <w:tc>
          <w:tcPr>
            <w:tcW w:type="dxa" w:w="12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yes</w:t>
            </w:r>
          </w:p>
        </w:tc>
      </w:tr>
      <w:tr>
        <w:trPr>
          <w:cantSplit/>
          <w:tblHeader w:val="false"/>
        </w:trPr>
        <w:tc>
          <w:tcPr>
            <w:tcW w:type="dxa" w:w="11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3</w:t>
            </w:r>
          </w:p>
        </w:tc>
        <w:tc>
          <w:tcPr>
            <w:tcW w:type="dxa" w:w="24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positive</w:t>
            </w:r>
          </w:p>
        </w:tc>
        <w:tc>
          <w:tcPr>
            <w:tcW w:type="dxa" w:w="13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0.86</w:t>
            </w:r>
          </w:p>
        </w:tc>
        <w:tc>
          <w:tcPr>
            <w:tcW w:type="dxa" w:w="28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positive</w:t>
            </w:r>
          </w:p>
        </w:tc>
        <w:tc>
          <w:tcPr>
            <w:tcW w:type="dxa" w:w="12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yes</w:t>
            </w:r>
          </w:p>
        </w:tc>
      </w:tr>
      <w:tr>
        <w:trPr>
          <w:cantSplit/>
          <w:tblHeader w:val="false"/>
        </w:trPr>
        <w:tc>
          <w:tcPr>
            <w:tcW w:type="dxa" w:w="11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4</w:t>
            </w:r>
          </w:p>
        </w:tc>
        <w:tc>
          <w:tcPr>
            <w:tcW w:type="dxa" w:w="24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negative</w:t>
            </w:r>
          </w:p>
        </w:tc>
        <w:tc>
          <w:tcPr>
            <w:tcW w:type="dxa" w:w="13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-0.79</w:t>
            </w:r>
          </w:p>
        </w:tc>
        <w:tc>
          <w:tcPr>
            <w:tcW w:type="dxa" w:w="28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negative</w:t>
            </w:r>
          </w:p>
        </w:tc>
        <w:tc>
          <w:tcPr>
            <w:tcW w:type="dxa" w:w="12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yes</w:t>
            </w:r>
          </w:p>
        </w:tc>
      </w:tr>
      <w:tr>
        <w:trPr>
          <w:cantSplit/>
          <w:tblHeader w:val="false"/>
        </w:trPr>
        <w:tc>
          <w:tcPr>
            <w:tcW w:type="dxa" w:w="11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5</w:t>
            </w:r>
          </w:p>
        </w:tc>
        <w:tc>
          <w:tcPr>
            <w:tcW w:type="dxa" w:w="24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negative</w:t>
            </w:r>
          </w:p>
        </w:tc>
        <w:tc>
          <w:tcPr>
            <w:tcW w:type="dxa" w:w="13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-0.84</w:t>
            </w:r>
          </w:p>
        </w:tc>
        <w:tc>
          <w:tcPr>
            <w:tcW w:type="dxa" w:w="28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negative</w:t>
            </w:r>
          </w:p>
        </w:tc>
        <w:tc>
          <w:tcPr>
            <w:tcW w:type="dxa" w:w="12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yes</w:t>
            </w:r>
          </w:p>
        </w:tc>
      </w:tr>
      <w:tr>
        <w:trPr>
          <w:cantSplit/>
          <w:tblHeader w:val="false"/>
        </w:trPr>
        <w:tc>
          <w:tcPr>
            <w:tcW w:type="dxa" w:w="11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6</w:t>
            </w:r>
          </w:p>
        </w:tc>
        <w:tc>
          <w:tcPr>
            <w:tcW w:type="dxa" w:w="24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positive</w:t>
            </w:r>
          </w:p>
        </w:tc>
        <w:tc>
          <w:tcPr>
            <w:tcW w:type="dxa" w:w="13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0.86</w:t>
            </w:r>
          </w:p>
        </w:tc>
        <w:tc>
          <w:tcPr>
            <w:tcW w:type="dxa" w:w="28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positive</w:t>
            </w:r>
          </w:p>
        </w:tc>
        <w:tc>
          <w:tcPr>
            <w:tcW w:type="dxa" w:w="12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yes</w:t>
            </w:r>
          </w:p>
        </w:tc>
      </w:tr>
      <w:tr>
        <w:trPr>
          <w:cantSplit/>
          <w:tblHeader w:val="false"/>
        </w:trPr>
        <w:tc>
          <w:tcPr>
            <w:tcW w:type="dxa" w:w="11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7</w:t>
            </w:r>
          </w:p>
        </w:tc>
        <w:tc>
          <w:tcPr>
            <w:tcW w:type="dxa" w:w="24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negative</w:t>
            </w:r>
          </w:p>
        </w:tc>
        <w:tc>
          <w:tcPr>
            <w:tcW w:type="dxa" w:w="13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-0.82</w:t>
            </w:r>
          </w:p>
        </w:tc>
        <w:tc>
          <w:tcPr>
            <w:tcW w:type="dxa" w:w="28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negative</w:t>
            </w:r>
          </w:p>
        </w:tc>
        <w:tc>
          <w:tcPr>
            <w:tcW w:type="dxa" w:w="12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yes</w:t>
            </w:r>
          </w:p>
        </w:tc>
      </w:tr>
      <w:tr>
        <w:trPr>
          <w:cantSplit/>
          <w:tblHeader w:val="false"/>
        </w:trPr>
        <w:tc>
          <w:tcPr>
            <w:tcW w:type="dxa" w:w="11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8</w:t>
            </w:r>
          </w:p>
        </w:tc>
        <w:tc>
          <w:tcPr>
            <w:tcW w:type="dxa" w:w="24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noise</w:t>
            </w:r>
          </w:p>
        </w:tc>
        <w:tc>
          <w:tcPr>
            <w:tcW w:type="dxa" w:w="13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-0.01</w:t>
            </w:r>
          </w:p>
        </w:tc>
        <w:tc>
          <w:tcPr>
            <w:tcW w:type="dxa" w:w="28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noise</w:t>
            </w:r>
          </w:p>
        </w:tc>
        <w:tc>
          <w:tcPr>
            <w:tcW w:type="dxa" w:w="12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yes</w:t>
            </w:r>
          </w:p>
        </w:tc>
      </w:tr>
      <w:tr>
        <w:trPr>
          <w:cantSplit/>
          <w:tblHeader w:val="false"/>
        </w:trPr>
        <w:tc>
          <w:tcPr>
            <w:tcW w:type="dxa" w:w="11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9</w:t>
            </w:r>
          </w:p>
        </w:tc>
        <w:tc>
          <w:tcPr>
            <w:tcW w:type="dxa" w:w="24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positive</w:t>
            </w:r>
          </w:p>
        </w:tc>
        <w:tc>
          <w:tcPr>
            <w:tcW w:type="dxa" w:w="13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0.88</w:t>
            </w:r>
          </w:p>
        </w:tc>
        <w:tc>
          <w:tcPr>
            <w:tcW w:type="dxa" w:w="28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positive</w:t>
            </w:r>
          </w:p>
        </w:tc>
        <w:tc>
          <w:tcPr>
            <w:tcW w:type="dxa" w:w="12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yes</w:t>
            </w:r>
          </w:p>
        </w:tc>
      </w:tr>
      <w:tr>
        <w:trPr>
          <w:cantSplit/>
          <w:tblHeader w:val="false"/>
        </w:trPr>
        <w:tc>
          <w:tcPr>
            <w:tcW w:type="dxa" w:w="11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10</w:t>
            </w:r>
          </w:p>
        </w:tc>
        <w:tc>
          <w:tcPr>
            <w:tcW w:type="dxa" w:w="24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negative</w:t>
            </w:r>
          </w:p>
        </w:tc>
        <w:tc>
          <w:tcPr>
            <w:tcW w:type="dxa" w:w="13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-0.94</w:t>
            </w:r>
          </w:p>
        </w:tc>
        <w:tc>
          <w:tcPr>
            <w:tcW w:type="dxa" w:w="28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negative</w:t>
            </w:r>
          </w:p>
        </w:tc>
        <w:tc>
          <w:tcPr>
            <w:tcW w:type="dxa" w:w="12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yes</w:t>
            </w:r>
          </w:p>
        </w:tc>
      </w:tr>
      <w:tr>
        <w:trPr>
          <w:cantSplit/>
          <w:tblHeader w:val="false"/>
        </w:trPr>
        <w:tc>
          <w:tcPr>
            <w:tcW w:type="dxa" w:w="11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11</w:t>
            </w:r>
          </w:p>
        </w:tc>
        <w:tc>
          <w:tcPr>
            <w:tcW w:type="dxa" w:w="24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noise</w:t>
            </w:r>
          </w:p>
        </w:tc>
        <w:tc>
          <w:tcPr>
            <w:tcW w:type="dxa" w:w="13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-0.01</w:t>
            </w:r>
          </w:p>
        </w:tc>
        <w:tc>
          <w:tcPr>
            <w:tcW w:type="dxa" w:w="28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noise</w:t>
            </w:r>
          </w:p>
        </w:tc>
        <w:tc>
          <w:tcPr>
            <w:tcW w:type="dxa" w:w="12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yes</w:t>
            </w:r>
          </w:p>
        </w:tc>
      </w:tr>
      <w:tr>
        <w:trPr>
          <w:cantSplit/>
          <w:tblHeader w:val="false"/>
        </w:trPr>
        <w:tc>
          <w:tcPr>
            <w:tcW w:type="dxa" w:w="11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12</w:t>
            </w:r>
          </w:p>
        </w:tc>
        <w:tc>
          <w:tcPr>
            <w:tcW w:type="dxa" w:w="24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noise</w:t>
            </w:r>
          </w:p>
        </w:tc>
        <w:tc>
          <w:tcPr>
            <w:tcW w:type="dxa" w:w="13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0.01</w:t>
            </w:r>
          </w:p>
        </w:tc>
        <w:tc>
          <w:tcPr>
            <w:tcW w:type="dxa" w:w="28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noise</w:t>
            </w:r>
          </w:p>
        </w:tc>
        <w:tc>
          <w:tcPr>
            <w:tcW w:type="dxa" w:w="12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yes</w:t>
            </w:r>
          </w:p>
        </w:tc>
      </w:tr>
    </w:tbl>
    <w:p>
      <w:pPr>
        <w:spacing w:after="140"/>
        <w:jc w:val="center"/>
      </w:pPr>
      <w:r>
        <w:rPr>
          <w:rFonts w:ascii="Calibri" w:cs="Calibri" w:eastAsia="Calibri" w:hAnsi="Calibri"/>
          <w:i/>
          <w:iCs/>
          <w:color w:val="555555"/>
          <w:sz w:val="18"/>
          <w:szCs w:val="18"/>
        </w:rPr>
        <w:t xml:space="preserve">Table 1. quote_signal regime by month, full month vs first 7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250"/>
        <w:gridCol w:w="1250"/>
        <w:gridCol w:w="1360"/>
        <w:gridCol w:w="1300"/>
        <w:gridCol w:w="1300"/>
      </w:tblGrid>
      <w:tr>
        <w:trPr>
          <w:cantSplit/>
          <w:tblHeader/>
        </w:trPr>
        <w:tc>
          <w:tcPr>
            <w:tcW w:type="dxa" w:w="29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Variant</w:t>
            </w:r>
          </w:p>
        </w:tc>
        <w:tc>
          <w:tcPr>
            <w:tcW w:type="dxa" w:w="125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5-fold MAE ($)</w:t>
            </w:r>
          </w:p>
        </w:tc>
        <w:tc>
          <w:tcPr>
            <w:tcW w:type="dxa" w:w="125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5-fold median %</w:t>
            </w:r>
          </w:p>
        </w:tc>
        <w:tc>
          <w:tcPr>
            <w:tcW w:type="dxa" w:w="136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5-fold core MAPE %</w:t>
            </w:r>
          </w:p>
        </w:tc>
        <w:tc>
          <w:tcPr>
            <w:tcW w:type="dxa" w:w="13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Aug 16-31 median %</w:t>
            </w:r>
          </w:p>
        </w:tc>
        <w:tc>
          <w:tcPr>
            <w:tcW w:type="dxa" w:w="13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Aug 16-31 MAE ($)</w:t>
            </w:r>
          </w:p>
        </w:tc>
      </w:tr>
      <w:tr>
        <w:trPr>
          <w:cantSplit/>
          <w:tblHeader w:val="false"/>
        </w:trPr>
        <w:tc>
          <w:tcPr>
            <w:tcW w:type="dxa" w:w="29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Batch (shipped)</w:t>
            </w:r>
          </w:p>
        </w:tc>
        <w:tc>
          <w:tcPr>
            <w:tcW w:type="dxa" w:w="125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112.4</w:t>
            </w:r>
          </w:p>
        </w:tc>
        <w:tc>
          <w:tcPr>
            <w:tcW w:type="dxa" w:w="125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1.76</w:t>
            </w:r>
          </w:p>
        </w:tc>
        <w:tc>
          <w:tcPr>
            <w:tcW w:type="dxa" w:w="13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2.50</w:t>
            </w:r>
          </w:p>
        </w:tc>
        <w:tc>
          <w:tcPr>
            <w:tcW w:type="dxa" w:w="13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1.61</w:t>
            </w:r>
          </w:p>
        </w:tc>
        <w:tc>
          <w:tcPr>
            <w:tcW w:type="dxa" w:w="13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91</w:t>
            </w:r>
          </w:p>
        </w:tc>
      </w:tr>
      <w:tr>
        <w:trPr>
          <w:cantSplit/>
          <w:tblHeader w:val="false"/>
        </w:trPr>
        <w:tc>
          <w:tcPr>
            <w:tcW w:type="dxa" w:w="29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Causal market feature only</w:t>
            </w:r>
          </w:p>
        </w:tc>
        <w:tc>
          <w:tcPr>
            <w:tcW w:type="dxa" w:w="125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112.5</w:t>
            </w:r>
          </w:p>
        </w:tc>
        <w:tc>
          <w:tcPr>
            <w:tcW w:type="dxa" w:w="125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1.78</w:t>
            </w:r>
          </w:p>
        </w:tc>
        <w:tc>
          <w:tcPr>
            <w:tcW w:type="dxa" w:w="13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2.52</w:t>
            </w:r>
          </w:p>
        </w:tc>
        <w:tc>
          <w:tcPr>
            <w:tcW w:type="dxa" w:w="13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1.71</w:t>
            </w:r>
          </w:p>
        </w:tc>
        <w:tc>
          <w:tcPr>
            <w:tcW w:type="dxa" w:w="13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94</w:t>
            </w:r>
          </w:p>
        </w:tc>
      </w:tr>
      <w:tr>
        <w:trPr>
          <w:cantSplit/>
          <w:tblHeader w:val="false"/>
        </w:trPr>
        <w:tc>
          <w:tcPr>
            <w:tcW w:type="dxa" w:w="29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Causal regime only</w:t>
            </w:r>
          </w:p>
        </w:tc>
        <w:tc>
          <w:tcPr>
            <w:tcW w:type="dxa" w:w="125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105.6</w:t>
            </w:r>
          </w:p>
        </w:tc>
        <w:tc>
          <w:tcPr>
            <w:tcW w:type="dxa" w:w="125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1.76</w:t>
            </w:r>
          </w:p>
        </w:tc>
        <w:tc>
          <w:tcPr>
            <w:tcW w:type="dxa" w:w="13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2.15</w:t>
            </w:r>
          </w:p>
        </w:tc>
        <w:tc>
          <w:tcPr>
            <w:tcW w:type="dxa" w:w="13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1.60</w:t>
            </w:r>
          </w:p>
        </w:tc>
        <w:tc>
          <w:tcPr>
            <w:tcW w:type="dxa" w:w="13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92</w:t>
            </w:r>
          </w:p>
        </w:tc>
      </w:tr>
      <w:tr>
        <w:trPr>
          <w:cantSplit/>
          <w:tblHeader w:val="false"/>
        </w:trPr>
        <w:tc>
          <w:tcPr>
            <w:tcW w:type="dxa" w:w="29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Fully causal (both)</w:t>
            </w:r>
          </w:p>
        </w:tc>
        <w:tc>
          <w:tcPr>
            <w:tcW w:type="dxa" w:w="125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105.6</w:t>
            </w:r>
          </w:p>
        </w:tc>
        <w:tc>
          <w:tcPr>
            <w:tcW w:type="dxa" w:w="125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1.77</w:t>
            </w:r>
          </w:p>
        </w:tc>
        <w:tc>
          <w:tcPr>
            <w:tcW w:type="dxa" w:w="13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2.15</w:t>
            </w:r>
          </w:p>
        </w:tc>
        <w:tc>
          <w:tcPr>
            <w:tcW w:type="dxa" w:w="13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1.72</w:t>
            </w:r>
          </w:p>
        </w:tc>
        <w:tc>
          <w:tcPr>
            <w:tcW w:type="dxa" w:w="13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95</w:t>
            </w:r>
          </w:p>
        </w:tc>
      </w:tr>
    </w:tbl>
    <w:p>
      <w:pPr>
        <w:spacing w:after="140"/>
        <w:jc w:val="center"/>
      </w:pPr>
      <w:r>
        <w:rPr>
          <w:rFonts w:ascii="Calibri" w:cs="Calibri" w:eastAsia="Calibri" w:hAnsi="Calibri"/>
          <w:i/>
          <w:iCs/>
          <w:color w:val="555555"/>
          <w:sz w:val="18"/>
          <w:szCs w:val="18"/>
        </w:rPr>
        <w:t xml:space="preserve">Table 1b. Batch (shipped) vs strictly causal features. 1 seed, 600 trees, same folds and splits as Table 6 and Table 5. Causal = trailing 28-day market mean and month-to-date regime (no signal for the first 4 days of a month).</w:t>
      </w:r>
    </w:p>
    <w:p>
      <w:pPr>
        <w:spacing w:after="110"/>
      </w:pPr>
      <w:r>
        <w:rPr>
          <w:rFonts w:ascii="Calibri" w:cs="Calibri" w:eastAsia="Calibri" w:hAnsi="Calibri"/>
          <w:sz w:val="21"/>
          <w:szCs w:val="21"/>
        </w:rPr>
        <w:t xml:space="preserve">Making both features strictly causal leaves the five-fold median error essentially unchanged (1.77% vs 1.76%, core MAPE 2.15% vs 2.50%) and is slightly worse on the August noise-regime test (1.72% vs 1.61% median). A deployment that must score loads before the rest of the month exists can therefore use build_day_table_causal at small cost. The shipped predictions use the batch version because the assessment scores one complete file.</w:t>
      </w:r>
    </w:p>
    <w:p>
      <w:pPr>
        <w:pStyle w:val="ListParagraph"/>
        <w:numPr>
          <w:ilvl w:val="0"/>
          <w:numId w:val="2"/>
        </w:numPr>
        <w:spacing w:after="60"/>
      </w:pPr>
      <w:r>
        <w:rPr>
          <w:rFonts w:ascii="Calibri" w:cs="Calibri" w:eastAsia="Calibri" w:hAnsi="Calibri"/>
          <w:b/>
          <w:bCs/>
          <w:sz w:val="21"/>
          <w:szCs w:val="21"/>
        </w:rPr>
        <w:t xml:space="preserve">Unseen cities. </w:t>
      </w:r>
      <w:r>
        <w:rPr>
          <w:rFonts w:ascii="Calibri" w:cs="Calibri" w:eastAsia="Calibri" w:hAnsi="Calibri"/>
          <w:sz w:val="21"/>
          <w:szCs w:val="21"/>
        </w:rPr>
        <w:t xml:space="preserve">8 cities in validation never appear in training (1,447 rows). Forward folds contain none, so this is tested separately by holding out 8 random cities (3 repeats, 1 seed, identical features in both models): median error 1.43% with coordinates and 1.40% without. The model therefore handles unseen cities well, but the coordinates add nothing measurable there; it never uses city IDs, and geography enters through distance. An earlier configuration without quote_signal showed a gap (2.6% vs 3.2%) that does not persist in the final model.</w:t>
      </w:r>
    </w:p>
    <w:p>
      <w:pPr>
        <w:pStyle w:val="Heading1"/>
        <w:keepNext/>
        <w:spacing w:after="120" w:before="260"/>
      </w:pPr>
      <w:r>
        <w:rPr>
          <w:rFonts w:ascii="Calibri" w:cs="Calibri" w:eastAsia="Calibri" w:hAnsi="Calibri"/>
          <w:b/>
          <w:bCs/>
          <w:color w:val="064A56"/>
          <w:sz w:val="30"/>
          <w:szCs w:val="30"/>
        </w:rPr>
        <w:t xml:space="preserve">3. Data quality</w:t>
      </w:r>
    </w:p>
    <w:p>
      <w:pPr>
        <w:keepNext/>
        <w:spacing w:after="60" w:before="80"/>
        <w:jc w:val="center"/>
      </w:pPr>
      <w:r>
        <w:drawing>
          <wp:inline distT="0" distB="0" distL="0" distR="0">
            <wp:extent cx="5334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3367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3. Data-quality panel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00"/>
        <w:gridCol w:w="2660"/>
      </w:tblGrid>
      <w:tr>
        <w:trPr>
          <w:cantSplit/>
          <w:tblHeader/>
        </w:trPr>
        <w:tc>
          <w:tcPr>
            <w:tcW w:type="dxa" w:w="42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Check</w:t>
            </w:r>
          </w:p>
        </w:tc>
        <w:tc>
          <w:tcPr>
            <w:tcW w:type="dxa" w:w="25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Train</w:t>
            </w:r>
          </w:p>
        </w:tc>
        <w:tc>
          <w:tcPr>
            <w:tcW w:type="dxa" w:w="266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Validation</w:t>
            </w:r>
          </w:p>
        </w:tc>
      </w:tr>
      <w:tr>
        <w:trPr>
          <w:cantSplit/>
          <w:tblHeader w:val="false"/>
        </w:trPr>
        <w:tc>
          <w:tcPr>
            <w:tcW w:type="dxa" w:w="42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rows</w:t>
            </w:r>
          </w:p>
        </w:tc>
        <w:tc>
          <w:tcPr>
            <w:tcW w:type="dxa" w:w="25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48,000</w:t>
            </w:r>
          </w:p>
        </w:tc>
        <w:tc>
          <w:tcPr>
            <w:tcW w:type="dxa" w:w="26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12,000</w:t>
            </w:r>
          </w:p>
        </w:tc>
      </w:tr>
      <w:tr>
        <w:trPr>
          <w:cantSplit/>
          <w:tblHeader w:val="false"/>
        </w:trPr>
        <w:tc>
          <w:tcPr>
            <w:tcW w:type="dxa" w:w="42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missing weight</w:t>
            </w:r>
          </w:p>
        </w:tc>
        <w:tc>
          <w:tcPr>
            <w:tcW w:type="dxa" w:w="25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300</w:t>
            </w:r>
          </w:p>
        </w:tc>
        <w:tc>
          <w:tcPr>
            <w:tcW w:type="dxa" w:w="26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165</w:t>
            </w:r>
          </w:p>
        </w:tc>
      </w:tr>
      <w:tr>
        <w:trPr>
          <w:cantSplit/>
          <w:tblHeader w:val="false"/>
        </w:trPr>
        <w:tc>
          <w:tcPr>
            <w:tcW w:type="dxa" w:w="42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missing market_index</w:t>
            </w:r>
          </w:p>
        </w:tc>
        <w:tc>
          <w:tcPr>
            <w:tcW w:type="dxa" w:w="25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374</w:t>
            </w:r>
          </w:p>
        </w:tc>
        <w:tc>
          <w:tcPr>
            <w:tcW w:type="dxa" w:w="26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249</w:t>
            </w:r>
          </w:p>
        </w:tc>
      </w:tr>
      <w:tr>
        <w:trPr>
          <w:cantSplit/>
          <w:tblHeader w:val="false"/>
        </w:trPr>
        <w:tc>
          <w:tcPr>
            <w:tcW w:type="dxa" w:w="42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negative weight</w:t>
            </w:r>
          </w:p>
        </w:tc>
        <w:tc>
          <w:tcPr>
            <w:tcW w:type="dxa" w:w="25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292</w:t>
            </w:r>
          </w:p>
        </w:tc>
        <w:tc>
          <w:tcPr>
            <w:tcW w:type="dxa" w:w="26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145</w:t>
            </w:r>
          </w:p>
        </w:tc>
      </w:tr>
      <w:tr>
        <w:trPr>
          <w:cantSplit/>
          <w:tblHeader w:val="false"/>
        </w:trPr>
        <w:tc>
          <w:tcPr>
            <w:tcW w:type="dxa" w:w="42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weight at +/-47,500</w:t>
            </w:r>
          </w:p>
        </w:tc>
        <w:tc>
          <w:tcPr>
            <w:tcW w:type="dxa" w:w="25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1,204</w:t>
            </w:r>
          </w:p>
        </w:tc>
        <w:tc>
          <w:tcPr>
            <w:tcW w:type="dxa" w:w="26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301</w:t>
            </w:r>
          </w:p>
        </w:tc>
      </w:tr>
      <w:tr>
        <w:trPr>
          <w:cantSplit/>
          <w:tblHeader w:val="false"/>
        </w:trPr>
        <w:tc>
          <w:tcPr>
            <w:tcW w:type="dxa" w:w="42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distance == 70</w:t>
            </w:r>
          </w:p>
        </w:tc>
        <w:tc>
          <w:tcPr>
            <w:tcW w:type="dxa" w:w="25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48</w:t>
            </w:r>
          </w:p>
        </w:tc>
        <w:tc>
          <w:tcPr>
            <w:tcW w:type="dxa" w:w="26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21</w:t>
            </w:r>
          </w:p>
        </w:tc>
      </w:tr>
      <w:tr>
        <w:trPr>
          <w:cantSplit/>
          <w:tblHeader w:val="false"/>
        </w:trPr>
        <w:tc>
          <w:tcPr>
            <w:tcW w:type="dxa" w:w="42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duplicate load_id</w:t>
            </w:r>
          </w:p>
        </w:tc>
        <w:tc>
          <w:tcPr>
            <w:tcW w:type="dxa" w:w="25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w:t>
            </w:r>
          </w:p>
        </w:tc>
        <w:tc>
          <w:tcPr>
            <w:tcW w:type="dxa" w:w="26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w:t>
            </w:r>
          </w:p>
        </w:tc>
      </w:tr>
      <w:tr>
        <w:trPr>
          <w:cantSplit/>
          <w:tblHeader w:val="false"/>
        </w:trPr>
        <w:tc>
          <w:tcPr>
            <w:tcW w:type="dxa" w:w="42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rows with unseen cities</w:t>
            </w:r>
          </w:p>
        </w:tc>
        <w:tc>
          <w:tcPr>
            <w:tcW w:type="dxa" w:w="25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w:t>
            </w:r>
          </w:p>
        </w:tc>
        <w:tc>
          <w:tcPr>
            <w:tcW w:type="dxa" w:w="26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1,447</w:t>
            </w:r>
          </w:p>
        </w:tc>
      </w:tr>
    </w:tbl>
    <w:p>
      <w:pPr>
        <w:spacing w:after="140"/>
        <w:jc w:val="center"/>
      </w:pPr>
      <w:r>
        <w:rPr>
          <w:rFonts w:ascii="Calibri" w:cs="Calibri" w:eastAsia="Calibri" w:hAnsi="Calibri"/>
          <w:i/>
          <w:iCs/>
          <w:color w:val="555555"/>
          <w:sz w:val="18"/>
          <w:szCs w:val="18"/>
        </w:rPr>
        <w:t xml:space="preserve">Table 2. Counts in both datasets (same issues appear in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100"/>
        <w:gridCol w:w="3100"/>
        <w:gridCol w:w="1360"/>
      </w:tblGrid>
      <w:tr>
        <w:trPr>
          <w:cantSplit/>
          <w:tblHeader/>
        </w:trPr>
        <w:tc>
          <w:tcPr>
            <w:tcW w:type="dxa" w:w="17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Issue</w:t>
            </w:r>
          </w:p>
        </w:tc>
        <w:tc>
          <w:tcPr>
            <w:tcW w:type="dxa" w:w="11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Load</w:t>
            </w:r>
          </w:p>
        </w:tc>
        <w:tc>
          <w:tcPr>
            <w:tcW w:type="dxa" w:w="21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Lane</w:t>
            </w:r>
          </w:p>
        </w:tc>
        <w:tc>
          <w:tcPr>
            <w:tcW w:type="dxa" w:w="31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Evidence</w:t>
            </w:r>
          </w:p>
        </w:tc>
        <w:tc>
          <w:tcPr>
            <w:tcW w:type="dxa" w:w="136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Fix</w:t>
            </w:r>
          </w:p>
        </w:tc>
      </w:tr>
      <w:tr>
        <w:trPr>
          <w:cantSplit/>
          <w:tblHeader w:val="false"/>
        </w:trPr>
        <w:tc>
          <w:tcPr>
            <w:tcW w:type="dxa" w:w="17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Negative weight</w:t>
            </w:r>
          </w:p>
        </w:tc>
        <w:tc>
          <w:tcPr>
            <w:tcW w:type="dxa" w:w="11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TR-000069</w:t>
            </w:r>
          </w:p>
        </w:tc>
        <w:tc>
          <w:tcPr>
            <w:tcW w:type="dxa" w:w="21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Amarillo → Dayton</w:t>
            </w:r>
          </w:p>
        </w:tc>
        <w:tc>
          <w:tcPr>
            <w:tcW w:type="dxa" w:w="31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weight = -36,559 lb</w:t>
            </w:r>
          </w:p>
        </w:tc>
        <w:tc>
          <w:tcPr>
            <w:tcW w:type="dxa" w:w="13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abs() → 36,559</w:t>
            </w:r>
          </w:p>
        </w:tc>
      </w:tr>
      <w:tr>
        <w:trPr>
          <w:cantSplit/>
          <w:tblHeader w:val="false"/>
        </w:trPr>
        <w:tc>
          <w:tcPr>
            <w:tcW w:type="dxa" w:w="17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Corrupted label (high)</w:t>
            </w:r>
          </w:p>
        </w:tc>
        <w:tc>
          <w:tcPr>
            <w:tcW w:type="dxa" w:w="11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TR-000389</w:t>
            </w:r>
          </w:p>
        </w:tc>
        <w:tc>
          <w:tcPr>
            <w:tcW w:type="dxa" w:w="21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Corpus Christi → Chattanooga</w:t>
            </w:r>
          </w:p>
        </w:tc>
        <w:tc>
          <w:tcPr>
            <w:tcW w:type="dxa" w:w="31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rate $5,485 vs lane median $1,753 (3.1x)</w:t>
            </w:r>
          </w:p>
        </w:tc>
        <w:tc>
          <w:tcPr>
            <w:tcW w:type="dxa" w:w="13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L1 loss</w:t>
            </w:r>
          </w:p>
        </w:tc>
      </w:tr>
      <w:tr>
        <w:trPr>
          <w:cantSplit/>
          <w:tblHeader w:val="false"/>
        </w:trPr>
        <w:tc>
          <w:tcPr>
            <w:tcW w:type="dxa" w:w="17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Corrupted label (low)</w:t>
            </w:r>
          </w:p>
        </w:tc>
        <w:tc>
          <w:tcPr>
            <w:tcW w:type="dxa" w:w="11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TR-000509</w:t>
            </w:r>
          </w:p>
        </w:tc>
        <w:tc>
          <w:tcPr>
            <w:tcW w:type="dxa" w:w="21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Las Vegas → Grand Rapids</w:t>
            </w:r>
          </w:p>
        </w:tc>
        <w:tc>
          <w:tcPr>
            <w:tcW w:type="dxa" w:w="31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rate $699 vs lane median $3,576 (0.20x)</w:t>
            </w:r>
          </w:p>
        </w:tc>
        <w:tc>
          <w:tcPr>
            <w:tcW w:type="dxa" w:w="13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L1 loss</w:t>
            </w:r>
          </w:p>
        </w:tc>
      </w:tr>
    </w:tbl>
    <w:p>
      <w:pPr>
        <w:spacing w:after="140"/>
        <w:jc w:val="center"/>
      </w:pPr>
      <w:r>
        <w:rPr>
          <w:rFonts w:ascii="Calibri" w:cs="Calibri" w:eastAsia="Calibri" w:hAnsi="Calibri"/>
          <w:i/>
          <w:iCs/>
          <w:color w:val="555555"/>
          <w:sz w:val="18"/>
          <w:szCs w:val="18"/>
        </w:rPr>
        <w:t xml:space="preserve">Table 3. Concrete examples.</w:t>
      </w:r>
    </w:p>
    <w:p>
      <w:pPr>
        <w:pStyle w:val="ListParagraph"/>
        <w:numPr>
          <w:ilvl w:val="0"/>
          <w:numId w:val="2"/>
        </w:numPr>
        <w:spacing w:after="60"/>
      </w:pPr>
      <w:r>
        <w:rPr>
          <w:rFonts w:ascii="Calibri" w:cs="Calibri" w:eastAsia="Calibri" w:hAnsi="Calibri"/>
          <w:b/>
          <w:bCs/>
          <w:sz w:val="21"/>
          <w:szCs w:val="21"/>
        </w:rPr>
        <w:t xml:space="preserve">Weight: </w:t>
      </w:r>
      <w:r>
        <w:rPr>
          <w:rFonts w:ascii="Calibri" w:cs="Calibri" w:eastAsia="Calibri" w:hAnsi="Calibri"/>
          <w:sz w:val="21"/>
          <w:szCs w:val="21"/>
        </w:rPr>
        <w:t xml:space="preserve">negatives are sign flips and become abs(); values at 47,500 are a clipping plateau; missing weight stays NaN and is handled natively by LightGBM. Rows with missing weight are predicted as well as others (median error 1.53% vs 1.58%).</w:t>
      </w:r>
    </w:p>
    <w:p>
      <w:pPr>
        <w:pStyle w:val="ListParagraph"/>
        <w:numPr>
          <w:ilvl w:val="0"/>
          <w:numId w:val="2"/>
        </w:numPr>
        <w:spacing w:after="60"/>
      </w:pPr>
      <w:r>
        <w:rPr>
          <w:rFonts w:ascii="Calibri" w:cs="Calibri" w:eastAsia="Calibri" w:hAnsi="Calibri"/>
          <w:b/>
          <w:bCs/>
          <w:sz w:val="21"/>
          <w:szCs w:val="21"/>
        </w:rPr>
        <w:t xml:space="preserve">market_index: </w:t>
      </w:r>
      <w:r>
        <w:rPr>
          <w:rFonts w:ascii="Calibri" w:cs="Calibri" w:eastAsia="Calibri" w:hAnsi="Calibri"/>
          <w:sz w:val="21"/>
          <w:szCs w:val="21"/>
        </w:rPr>
        <w:t xml:space="preserve">the row value is a noisy reading of a daily level, so the model uses the daily mean. A date with no usable reading gets no daily adjustment (dm_dev = 0); tests/check_outputs.py verifies this and finite predictions for missing and negative weights.</w:t>
      </w:r>
    </w:p>
    <w:p>
      <w:pPr>
        <w:pStyle w:val="ListParagraph"/>
        <w:numPr>
          <w:ilvl w:val="0"/>
          <w:numId w:val="2"/>
        </w:numPr>
        <w:spacing w:after="60"/>
      </w:pPr>
      <w:r>
        <w:rPr>
          <w:rFonts w:ascii="Calibri" w:cs="Calibri" w:eastAsia="Calibri" w:hAnsi="Calibri"/>
          <w:b/>
          <w:bCs/>
          <w:sz w:val="21"/>
          <w:szCs w:val="21"/>
        </w:rPr>
        <w:t xml:space="preserve">Distance: </w:t>
      </w:r>
      <w:r>
        <w:rPr>
          <w:rFonts w:ascii="Calibri" w:cs="Calibri" w:eastAsia="Calibri" w:hAnsi="Calibri"/>
          <w:sz w:val="21"/>
          <w:szCs w:val="21"/>
        </w:rPr>
        <w:t xml:space="preserve">floor at 70 miles and about 5% noise per lane, so straight-line distance from coordinates is added.</w:t>
      </w:r>
    </w:p>
    <w:p>
      <w:pPr>
        <w:pStyle w:val="ListParagraph"/>
        <w:numPr>
          <w:ilvl w:val="0"/>
          <w:numId w:val="2"/>
        </w:numPr>
        <w:spacing w:after="60"/>
      </w:pPr>
      <w:r>
        <w:rPr>
          <w:rFonts w:ascii="Calibri" w:cs="Calibri" w:eastAsia="Calibri" w:hAnsi="Calibri"/>
          <w:b/>
          <w:bCs/>
          <w:sz w:val="21"/>
          <w:szCs w:val="21"/>
        </w:rPr>
        <w:t xml:space="preserve">Corrupted labels: </w:t>
      </w:r>
      <w:r>
        <w:rPr>
          <w:rFonts w:ascii="Calibri" w:cs="Calibri" w:eastAsia="Calibri" w:hAnsi="Calibri"/>
          <w:sz w:val="21"/>
          <w:szCs w:val="21"/>
        </w:rPr>
        <w:t xml:space="preserve">about 1.4% of rates are above 2x or below 0.5x the lane median and are unpredictable from features (AUC 0.50). They stay in the data; the L1 loss limits their influence, and I report all-row metrics alongside "core" metrics (rows with absolute % error below 50%).</w:t>
      </w:r>
    </w:p>
    <w:p>
      <w:pPr>
        <w:pStyle w:val="Heading1"/>
        <w:keepNext/>
        <w:spacing w:after="120" w:before="260"/>
      </w:pPr>
      <w:r>
        <w:rPr>
          <w:rFonts w:ascii="Calibri" w:cs="Calibri" w:eastAsia="Calibri" w:hAnsi="Calibri"/>
          <w:b/>
          <w:bCs/>
          <w:color w:val="064A56"/>
          <w:sz w:val="30"/>
          <w:szCs w:val="30"/>
        </w:rPr>
        <w:t xml:space="preserve">4. quote_signal: a regime-aware feature</w:t>
      </w:r>
    </w:p>
    <w:p>
      <w:pPr>
        <w:keepNext/>
        <w:spacing w:after="60" w:before="80"/>
        <w:jc w:val="center"/>
      </w:pPr>
      <w:r>
        <w:drawing>
          <wp:inline distT="0" distB="0" distL="0" distR="0">
            <wp:extent cx="5143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743200"/>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4. Skew of quote_signal and its correlation with rate per mile on long hauls, by week.</w:t>
      </w:r>
    </w:p>
    <w:p>
      <w:pPr>
        <w:spacing w:after="110"/>
      </w:pPr>
      <w:r>
        <w:rPr>
          <w:rFonts w:ascii="Calibri" w:cs="Calibri" w:eastAsia="Calibri" w:hAnsi="Calibri"/>
          <w:sz w:val="21"/>
          <w:szCs w:val="21"/>
        </w:rPr>
        <w:t xml:space="preserve">quote_signal is positively related to rate per mile in Jan-Mar, Jun and Sep, negatively in Apr, May, Jul and Oct, and unrelated in August. Nov and Dec look like August. Using it raw therefore mixes opposite effects. The model uses qs_signed = (quote_signal - 2.05) x regime sign (+1, -1, or 0 in noise months), so it learns "no information" when the regime is noise.</w:t>
      </w:r>
    </w:p>
    <w:p>
      <w:pPr>
        <w:spacing w:after="110"/>
      </w:pPr>
      <w:r>
        <w:rPr>
          <w:rFonts w:ascii="Calibri" w:cs="Calibri" w:eastAsia="Calibri" w:hAnsi="Calibri"/>
          <w:b/>
          <w:bCs/>
          <w:sz w:val="21"/>
          <w:szCs w:val="21"/>
        </w:rPr>
        <w:t xml:space="preserve">How the decision was made. </w:t>
      </w:r>
      <w:r>
        <w:rPr>
          <w:rFonts w:ascii="Calibri" w:cs="Calibri" w:eastAsia="Calibri" w:hAnsi="Calibri"/>
          <w:sz w:val="21"/>
          <w:szCs w:val="21"/>
        </w:rPr>
        <w:t xml:space="preserve">My first version excluded quote_signal after a test that trained on no noise-regime month, which unfairly penalised any model using it. The fairer comparison below uses identical folds, cleaning and metrics for every row. Regime-aware wins on the five forward folds and on the causal noise-regime test; raw inclusion helps on the forward folds but not in the noise regime. Adding a regime indicator on top changed nothing, so the simpler signed-only version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300"/>
        <w:gridCol w:w="1400"/>
        <w:gridCol w:w="1400"/>
        <w:gridCol w:w="1360"/>
      </w:tblGrid>
      <w:tr>
        <w:trPr>
          <w:cantSplit/>
          <w:tblHeader/>
        </w:trPr>
        <w:tc>
          <w:tcPr>
            <w:tcW w:type="dxa" w:w="39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Configuration</w:t>
            </w:r>
          </w:p>
        </w:tc>
        <w:tc>
          <w:tcPr>
            <w:tcW w:type="dxa" w:w="13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5-fold median %</w:t>
            </w:r>
          </w:p>
        </w:tc>
        <w:tc>
          <w:tcPr>
            <w:tcW w:type="dxa" w:w="14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5-fold core MAPE %</w:t>
            </w:r>
          </w:p>
        </w:tc>
        <w:tc>
          <w:tcPr>
            <w:tcW w:type="dxa" w:w="14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Aug-only median %</w:t>
            </w:r>
          </w:p>
        </w:tc>
        <w:tc>
          <w:tcPr>
            <w:tcW w:type="dxa" w:w="136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Aug-only core MAPE %</w:t>
            </w:r>
          </w:p>
        </w:tc>
      </w:tr>
      <w:tr>
        <w:trPr>
          <w:cantSplit/>
          <w:tblHeader w:val="false"/>
        </w:trPr>
        <w:tc>
          <w:tcPr>
            <w:tcW w:type="dxa" w:w="39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Exclude quote_signal</w:t>
            </w:r>
          </w:p>
        </w:tc>
        <w:tc>
          <w:tcPr>
            <w:tcW w:type="dxa" w:w="13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2.80</w:t>
            </w:r>
          </w:p>
        </w:tc>
        <w:tc>
          <w:tcPr>
            <w:tcW w:type="dxa" w:w="14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3.08</w:t>
            </w:r>
          </w:p>
        </w:tc>
        <w:tc>
          <w:tcPr>
            <w:tcW w:type="dxa" w:w="14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3.33</w:t>
            </w:r>
          </w:p>
        </w:tc>
        <w:tc>
          <w:tcPr>
            <w:tcW w:type="dxa" w:w="13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3.44</w:t>
            </w:r>
          </w:p>
        </w:tc>
      </w:tr>
      <w:tr>
        <w:trPr>
          <w:cantSplit/>
          <w:tblHeader w:val="false"/>
        </w:trPr>
        <w:tc>
          <w:tcPr>
            <w:tcW w:type="dxa" w:w="39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Include raw quote_signal</w:t>
            </w:r>
          </w:p>
        </w:tc>
        <w:tc>
          <w:tcPr>
            <w:tcW w:type="dxa" w:w="13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2.10</w:t>
            </w:r>
          </w:p>
        </w:tc>
        <w:tc>
          <w:tcPr>
            <w:tcW w:type="dxa" w:w="14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2.73</w:t>
            </w:r>
          </w:p>
        </w:tc>
        <w:tc>
          <w:tcPr>
            <w:tcW w:type="dxa" w:w="14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4.05</w:t>
            </w:r>
          </w:p>
        </w:tc>
        <w:tc>
          <w:tcPr>
            <w:tcW w:type="dxa" w:w="13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4.61</w:t>
            </w:r>
          </w:p>
        </w:tc>
      </w:tr>
      <w:tr>
        <w:trPr>
          <w:cantSplit/>
          <w:tblHeader w:val="false"/>
        </w:trPr>
        <w:tc>
          <w:tcPr>
            <w:tcW w:type="dxa" w:w="39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bCs/>
                <w:color w:val="222222"/>
                <w:sz w:val="18"/>
                <w:szCs w:val="18"/>
              </w:rPr>
              <w:t xml:space="preserve">Regime-aware: signed signal only (FINAL)</w:t>
            </w:r>
          </w:p>
        </w:tc>
        <w:tc>
          <w:tcPr>
            <w:tcW w:type="dxa" w:w="13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bCs/>
                <w:color w:val="222222"/>
                <w:sz w:val="18"/>
                <w:szCs w:val="18"/>
              </w:rPr>
              <w:t xml:space="preserve">1.76</w:t>
            </w:r>
          </w:p>
        </w:tc>
        <w:tc>
          <w:tcPr>
            <w:tcW w:type="dxa" w:w="14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bCs/>
                <w:color w:val="222222"/>
                <w:sz w:val="18"/>
                <w:szCs w:val="18"/>
              </w:rPr>
              <w:t xml:space="preserve">2.50</w:t>
            </w:r>
          </w:p>
        </w:tc>
        <w:tc>
          <w:tcPr>
            <w:tcW w:type="dxa" w:w="14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bCs/>
                <w:color w:val="222222"/>
                <w:sz w:val="18"/>
                <w:szCs w:val="18"/>
              </w:rPr>
              <w:t xml:space="preserve">5.38</w:t>
            </w:r>
          </w:p>
        </w:tc>
        <w:tc>
          <w:tcPr>
            <w:tcW w:type="dxa" w:w="13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bCs/>
                <w:color w:val="222222"/>
                <w:sz w:val="18"/>
                <w:szCs w:val="18"/>
              </w:rPr>
              <w:t xml:space="preserve">6.00</w:t>
            </w:r>
          </w:p>
        </w:tc>
      </w:tr>
      <w:tr>
        <w:trPr>
          <w:cantSplit/>
          <w:tblHeader w:val="false"/>
        </w:trPr>
        <w:tc>
          <w:tcPr>
            <w:tcW w:type="dxa" w:w="39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Regime-aware: signed signal + regime indicator</w:t>
            </w:r>
          </w:p>
        </w:tc>
        <w:tc>
          <w:tcPr>
            <w:tcW w:type="dxa" w:w="13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1.51</w:t>
            </w:r>
          </w:p>
        </w:tc>
        <w:tc>
          <w:tcPr>
            <w:tcW w:type="dxa" w:w="14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2.35</w:t>
            </w:r>
          </w:p>
        </w:tc>
        <w:tc>
          <w:tcPr>
            <w:tcW w:type="dxa" w:w="14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5.41</w:t>
            </w:r>
          </w:p>
        </w:tc>
        <w:tc>
          <w:tcPr>
            <w:tcW w:type="dxa" w:w="13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6.07</w:t>
            </w:r>
          </w:p>
        </w:tc>
      </w:tr>
    </w:tbl>
    <w:p>
      <w:pPr>
        <w:spacing w:after="140"/>
        <w:jc w:val="center"/>
      </w:pPr>
      <w:r>
        <w:rPr>
          <w:rFonts w:ascii="Calibri" w:cs="Calibri" w:eastAsia="Calibri" w:hAnsi="Calibri"/>
          <w:i/>
          <w:iCs/>
          <w:color w:val="555555"/>
          <w:sz w:val="18"/>
          <w:szCs w:val="18"/>
        </w:rPr>
        <w:t xml:space="preserve">Table 4. 1 seed, 600 trees. Five forward folds, plus an August-only fold trained on Jan-Jul (no noise month in training, so it is unfavourable to regime-aware by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1100"/>
        <w:gridCol w:w="1000"/>
        <w:gridCol w:w="900"/>
        <w:gridCol w:w="1000"/>
        <w:gridCol w:w="1460"/>
      </w:tblGrid>
      <w:tr>
        <w:trPr>
          <w:cantSplit/>
          <w:tblHeader/>
        </w:trPr>
        <w:tc>
          <w:tcPr>
            <w:tcW w:type="dxa" w:w="27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Configuration</w:t>
            </w:r>
          </w:p>
        </w:tc>
        <w:tc>
          <w:tcPr>
            <w:tcW w:type="dxa" w:w="12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Test window</w:t>
            </w:r>
          </w:p>
        </w:tc>
        <w:tc>
          <w:tcPr>
            <w:tcW w:type="dxa" w:w="11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Noise rows in train</w:t>
            </w:r>
          </w:p>
        </w:tc>
        <w:tc>
          <w:tcPr>
            <w:tcW w:type="dxa" w:w="10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Test rows</w:t>
            </w:r>
          </w:p>
        </w:tc>
        <w:tc>
          <w:tcPr>
            <w:tcW w:type="dxa" w:w="9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MAE ($)</w:t>
            </w:r>
          </w:p>
        </w:tc>
        <w:tc>
          <w:tcPr>
            <w:tcW w:type="dxa" w:w="10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Median %</w:t>
            </w:r>
          </w:p>
        </w:tc>
        <w:tc>
          <w:tcPr>
            <w:tcW w:type="dxa" w:w="146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Core MAPE %</w:t>
            </w:r>
          </w:p>
        </w:tc>
      </w:tr>
      <w:tr>
        <w:trPr>
          <w:cantSplit/>
          <w:tblHeader w:val="false"/>
        </w:trPr>
        <w:tc>
          <w:tcPr>
            <w:tcW w:type="dxa" w:w="27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Exclude quote_signal</w:t>
            </w:r>
          </w:p>
        </w:tc>
        <w:tc>
          <w:tcPr>
            <w:tcW w:type="dxa" w:w="12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Aug 16-31</w:t>
            </w:r>
          </w:p>
        </w:tc>
        <w:tc>
          <w:tcPr>
            <w:tcW w:type="dxa" w:w="11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2,313</w:t>
            </w:r>
          </w:p>
        </w:tc>
        <w:tc>
          <w:tcPr>
            <w:tcW w:type="dxa" w:w="10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2,446</w:t>
            </w:r>
          </w:p>
        </w:tc>
        <w:tc>
          <w:tcPr>
            <w:tcW w:type="dxa" w:w="9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110</w:t>
            </w:r>
          </w:p>
        </w:tc>
        <w:tc>
          <w:tcPr>
            <w:tcW w:type="dxa" w:w="10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2.45</w:t>
            </w:r>
          </w:p>
        </w:tc>
        <w:tc>
          <w:tcPr>
            <w:tcW w:type="dxa" w:w="14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2.63</w:t>
            </w:r>
          </w:p>
        </w:tc>
      </w:tr>
      <w:tr>
        <w:trPr>
          <w:cantSplit/>
          <w:tblHeader w:val="false"/>
        </w:trPr>
        <w:tc>
          <w:tcPr>
            <w:tcW w:type="dxa" w:w="27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Exclude quote_signal</w:t>
            </w:r>
          </w:p>
        </w:tc>
        <w:tc>
          <w:tcPr>
            <w:tcW w:type="dxa" w:w="12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Aug 9-31</w:t>
            </w:r>
          </w:p>
        </w:tc>
        <w:tc>
          <w:tcPr>
            <w:tcW w:type="dxa" w:w="11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1,268</w:t>
            </w:r>
          </w:p>
        </w:tc>
        <w:tc>
          <w:tcPr>
            <w:tcW w:type="dxa" w:w="10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3,491</w:t>
            </w:r>
          </w:p>
        </w:tc>
        <w:tc>
          <w:tcPr>
            <w:tcW w:type="dxa" w:w="9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124</w:t>
            </w:r>
          </w:p>
        </w:tc>
        <w:tc>
          <w:tcPr>
            <w:tcW w:type="dxa" w:w="10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2.78</w:t>
            </w:r>
          </w:p>
        </w:tc>
        <w:tc>
          <w:tcPr>
            <w:tcW w:type="dxa" w:w="14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2.97</w:t>
            </w:r>
          </w:p>
        </w:tc>
      </w:tr>
      <w:tr>
        <w:trPr>
          <w:cantSplit/>
          <w:tblHeader w:val="false"/>
        </w:trPr>
        <w:tc>
          <w:tcPr>
            <w:tcW w:type="dxa" w:w="27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Include raw quote_signal</w:t>
            </w:r>
          </w:p>
        </w:tc>
        <w:tc>
          <w:tcPr>
            <w:tcW w:type="dxa" w:w="12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Aug 16-31</w:t>
            </w:r>
          </w:p>
        </w:tc>
        <w:tc>
          <w:tcPr>
            <w:tcW w:type="dxa" w:w="11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2,313</w:t>
            </w:r>
          </w:p>
        </w:tc>
        <w:tc>
          <w:tcPr>
            <w:tcW w:type="dxa" w:w="10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2,446</w:t>
            </w:r>
          </w:p>
        </w:tc>
        <w:tc>
          <w:tcPr>
            <w:tcW w:type="dxa" w:w="9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117</w:t>
            </w:r>
          </w:p>
        </w:tc>
        <w:tc>
          <w:tcPr>
            <w:tcW w:type="dxa" w:w="10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2.55</w:t>
            </w:r>
          </w:p>
        </w:tc>
        <w:tc>
          <w:tcPr>
            <w:tcW w:type="dxa" w:w="14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2.86</w:t>
            </w:r>
          </w:p>
        </w:tc>
      </w:tr>
      <w:tr>
        <w:trPr>
          <w:cantSplit/>
          <w:tblHeader w:val="false"/>
        </w:trPr>
        <w:tc>
          <w:tcPr>
            <w:tcW w:type="dxa" w:w="27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Include raw quote_signal</w:t>
            </w:r>
          </w:p>
        </w:tc>
        <w:tc>
          <w:tcPr>
            <w:tcW w:type="dxa" w:w="12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Aug 9-31</w:t>
            </w:r>
          </w:p>
        </w:tc>
        <w:tc>
          <w:tcPr>
            <w:tcW w:type="dxa" w:w="11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1,268</w:t>
            </w:r>
          </w:p>
        </w:tc>
        <w:tc>
          <w:tcPr>
            <w:tcW w:type="dxa" w:w="10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3,491</w:t>
            </w:r>
          </w:p>
        </w:tc>
        <w:tc>
          <w:tcPr>
            <w:tcW w:type="dxa" w:w="9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134</w:t>
            </w:r>
          </w:p>
        </w:tc>
        <w:tc>
          <w:tcPr>
            <w:tcW w:type="dxa" w:w="10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2.94</w:t>
            </w:r>
          </w:p>
        </w:tc>
        <w:tc>
          <w:tcPr>
            <w:tcW w:type="dxa" w:w="14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3.40</w:t>
            </w:r>
          </w:p>
        </w:tc>
      </w:tr>
      <w:tr>
        <w:trPr>
          <w:cantSplit/>
          <w:tblHeader w:val="false"/>
        </w:trPr>
        <w:tc>
          <w:tcPr>
            <w:tcW w:type="dxa" w:w="27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bCs/>
                <w:color w:val="222222"/>
                <w:sz w:val="18"/>
                <w:szCs w:val="18"/>
              </w:rPr>
              <w:t xml:space="preserve">Regime-aware (FINAL)</w:t>
            </w:r>
          </w:p>
        </w:tc>
        <w:tc>
          <w:tcPr>
            <w:tcW w:type="dxa" w:w="12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bCs/>
                <w:color w:val="222222"/>
                <w:sz w:val="18"/>
                <w:szCs w:val="18"/>
              </w:rPr>
              <w:t xml:space="preserve">Aug 16-31</w:t>
            </w:r>
          </w:p>
        </w:tc>
        <w:tc>
          <w:tcPr>
            <w:tcW w:type="dxa" w:w="11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bCs/>
                <w:color w:val="222222"/>
                <w:sz w:val="18"/>
                <w:szCs w:val="18"/>
              </w:rPr>
              <w:t xml:space="preserve">2,313</w:t>
            </w:r>
          </w:p>
        </w:tc>
        <w:tc>
          <w:tcPr>
            <w:tcW w:type="dxa" w:w="10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bCs/>
                <w:color w:val="222222"/>
                <w:sz w:val="18"/>
                <w:szCs w:val="18"/>
              </w:rPr>
              <w:t xml:space="preserve">2,446</w:t>
            </w:r>
          </w:p>
        </w:tc>
        <w:tc>
          <w:tcPr>
            <w:tcW w:type="dxa" w:w="9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bCs/>
                <w:color w:val="222222"/>
                <w:sz w:val="18"/>
                <w:szCs w:val="18"/>
              </w:rPr>
              <w:t xml:space="preserve">91</w:t>
            </w:r>
          </w:p>
        </w:tc>
        <w:tc>
          <w:tcPr>
            <w:tcW w:type="dxa" w:w="10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bCs/>
                <w:color w:val="222222"/>
                <w:sz w:val="18"/>
                <w:szCs w:val="18"/>
              </w:rPr>
              <w:t xml:space="preserve">1.59</w:t>
            </w:r>
          </w:p>
        </w:tc>
        <w:tc>
          <w:tcPr>
            <w:tcW w:type="dxa" w:w="14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bCs/>
                <w:color w:val="222222"/>
                <w:sz w:val="18"/>
                <w:szCs w:val="18"/>
              </w:rPr>
              <w:t xml:space="preserve">1.88</w:t>
            </w:r>
          </w:p>
        </w:tc>
      </w:tr>
      <w:tr>
        <w:trPr>
          <w:cantSplit/>
          <w:tblHeader w:val="false"/>
        </w:trPr>
        <w:tc>
          <w:tcPr>
            <w:tcW w:type="dxa" w:w="27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bCs/>
                <w:color w:val="222222"/>
                <w:sz w:val="18"/>
                <w:szCs w:val="18"/>
              </w:rPr>
              <w:t xml:space="preserve">Regime-aware (FINAL)</w:t>
            </w:r>
          </w:p>
        </w:tc>
        <w:tc>
          <w:tcPr>
            <w:tcW w:type="dxa" w:w="12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bCs/>
                <w:color w:val="222222"/>
                <w:sz w:val="18"/>
                <w:szCs w:val="18"/>
              </w:rPr>
              <w:t xml:space="preserve">Aug 9-31</w:t>
            </w:r>
          </w:p>
        </w:tc>
        <w:tc>
          <w:tcPr>
            <w:tcW w:type="dxa" w:w="11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bCs/>
                <w:color w:val="222222"/>
                <w:sz w:val="18"/>
                <w:szCs w:val="18"/>
              </w:rPr>
              <w:t xml:space="preserve">1,268</w:t>
            </w:r>
          </w:p>
        </w:tc>
        <w:tc>
          <w:tcPr>
            <w:tcW w:type="dxa" w:w="10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bCs/>
                <w:color w:val="222222"/>
                <w:sz w:val="18"/>
                <w:szCs w:val="18"/>
              </w:rPr>
              <w:t xml:space="preserve">3,491</w:t>
            </w:r>
          </w:p>
        </w:tc>
        <w:tc>
          <w:tcPr>
            <w:tcW w:type="dxa" w:w="9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bCs/>
                <w:color w:val="222222"/>
                <w:sz w:val="18"/>
                <w:szCs w:val="18"/>
              </w:rPr>
              <w:t xml:space="preserve">99</w:t>
            </w:r>
          </w:p>
        </w:tc>
        <w:tc>
          <w:tcPr>
            <w:tcW w:type="dxa" w:w="10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bCs/>
                <w:color w:val="222222"/>
                <w:sz w:val="18"/>
                <w:szCs w:val="18"/>
              </w:rPr>
              <w:t xml:space="preserve">1.64</w:t>
            </w:r>
          </w:p>
        </w:tc>
        <w:tc>
          <w:tcPr>
            <w:tcW w:type="dxa" w:w="14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bCs/>
                <w:color w:val="222222"/>
                <w:sz w:val="18"/>
                <w:szCs w:val="18"/>
              </w:rPr>
              <w:t xml:space="preserve">1.98</w:t>
            </w:r>
          </w:p>
        </w:tc>
      </w:tr>
      <w:tr>
        <w:trPr>
          <w:cantSplit/>
          <w:tblHeader w:val="false"/>
        </w:trPr>
        <w:tc>
          <w:tcPr>
            <w:tcW w:type="dxa" w:w="27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Regime-aware + indicator</w:t>
            </w:r>
          </w:p>
        </w:tc>
        <w:tc>
          <w:tcPr>
            <w:tcW w:type="dxa" w:w="12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Aug 16-31</w:t>
            </w:r>
          </w:p>
        </w:tc>
        <w:tc>
          <w:tcPr>
            <w:tcW w:type="dxa" w:w="11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2,313</w:t>
            </w:r>
          </w:p>
        </w:tc>
        <w:tc>
          <w:tcPr>
            <w:tcW w:type="dxa" w:w="10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2,446</w:t>
            </w:r>
          </w:p>
        </w:tc>
        <w:tc>
          <w:tcPr>
            <w:tcW w:type="dxa" w:w="9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90</w:t>
            </w:r>
          </w:p>
        </w:tc>
        <w:tc>
          <w:tcPr>
            <w:tcW w:type="dxa" w:w="10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1.59</w:t>
            </w:r>
          </w:p>
        </w:tc>
        <w:tc>
          <w:tcPr>
            <w:tcW w:type="dxa" w:w="14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1.87</w:t>
            </w:r>
          </w:p>
        </w:tc>
      </w:tr>
      <w:tr>
        <w:trPr>
          <w:cantSplit/>
          <w:tblHeader w:val="false"/>
        </w:trPr>
        <w:tc>
          <w:tcPr>
            <w:tcW w:type="dxa" w:w="27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Regime-aware + indicator</w:t>
            </w:r>
          </w:p>
        </w:tc>
        <w:tc>
          <w:tcPr>
            <w:tcW w:type="dxa" w:w="12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Aug 9-31</w:t>
            </w:r>
          </w:p>
        </w:tc>
        <w:tc>
          <w:tcPr>
            <w:tcW w:type="dxa" w:w="11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1,268</w:t>
            </w:r>
          </w:p>
        </w:tc>
        <w:tc>
          <w:tcPr>
            <w:tcW w:type="dxa" w:w="10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3,491</w:t>
            </w:r>
          </w:p>
        </w:tc>
        <w:tc>
          <w:tcPr>
            <w:tcW w:type="dxa" w:w="9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99</w:t>
            </w:r>
          </w:p>
        </w:tc>
        <w:tc>
          <w:tcPr>
            <w:tcW w:type="dxa" w:w="10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1.61</w:t>
            </w:r>
          </w:p>
        </w:tc>
        <w:tc>
          <w:tcPr>
            <w:tcW w:type="dxa" w:w="14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1.96</w:t>
            </w:r>
          </w:p>
        </w:tc>
      </w:tr>
    </w:tbl>
    <w:p>
      <w:pPr>
        <w:spacing w:after="140"/>
        <w:jc w:val="center"/>
      </w:pPr>
      <w:r>
        <w:rPr>
          <w:rFonts w:ascii="Calibri" w:cs="Calibri" w:eastAsia="Calibri" w:hAnsi="Calibri"/>
          <w:i/>
          <w:iCs/>
          <w:color w:val="555555"/>
          <w:sz w:val="18"/>
          <w:szCs w:val="18"/>
        </w:rPr>
        <w:t xml:space="preserve">Table 5. Fairer causal noise-regime test: the model has seen part of August before being scored on the rest of it.</w:t>
      </w:r>
    </w:p>
    <w:p>
      <w:pPr>
        <w:spacing w:after="110"/>
      </w:pPr>
      <w:r>
        <w:rPr>
          <w:rFonts w:ascii="Calibri" w:cs="Calibri" w:eastAsia="Calibri" w:hAnsi="Calibri"/>
          <w:sz w:val="21"/>
          <w:szCs w:val="21"/>
        </w:rPr>
        <w:t xml:space="preserve">Caveat: Table 5 tests August on August, so it shows the model can use a noise month it has seen, not that Nov-Dec behave identically. The regime-aware choice remains a hypothesis supported by the evidence above.</w:t>
      </w:r>
    </w:p>
    <w:p>
      <w:pPr>
        <w:pStyle w:val="Heading1"/>
        <w:keepNext/>
        <w:spacing w:after="120" w:before="260"/>
      </w:pPr>
      <w:r>
        <w:rPr>
          <w:rFonts w:ascii="Calibri" w:cs="Calibri" w:eastAsia="Calibri" w:hAnsi="Calibri"/>
          <w:b/>
          <w:bCs/>
          <w:color w:val="064A56"/>
          <w:sz w:val="30"/>
          <w:szCs w:val="30"/>
        </w:rPr>
        <w:t xml:space="preserve">5. Model</w:t>
      </w:r>
    </w:p>
    <w:p>
      <w:pPr>
        <w:spacing w:after="110"/>
      </w:pPr>
      <w:r>
        <w:rPr>
          <w:rFonts w:ascii="Calibri" w:cs="Calibri" w:eastAsia="Calibri" w:hAnsi="Calibri"/>
          <w:sz w:val="21"/>
          <w:szCs w:val="21"/>
        </w:rPr>
        <w:t xml:space="preserve">Features: log distance, distance, straight-line distance, equipment, absolute weight, pickup/delivery coordinates and qs_signed (importance: ldist 48%, hav 13%, qs_signed 13%, dist 10%). LightGBM on log(rate) with an L1 objective (the median is robust to corrupted labels; L2 was clearly worse), 15 leaves, lambda 5, 1,000 trees at learning rate 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00"/>
        <w:gridCol w:w="2960"/>
      </w:tblGrid>
      <w:tr>
        <w:trPr>
          <w:cantSplit/>
          <w:tblHeader/>
        </w:trPr>
        <w:tc>
          <w:tcPr>
            <w:tcW w:type="dxa" w:w="35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Results</w:t>
            </w:r>
          </w:p>
        </w:tc>
        <w:tc>
          <w:tcPr>
            <w:tcW w:type="dxa" w:w="29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Evaluation</w:t>
            </w:r>
          </w:p>
        </w:tc>
        <w:tc>
          <w:tcPr>
            <w:tcW w:type="dxa" w:w="296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Model configuration</w:t>
            </w:r>
          </w:p>
        </w:tc>
      </w:tr>
      <w:tr>
        <w:trPr>
          <w:cantSplit/>
          <w:tblHeader w:val="false"/>
        </w:trPr>
        <w:tc>
          <w:tcPr>
            <w:tcW w:type="dxa" w:w="35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Tables 1b, 4, 6, 7 (comparisons)</w:t>
            </w:r>
          </w:p>
        </w:tc>
        <w:tc>
          <w:tcPr>
            <w:tcW w:type="dxa" w:w="29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5 forward folds (+ August splits for 1b)</w:t>
            </w:r>
          </w:p>
        </w:tc>
        <w:tc>
          <w:tcPr>
            <w:tcW w:type="dxa" w:w="29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 seed, 600 trees, lr 0.04</w:t>
            </w:r>
          </w:p>
        </w:tc>
      </w:tr>
      <w:tr>
        <w:trPr>
          <w:cantSplit/>
          <w:tblHeader w:val="false"/>
        </w:trPr>
        <w:tc>
          <w:tcPr>
            <w:tcW w:type="dxa" w:w="35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Table 5 (noise-regime test)</w:t>
            </w:r>
          </w:p>
        </w:tc>
        <w:tc>
          <w:tcPr>
            <w:tcW w:type="dxa" w:w="29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 causal splits inside August</w:t>
            </w:r>
          </w:p>
        </w:tc>
        <w:tc>
          <w:tcPr>
            <w:tcW w:type="dxa" w:w="29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 seeds, 600 trees, lr 0.04</w:t>
            </w:r>
          </w:p>
        </w:tc>
      </w:tr>
      <w:tr>
        <w:trPr>
          <w:cantSplit/>
          <w:tblHeader w:val="false"/>
        </w:trPr>
        <w:tc>
          <w:tcPr>
            <w:tcW w:type="dxa" w:w="35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Table 8 (seeds)</w:t>
            </w:r>
          </w:p>
        </w:tc>
        <w:tc>
          <w:tcPr>
            <w:tcW w:type="dxa" w:w="29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5 forward folds</w:t>
            </w:r>
          </w:p>
        </w:tc>
        <w:tc>
          <w:tcPr>
            <w:tcW w:type="dxa" w:w="29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 vs 3 seeds, 600 trees</w:t>
            </w:r>
          </w:p>
        </w:tc>
      </w:tr>
      <w:tr>
        <w:trPr>
          <w:cantSplit/>
          <w:tblHeader w:val="false"/>
        </w:trPr>
        <w:tc>
          <w:tcPr>
            <w:tcW w:type="dxa" w:w="35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Table 9, Figures 5-6, Tables 10-13 (headline CV)</w:t>
            </w:r>
          </w:p>
        </w:tc>
        <w:tc>
          <w:tcPr>
            <w:tcW w:type="dxa" w:w="29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5 forward folds</w:t>
            </w:r>
          </w:p>
        </w:tc>
        <w:tc>
          <w:tcPr>
            <w:tcW w:type="dxa" w:w="29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3 seeds, 1,000 trees, lr 0.03, 15 leaves</w:t>
            </w:r>
          </w:p>
        </w:tc>
      </w:tr>
      <w:tr>
        <w:trPr>
          <w:cantSplit/>
          <w:tblHeader w:val="false"/>
        </w:trPr>
        <w:tc>
          <w:tcPr>
            <w:tcW w:type="dxa" w:w="35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Final model (predictions)</w:t>
            </w:r>
          </w:p>
        </w:tc>
        <w:tc>
          <w:tcPr>
            <w:tcW w:type="dxa" w:w="29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fit on all of Jan-Oct</w:t>
            </w:r>
          </w:p>
        </w:tc>
        <w:tc>
          <w:tcPr>
            <w:tcW w:type="dxa" w:w="29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5 seeds, 1,000 trees, lr 0.03, 15 leaves</w:t>
            </w:r>
          </w:p>
        </w:tc>
      </w:tr>
    </w:tbl>
    <w:p>
      <w:pPr>
        <w:spacing w:after="140"/>
        <w:jc w:val="center"/>
      </w:pPr>
      <w:r>
        <w:rPr>
          <w:rFonts w:ascii="Calibri" w:cs="Calibri" w:eastAsia="Calibri" w:hAnsi="Calibri"/>
          <w:i/>
          <w:iCs/>
          <w:color w:val="555555"/>
          <w:sz w:val="18"/>
          <w:szCs w:val="18"/>
        </w:rPr>
        <w:t xml:space="preserve">Seed counts differ by design: comparisons use the cheaper 1-seed protocol, so the FINAL row of Table 6 (1.76% median) differs slightly from the 3-seed headline in Table 9 (1.72%).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1100"/>
        <w:gridCol w:w="1200"/>
        <w:gridCol w:w="1100"/>
        <w:gridCol w:w="1260"/>
      </w:tblGrid>
      <w:tr>
        <w:trPr>
          <w:cantSplit/>
          <w:tblHeader/>
        </w:trPr>
        <w:tc>
          <w:tcPr>
            <w:tcW w:type="dxa" w:w="47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Variant (same 5 forward folds, 1 seed)</w:t>
            </w:r>
          </w:p>
        </w:tc>
        <w:tc>
          <w:tcPr>
            <w:tcW w:type="dxa" w:w="11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MAE ($)</w:t>
            </w:r>
          </w:p>
        </w:tc>
        <w:tc>
          <w:tcPr>
            <w:tcW w:type="dxa" w:w="12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Median %</w:t>
            </w:r>
          </w:p>
        </w:tc>
        <w:tc>
          <w:tcPr>
            <w:tcW w:type="dxa" w:w="11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Mean %</w:t>
            </w:r>
          </w:p>
        </w:tc>
        <w:tc>
          <w:tcPr>
            <w:tcW w:type="dxa" w:w="126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Core MAPE %</w:t>
            </w:r>
          </w:p>
        </w:tc>
      </w:tr>
      <w:tr>
        <w:trPr>
          <w:cantSplit/>
          <w:tblHeader w:val="false"/>
        </w:trPr>
        <w:tc>
          <w:tcPr>
            <w:tcW w:type="dxa" w:w="47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Naive: median $/mile by equipment x distance bin</w:t>
            </w:r>
          </w:p>
        </w:tc>
        <w:tc>
          <w:tcPr>
            <w:tcW w:type="dxa" w:w="11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157.6</w:t>
            </w:r>
          </w:p>
        </w:tc>
        <w:tc>
          <w:tcPr>
            <w:tcW w:type="dxa" w:w="12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4.11</w:t>
            </w:r>
          </w:p>
        </w:tc>
        <w:tc>
          <w:tcPr>
            <w:tcW w:type="dxa" w:w="11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6.73</w:t>
            </w:r>
          </w:p>
        </w:tc>
        <w:tc>
          <w:tcPr>
            <w:tcW w:type="dxa" w:w="12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4.52</w:t>
            </w:r>
          </w:p>
        </w:tc>
      </w:tr>
      <w:tr>
        <w:trPr>
          <w:cantSplit/>
          <w:tblHeader w:val="false"/>
        </w:trPr>
        <w:tc>
          <w:tcPr>
            <w:tcW w:type="dxa" w:w="47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LightGBM, no recency, no market term, no quote_signal</w:t>
            </w:r>
          </w:p>
        </w:tc>
        <w:tc>
          <w:tcPr>
            <w:tcW w:type="dxa" w:w="11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137.3</w:t>
            </w:r>
          </w:p>
        </w:tc>
        <w:tc>
          <w:tcPr>
            <w:tcW w:type="dxa" w:w="12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3.19</w:t>
            </w:r>
          </w:p>
        </w:tc>
        <w:tc>
          <w:tcPr>
            <w:tcW w:type="dxa" w:w="11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5.64</w:t>
            </w:r>
          </w:p>
        </w:tc>
        <w:tc>
          <w:tcPr>
            <w:tcW w:type="dxa" w:w="12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3.42</w:t>
            </w:r>
          </w:p>
        </w:tc>
      </w:tr>
      <w:tr>
        <w:trPr>
          <w:cantSplit/>
          <w:tblHeader w:val="false"/>
        </w:trPr>
        <w:tc>
          <w:tcPr>
            <w:tcW w:type="dxa" w:w="47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 daily market term (dm_dev)</w:t>
            </w:r>
          </w:p>
        </w:tc>
        <w:tc>
          <w:tcPr>
            <w:tcW w:type="dxa" w:w="11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135.1</w:t>
            </w:r>
          </w:p>
        </w:tc>
        <w:tc>
          <w:tcPr>
            <w:tcW w:type="dxa" w:w="12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3.09</w:t>
            </w:r>
          </w:p>
        </w:tc>
        <w:tc>
          <w:tcPr>
            <w:tcW w:type="dxa" w:w="11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5.56</w:t>
            </w:r>
          </w:p>
        </w:tc>
        <w:tc>
          <w:tcPr>
            <w:tcW w:type="dxa" w:w="12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3.34</w:t>
            </w:r>
          </w:p>
        </w:tc>
      </w:tr>
      <w:tr>
        <w:trPr>
          <w:cantSplit/>
          <w:tblHeader w:val="false"/>
        </w:trPr>
        <w:tc>
          <w:tcPr>
            <w:tcW w:type="dxa" w:w="47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 recency weights (excludes quote_signal)</w:t>
            </w:r>
          </w:p>
        </w:tc>
        <w:tc>
          <w:tcPr>
            <w:tcW w:type="dxa" w:w="11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127.8</w:t>
            </w:r>
          </w:p>
        </w:tc>
        <w:tc>
          <w:tcPr>
            <w:tcW w:type="dxa" w:w="12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2.80</w:t>
            </w:r>
          </w:p>
        </w:tc>
        <w:tc>
          <w:tcPr>
            <w:tcW w:type="dxa" w:w="11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5.35</w:t>
            </w:r>
          </w:p>
        </w:tc>
        <w:tc>
          <w:tcPr>
            <w:tcW w:type="dxa" w:w="12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3.08</w:t>
            </w:r>
          </w:p>
        </w:tc>
      </w:tr>
      <w:tr>
        <w:trPr>
          <w:cantSplit/>
          <w:tblHeader w:val="false"/>
        </w:trPr>
        <w:tc>
          <w:tcPr>
            <w:tcW w:type="dxa" w:w="47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bCs/>
                <w:color w:val="222222"/>
                <w:sz w:val="18"/>
                <w:szCs w:val="18"/>
              </w:rPr>
              <w:t xml:space="preserve">+ regime-aware quote_signal (FINAL model)</w:t>
            </w:r>
          </w:p>
        </w:tc>
        <w:tc>
          <w:tcPr>
            <w:tcW w:type="dxa" w:w="11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bCs/>
                <w:color w:val="222222"/>
                <w:sz w:val="18"/>
                <w:szCs w:val="18"/>
              </w:rPr>
              <w:t xml:space="preserve">112.4</w:t>
            </w:r>
          </w:p>
        </w:tc>
        <w:tc>
          <w:tcPr>
            <w:tcW w:type="dxa" w:w="12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bCs/>
                <w:color w:val="222222"/>
                <w:sz w:val="18"/>
                <w:szCs w:val="18"/>
              </w:rPr>
              <w:t xml:space="preserve">1.76</w:t>
            </w:r>
          </w:p>
        </w:tc>
        <w:tc>
          <w:tcPr>
            <w:tcW w:type="dxa" w:w="11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bCs/>
                <w:color w:val="222222"/>
                <w:sz w:val="18"/>
                <w:szCs w:val="18"/>
              </w:rPr>
              <w:t xml:space="preserve">4.77</w:t>
            </w:r>
          </w:p>
        </w:tc>
        <w:tc>
          <w:tcPr>
            <w:tcW w:type="dxa" w:w="12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bCs/>
                <w:color w:val="222222"/>
                <w:sz w:val="18"/>
                <w:szCs w:val="18"/>
              </w:rPr>
              <w:t xml:space="preserve">2.50</w:t>
            </w:r>
          </w:p>
        </w:tc>
      </w:tr>
      <w:tr>
        <w:trPr>
          <w:cantSplit/>
          <w:tblHeader w:val="false"/>
        </w:trPr>
        <w:tc>
          <w:tcPr>
            <w:tcW w:type="dxa" w:w="47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Final but L2 objective (mean, not median)</w:t>
            </w:r>
          </w:p>
        </w:tc>
        <w:tc>
          <w:tcPr>
            <w:tcW w:type="dxa" w:w="11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129.5</w:t>
            </w:r>
          </w:p>
        </w:tc>
        <w:tc>
          <w:tcPr>
            <w:tcW w:type="dxa" w:w="12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2.42</w:t>
            </w:r>
          </w:p>
        </w:tc>
        <w:tc>
          <w:tcPr>
            <w:tcW w:type="dxa" w:w="11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5.50</w:t>
            </w:r>
          </w:p>
        </w:tc>
        <w:tc>
          <w:tcPr>
            <w:tcW w:type="dxa" w:w="12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3.24</w:t>
            </w:r>
          </w:p>
        </w:tc>
      </w:tr>
      <w:tr>
        <w:trPr>
          <w:cantSplit/>
          <w:tblHeader w:val="false"/>
        </w:trPr>
        <w:tc>
          <w:tcPr>
            <w:tcW w:type="dxa" w:w="47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Base + raw quote_signal (not regime-aware)</w:t>
            </w:r>
          </w:p>
        </w:tc>
        <w:tc>
          <w:tcPr>
            <w:tcW w:type="dxa" w:w="11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118.1</w:t>
            </w:r>
          </w:p>
        </w:tc>
        <w:tc>
          <w:tcPr>
            <w:tcW w:type="dxa" w:w="12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2.10</w:t>
            </w:r>
          </w:p>
        </w:tc>
        <w:tc>
          <w:tcPr>
            <w:tcW w:type="dxa" w:w="11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4.99</w:t>
            </w:r>
          </w:p>
        </w:tc>
        <w:tc>
          <w:tcPr>
            <w:tcW w:type="dxa" w:w="12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2.73</w:t>
            </w:r>
          </w:p>
        </w:tc>
      </w:tr>
      <w:tr>
        <w:trPr>
          <w:cantSplit/>
          <w:tblHeader w:val="false"/>
        </w:trPr>
        <w:tc>
          <w:tcPr>
            <w:tcW w:type="dxa" w:w="47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Final + dm_dev as a tree feature</w:t>
            </w:r>
          </w:p>
        </w:tc>
        <w:tc>
          <w:tcPr>
            <w:tcW w:type="dxa" w:w="11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116.5</w:t>
            </w:r>
          </w:p>
        </w:tc>
        <w:tc>
          <w:tcPr>
            <w:tcW w:type="dxa" w:w="12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1.99</w:t>
            </w:r>
          </w:p>
        </w:tc>
        <w:tc>
          <w:tcPr>
            <w:tcW w:type="dxa" w:w="11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4.88</w:t>
            </w:r>
          </w:p>
        </w:tc>
        <w:tc>
          <w:tcPr>
            <w:tcW w:type="dxa" w:w="12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2.63</w:t>
            </w:r>
          </w:p>
        </w:tc>
      </w:tr>
      <w:tr>
        <w:trPr>
          <w:cantSplit/>
          <w:tblHeader w:val="false"/>
        </w:trPr>
        <w:tc>
          <w:tcPr>
            <w:tcW w:type="dxa" w:w="47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Final without weight</w:t>
            </w:r>
          </w:p>
        </w:tc>
        <w:tc>
          <w:tcPr>
            <w:tcW w:type="dxa" w:w="11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114.7</w:t>
            </w:r>
          </w:p>
        </w:tc>
        <w:tc>
          <w:tcPr>
            <w:tcW w:type="dxa" w:w="12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1.80</w:t>
            </w:r>
          </w:p>
        </w:tc>
        <w:tc>
          <w:tcPr>
            <w:tcW w:type="dxa" w:w="11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4.91</w:t>
            </w:r>
          </w:p>
        </w:tc>
        <w:tc>
          <w:tcPr>
            <w:tcW w:type="dxa" w:w="12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2.65</w:t>
            </w:r>
          </w:p>
        </w:tc>
      </w:tr>
    </w:tbl>
    <w:p>
      <w:pPr>
        <w:spacing w:after="140"/>
        <w:jc w:val="center"/>
      </w:pPr>
      <w:r>
        <w:rPr>
          <w:rFonts w:ascii="Calibri" w:cs="Calibri" w:eastAsia="Calibri" w:hAnsi="Calibri"/>
          <w:i/>
          <w:iCs/>
          <w:color w:val="555555"/>
          <w:sz w:val="18"/>
          <w:szCs w:val="18"/>
        </w:rPr>
        <w:t xml:space="preserve">Table 6. Ablations. The FINAL row is the production configuration with one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00"/>
        <w:gridCol w:w="2260"/>
      </w:tblGrid>
      <w:tr>
        <w:trPr>
          <w:cantSplit/>
          <w:tblHeader/>
        </w:trPr>
        <w:tc>
          <w:tcPr>
            <w:tcW w:type="dxa" w:w="27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Recency half-life</w:t>
            </w:r>
          </w:p>
        </w:tc>
        <w:tc>
          <w:tcPr>
            <w:tcW w:type="dxa" w:w="22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MAE ($)</w:t>
            </w:r>
          </w:p>
        </w:tc>
        <w:tc>
          <w:tcPr>
            <w:tcW w:type="dxa" w:w="22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Median %</w:t>
            </w:r>
          </w:p>
        </w:tc>
        <w:tc>
          <w:tcPr>
            <w:tcW w:type="dxa" w:w="226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Core MAPE %</w:t>
            </w:r>
          </w:p>
        </w:tc>
      </w:tr>
      <w:tr>
        <w:trPr>
          <w:cantSplit/>
          <w:tblHeader w:val="false"/>
        </w:trPr>
        <w:tc>
          <w:tcPr>
            <w:tcW w:type="dxa" w:w="27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none</w:t>
            </w:r>
          </w:p>
        </w:tc>
        <w:tc>
          <w:tcPr>
            <w:tcW w:type="dxa" w:w="22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117.5</w:t>
            </w:r>
          </w:p>
        </w:tc>
        <w:tc>
          <w:tcPr>
            <w:tcW w:type="dxa" w:w="22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1.86</w:t>
            </w:r>
          </w:p>
        </w:tc>
        <w:tc>
          <w:tcPr>
            <w:tcW w:type="dxa" w:w="22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2.82</w:t>
            </w:r>
          </w:p>
        </w:tc>
      </w:tr>
      <w:tr>
        <w:trPr>
          <w:cantSplit/>
          <w:tblHeader w:val="false"/>
        </w:trPr>
        <w:tc>
          <w:tcPr>
            <w:tcW w:type="dxa" w:w="27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21 days</w:t>
            </w:r>
          </w:p>
        </w:tc>
        <w:tc>
          <w:tcPr>
            <w:tcW w:type="dxa" w:w="22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110.9</w:t>
            </w:r>
          </w:p>
        </w:tc>
        <w:tc>
          <w:tcPr>
            <w:tcW w:type="dxa" w:w="22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1.74</w:t>
            </w:r>
          </w:p>
        </w:tc>
        <w:tc>
          <w:tcPr>
            <w:tcW w:type="dxa" w:w="22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2.37</w:t>
            </w:r>
          </w:p>
        </w:tc>
      </w:tr>
      <w:tr>
        <w:trPr>
          <w:cantSplit/>
          <w:tblHeader w:val="false"/>
        </w:trPr>
        <w:tc>
          <w:tcPr>
            <w:tcW w:type="dxa" w:w="27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45 days</w:t>
            </w:r>
          </w:p>
        </w:tc>
        <w:tc>
          <w:tcPr>
            <w:tcW w:type="dxa" w:w="22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112.4</w:t>
            </w:r>
          </w:p>
        </w:tc>
        <w:tc>
          <w:tcPr>
            <w:tcW w:type="dxa" w:w="22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1.76</w:t>
            </w:r>
          </w:p>
        </w:tc>
        <w:tc>
          <w:tcPr>
            <w:tcW w:type="dxa" w:w="22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2.50</w:t>
            </w:r>
          </w:p>
        </w:tc>
      </w:tr>
      <w:tr>
        <w:trPr>
          <w:cantSplit/>
          <w:tblHeader w:val="false"/>
        </w:trPr>
        <w:tc>
          <w:tcPr>
            <w:tcW w:type="dxa" w:w="27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90 days</w:t>
            </w:r>
          </w:p>
        </w:tc>
        <w:tc>
          <w:tcPr>
            <w:tcW w:type="dxa" w:w="22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115.0</w:t>
            </w:r>
          </w:p>
        </w:tc>
        <w:tc>
          <w:tcPr>
            <w:tcW w:type="dxa" w:w="22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1.81</w:t>
            </w:r>
          </w:p>
        </w:tc>
        <w:tc>
          <w:tcPr>
            <w:tcW w:type="dxa" w:w="22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2.68</w:t>
            </w:r>
          </w:p>
        </w:tc>
      </w:tr>
      <w:tr>
        <w:trPr>
          <w:cantSplit/>
          <w:tblHeader w:val="false"/>
        </w:trPr>
        <w:tc>
          <w:tcPr>
            <w:tcW w:type="dxa" w:w="27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180 days</w:t>
            </w:r>
          </w:p>
        </w:tc>
        <w:tc>
          <w:tcPr>
            <w:tcW w:type="dxa" w:w="22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116.4</w:t>
            </w:r>
          </w:p>
        </w:tc>
        <w:tc>
          <w:tcPr>
            <w:tcW w:type="dxa" w:w="22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1.84</w:t>
            </w:r>
          </w:p>
        </w:tc>
        <w:tc>
          <w:tcPr>
            <w:tcW w:type="dxa" w:w="22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2.75</w:t>
            </w:r>
          </w:p>
        </w:tc>
      </w:tr>
    </w:tbl>
    <w:p>
      <w:pPr>
        <w:spacing w:after="140"/>
        <w:jc w:val="center"/>
      </w:pPr>
      <w:r>
        <w:rPr>
          <w:rFonts w:ascii="Calibri" w:cs="Calibri" w:eastAsia="Calibri" w:hAnsi="Calibri"/>
          <w:i/>
          <w:iCs/>
          <w:color w:val="555555"/>
          <w:sz w:val="18"/>
          <w:szCs w:val="18"/>
        </w:rPr>
        <w:t xml:space="preserve">Table 7. Half-life sweep. 21 and 45 days are within noise of each other; 45 is kept.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00"/>
        <w:gridCol w:w="2260"/>
      </w:tblGrid>
      <w:tr>
        <w:trPr>
          <w:cantSplit/>
          <w:tblHeader/>
        </w:trPr>
        <w:tc>
          <w:tcPr>
            <w:tcW w:type="dxa" w:w="27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Seeds</w:t>
            </w:r>
          </w:p>
        </w:tc>
        <w:tc>
          <w:tcPr>
            <w:tcW w:type="dxa" w:w="22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MAE ($)</w:t>
            </w:r>
          </w:p>
        </w:tc>
        <w:tc>
          <w:tcPr>
            <w:tcW w:type="dxa" w:w="22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Median %</w:t>
            </w:r>
          </w:p>
        </w:tc>
        <w:tc>
          <w:tcPr>
            <w:tcW w:type="dxa" w:w="226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Core MAPE %</w:t>
            </w:r>
          </w:p>
        </w:tc>
      </w:tr>
      <w:tr>
        <w:trPr>
          <w:cantSplit/>
          <w:tblHeader w:val="false"/>
        </w:trPr>
        <w:tc>
          <w:tcPr>
            <w:tcW w:type="dxa" w:w="27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1 seed(s)</w:t>
            </w:r>
          </w:p>
        </w:tc>
        <w:tc>
          <w:tcPr>
            <w:tcW w:type="dxa" w:w="22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112.4</w:t>
            </w:r>
          </w:p>
        </w:tc>
        <w:tc>
          <w:tcPr>
            <w:tcW w:type="dxa" w:w="22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1.76</w:t>
            </w:r>
          </w:p>
        </w:tc>
        <w:tc>
          <w:tcPr>
            <w:tcW w:type="dxa" w:w="22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2.50</w:t>
            </w:r>
          </w:p>
        </w:tc>
      </w:tr>
      <w:tr>
        <w:trPr>
          <w:cantSplit/>
          <w:tblHeader w:val="false"/>
        </w:trPr>
        <w:tc>
          <w:tcPr>
            <w:tcW w:type="dxa" w:w="27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3 seed(s)</w:t>
            </w:r>
          </w:p>
        </w:tc>
        <w:tc>
          <w:tcPr>
            <w:tcW w:type="dxa" w:w="22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111.7</w:t>
            </w:r>
          </w:p>
        </w:tc>
        <w:tc>
          <w:tcPr>
            <w:tcW w:type="dxa" w:w="22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1.73</w:t>
            </w:r>
          </w:p>
        </w:tc>
        <w:tc>
          <w:tcPr>
            <w:tcW w:type="dxa" w:w="22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2.48</w:t>
            </w:r>
          </w:p>
        </w:tc>
      </w:tr>
    </w:tbl>
    <w:p>
      <w:pPr>
        <w:spacing w:after="140"/>
        <w:jc w:val="center"/>
      </w:pPr>
      <w:r>
        <w:rPr>
          <w:rFonts w:ascii="Calibri" w:cs="Calibri" w:eastAsia="Calibri" w:hAnsi="Calibri"/>
          <w:i/>
          <w:iCs/>
          <w:color w:val="555555"/>
          <w:sz w:val="18"/>
          <w:szCs w:val="18"/>
        </w:rPr>
        <w:t xml:space="preserve">Table 8. Seed averaging gives only a small, measurable gain; the final fit uses 5 seeds for stability.</w:t>
      </w:r>
    </w:p>
    <w:p>
      <w:pPr>
        <w:pStyle w:val="Heading1"/>
        <w:keepNext/>
        <w:spacing w:after="120" w:before="260"/>
      </w:pPr>
      <w:r>
        <w:rPr>
          <w:rFonts w:ascii="Calibri" w:cs="Calibri" w:eastAsia="Calibri" w:hAnsi="Calibri"/>
          <w:b/>
          <w:bCs/>
          <w:color w:val="064A56"/>
          <w:sz w:val="30"/>
          <w:szCs w:val="30"/>
        </w:rPr>
        <w:t xml:space="preserve">6. Forward-chaining results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950"/>
        <w:gridCol w:w="850"/>
        <w:gridCol w:w="950"/>
        <w:gridCol w:w="900"/>
        <w:gridCol w:w="1050"/>
        <w:gridCol w:w="700"/>
        <w:gridCol w:w="1160"/>
      </w:tblGrid>
      <w:tr>
        <w:trPr>
          <w:cantSplit/>
          <w:tblHeader/>
        </w:trPr>
        <w:tc>
          <w:tcPr>
            <w:tcW w:type="dxa" w:w="15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Fold</w:t>
            </w:r>
          </w:p>
        </w:tc>
        <w:tc>
          <w:tcPr>
            <w:tcW w:type="dxa" w:w="10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Train rows</w:t>
            </w:r>
          </w:p>
        </w:tc>
        <w:tc>
          <w:tcPr>
            <w:tcW w:type="dxa" w:w="95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Val rows</w:t>
            </w:r>
          </w:p>
        </w:tc>
        <w:tc>
          <w:tcPr>
            <w:tcW w:type="dxa" w:w="85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MAE ($)</w:t>
            </w:r>
          </w:p>
        </w:tc>
        <w:tc>
          <w:tcPr>
            <w:tcW w:type="dxa" w:w="95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Median %</w:t>
            </w:r>
          </w:p>
        </w:tc>
        <w:tc>
          <w:tcPr>
            <w:tcW w:type="dxa" w:w="9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Mean %</w:t>
            </w:r>
          </w:p>
        </w:tc>
        <w:tc>
          <w:tcPr>
            <w:tcW w:type="dxa" w:w="105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Core MAPE %</w:t>
            </w:r>
          </w:p>
        </w:tc>
        <w:tc>
          <w:tcPr>
            <w:tcW w:type="dxa" w:w="7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R2</w:t>
            </w:r>
          </w:p>
        </w:tc>
        <w:tc>
          <w:tcPr>
            <w:tcW w:type="dxa" w:w="116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Market slope</w:t>
            </w:r>
          </w:p>
        </w:tc>
      </w:tr>
      <w:tr>
        <w:trPr>
          <w:cantSplit/>
          <w:tblHeader w:val="false"/>
        </w:trPr>
        <w:tc>
          <w:tcPr>
            <w:tcW w:type="dxa" w:w="15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2025-05→2025-07</w:t>
            </w:r>
          </w:p>
        </w:tc>
        <w:tc>
          <w:tcPr>
            <w:tcW w:type="dxa" w:w="10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19,110</w:t>
            </w:r>
          </w:p>
        </w:tc>
        <w:tc>
          <w:tcPr>
            <w:tcW w:type="dxa" w:w="95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9,696</w:t>
            </w:r>
          </w:p>
        </w:tc>
        <w:tc>
          <w:tcPr>
            <w:tcW w:type="dxa" w:w="85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93</w:t>
            </w:r>
          </w:p>
        </w:tc>
        <w:tc>
          <w:tcPr>
            <w:tcW w:type="dxa" w:w="95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1.40</w:t>
            </w:r>
          </w:p>
        </w:tc>
        <w:tc>
          <w:tcPr>
            <w:tcW w:type="dxa" w:w="9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3.90</w:t>
            </w:r>
          </w:p>
        </w:tc>
        <w:tc>
          <w:tcPr>
            <w:tcW w:type="dxa" w:w="105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1.64</w:t>
            </w:r>
          </w:p>
        </w:tc>
        <w:tc>
          <w:tcPr>
            <w:tcW w:type="dxa" w:w="7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0.83</w:t>
            </w:r>
          </w:p>
        </w:tc>
        <w:tc>
          <w:tcPr>
            <w:tcW w:type="dxa" w:w="11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0.025</w:t>
            </w:r>
          </w:p>
        </w:tc>
      </w:tr>
      <w:tr>
        <w:trPr>
          <w:cantSplit/>
          <w:tblHeader w:val="false"/>
        </w:trPr>
        <w:tc>
          <w:tcPr>
            <w:tcW w:type="dxa" w:w="15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2025-06→2025-08</w:t>
            </w:r>
          </w:p>
        </w:tc>
        <w:tc>
          <w:tcPr>
            <w:tcW w:type="dxa" w:w="10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24,023</w:t>
            </w:r>
          </w:p>
        </w:tc>
        <w:tc>
          <w:tcPr>
            <w:tcW w:type="dxa" w:w="95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9,695</w:t>
            </w:r>
          </w:p>
        </w:tc>
        <w:tc>
          <w:tcPr>
            <w:tcW w:type="dxa" w:w="85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90</w:t>
            </w:r>
          </w:p>
        </w:tc>
        <w:tc>
          <w:tcPr>
            <w:tcW w:type="dxa" w:w="95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1.10</w:t>
            </w:r>
          </w:p>
        </w:tc>
        <w:tc>
          <w:tcPr>
            <w:tcW w:type="dxa" w:w="9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3.41</w:t>
            </w:r>
          </w:p>
        </w:tc>
        <w:tc>
          <w:tcPr>
            <w:tcW w:type="dxa" w:w="105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1.34</w:t>
            </w:r>
          </w:p>
        </w:tc>
        <w:tc>
          <w:tcPr>
            <w:tcW w:type="dxa" w:w="7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0.82</w:t>
            </w:r>
          </w:p>
        </w:tc>
        <w:tc>
          <w:tcPr>
            <w:tcW w:type="dxa" w:w="11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0.022</w:t>
            </w:r>
          </w:p>
        </w:tc>
      </w:tr>
      <w:tr>
        <w:trPr>
          <w:cantSplit/>
          <w:tblHeader w:val="false"/>
        </w:trPr>
        <w:tc>
          <w:tcPr>
            <w:tcW w:type="dxa" w:w="15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2025-07→2025-09</w:t>
            </w:r>
          </w:p>
        </w:tc>
        <w:tc>
          <w:tcPr>
            <w:tcW w:type="dxa" w:w="10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28,806</w:t>
            </w:r>
          </w:p>
        </w:tc>
        <w:tc>
          <w:tcPr>
            <w:tcW w:type="dxa" w:w="95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9,671</w:t>
            </w:r>
          </w:p>
        </w:tc>
        <w:tc>
          <w:tcPr>
            <w:tcW w:type="dxa" w:w="85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140</w:t>
            </w:r>
          </w:p>
        </w:tc>
        <w:tc>
          <w:tcPr>
            <w:tcW w:type="dxa" w:w="95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2.22</w:t>
            </w:r>
          </w:p>
        </w:tc>
        <w:tc>
          <w:tcPr>
            <w:tcW w:type="dxa" w:w="9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6.10</w:t>
            </w:r>
          </w:p>
        </w:tc>
        <w:tc>
          <w:tcPr>
            <w:tcW w:type="dxa" w:w="105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3.89</w:t>
            </w:r>
          </w:p>
        </w:tc>
        <w:tc>
          <w:tcPr>
            <w:tcW w:type="dxa" w:w="7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0.82</w:t>
            </w:r>
          </w:p>
        </w:tc>
        <w:tc>
          <w:tcPr>
            <w:tcW w:type="dxa" w:w="11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0.028</w:t>
            </w:r>
          </w:p>
        </w:tc>
      </w:tr>
      <w:tr>
        <w:trPr>
          <w:cantSplit/>
          <w:tblHeader w:val="false"/>
        </w:trPr>
        <w:tc>
          <w:tcPr>
            <w:tcW w:type="dxa" w:w="15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2025-08→2025-10</w:t>
            </w:r>
          </w:p>
        </w:tc>
        <w:tc>
          <w:tcPr>
            <w:tcW w:type="dxa" w:w="10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33,718</w:t>
            </w:r>
          </w:p>
        </w:tc>
        <w:tc>
          <w:tcPr>
            <w:tcW w:type="dxa" w:w="95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9,429</w:t>
            </w:r>
          </w:p>
        </w:tc>
        <w:tc>
          <w:tcPr>
            <w:tcW w:type="dxa" w:w="85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143</w:t>
            </w:r>
          </w:p>
        </w:tc>
        <w:tc>
          <w:tcPr>
            <w:tcW w:type="dxa" w:w="95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2.57</w:t>
            </w:r>
          </w:p>
        </w:tc>
        <w:tc>
          <w:tcPr>
            <w:tcW w:type="dxa" w:w="9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6.12</w:t>
            </w:r>
          </w:p>
        </w:tc>
        <w:tc>
          <w:tcPr>
            <w:tcW w:type="dxa" w:w="105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3.90</w:t>
            </w:r>
          </w:p>
        </w:tc>
        <w:tc>
          <w:tcPr>
            <w:tcW w:type="dxa" w:w="7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0.83</w:t>
            </w:r>
          </w:p>
        </w:tc>
        <w:tc>
          <w:tcPr>
            <w:tcW w:type="dxa" w:w="11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0.036</w:t>
            </w:r>
          </w:p>
        </w:tc>
      </w:tr>
      <w:tr>
        <w:trPr>
          <w:cantSplit/>
          <w:tblHeader w:val="false"/>
        </w:trPr>
        <w:tc>
          <w:tcPr>
            <w:tcW w:type="dxa" w:w="15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2025-09→2025-11</w:t>
            </w:r>
          </w:p>
        </w:tc>
        <w:tc>
          <w:tcPr>
            <w:tcW w:type="dxa" w:w="10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38,477</w:t>
            </w:r>
          </w:p>
        </w:tc>
        <w:tc>
          <w:tcPr>
            <w:tcW w:type="dxa" w:w="95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9,523</w:t>
            </w:r>
          </w:p>
        </w:tc>
        <w:tc>
          <w:tcPr>
            <w:tcW w:type="dxa" w:w="85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92</w:t>
            </w:r>
          </w:p>
        </w:tc>
        <w:tc>
          <w:tcPr>
            <w:tcW w:type="dxa" w:w="95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1.33</w:t>
            </w:r>
          </w:p>
        </w:tc>
        <w:tc>
          <w:tcPr>
            <w:tcW w:type="dxa" w:w="9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4.12</w:t>
            </w:r>
          </w:p>
        </w:tc>
        <w:tc>
          <w:tcPr>
            <w:tcW w:type="dxa" w:w="105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1.56</w:t>
            </w:r>
          </w:p>
        </w:tc>
        <w:tc>
          <w:tcPr>
            <w:tcW w:type="dxa" w:w="7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0.83</w:t>
            </w:r>
          </w:p>
        </w:tc>
        <w:tc>
          <w:tcPr>
            <w:tcW w:type="dxa" w:w="11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0.063</w:t>
            </w:r>
          </w:p>
        </w:tc>
      </w:tr>
      <w:tr>
        <w:trPr>
          <w:cantSplit/>
          <w:tblHeader w:val="false"/>
        </w:trPr>
        <w:tc>
          <w:tcPr>
            <w:tcW w:type="dxa" w:w="15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bCs/>
                <w:color w:val="222222"/>
                <w:sz w:val="18"/>
                <w:szCs w:val="18"/>
              </w:rPr>
              <w:t xml:space="preserve">Mean</w:t>
            </w:r>
          </w:p>
        </w:tc>
        <w:tc>
          <w:tcPr>
            <w:tcW w:type="dxa" w:w="10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bCs/>
                <w:color w:val="222222"/>
                <w:sz w:val="18"/>
                <w:szCs w:val="18"/>
              </w:rPr>
              <w:t xml:space="preserve"/>
            </w:r>
          </w:p>
        </w:tc>
        <w:tc>
          <w:tcPr>
            <w:tcW w:type="dxa" w:w="95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bCs/>
                <w:color w:val="222222"/>
                <w:sz w:val="18"/>
                <w:szCs w:val="18"/>
              </w:rPr>
              <w:t xml:space="preserve"/>
            </w:r>
          </w:p>
        </w:tc>
        <w:tc>
          <w:tcPr>
            <w:tcW w:type="dxa" w:w="85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bCs/>
                <w:color w:val="222222"/>
                <w:sz w:val="18"/>
                <w:szCs w:val="18"/>
              </w:rPr>
              <w:t xml:space="preserve">111</w:t>
            </w:r>
          </w:p>
        </w:tc>
        <w:tc>
          <w:tcPr>
            <w:tcW w:type="dxa" w:w="95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bCs/>
                <w:color w:val="222222"/>
                <w:sz w:val="18"/>
                <w:szCs w:val="18"/>
              </w:rPr>
              <w:t xml:space="preserve">1.72</w:t>
            </w:r>
          </w:p>
        </w:tc>
        <w:tc>
          <w:tcPr>
            <w:tcW w:type="dxa" w:w="9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bCs/>
                <w:color w:val="222222"/>
                <w:sz w:val="18"/>
                <w:szCs w:val="18"/>
              </w:rPr>
              <w:t xml:space="preserve">4.73</w:t>
            </w:r>
          </w:p>
        </w:tc>
        <w:tc>
          <w:tcPr>
            <w:tcW w:type="dxa" w:w="105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bCs/>
                <w:color w:val="222222"/>
                <w:sz w:val="18"/>
                <w:szCs w:val="18"/>
              </w:rPr>
              <w:t xml:space="preserve">2.47</w:t>
            </w:r>
          </w:p>
        </w:tc>
        <w:tc>
          <w:tcPr>
            <w:tcW w:type="dxa" w:w="7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bCs/>
                <w:color w:val="222222"/>
                <w:sz w:val="18"/>
                <w:szCs w:val="18"/>
              </w:rPr>
              <w:t xml:space="preserve">0.83</w:t>
            </w:r>
          </w:p>
        </w:tc>
        <w:tc>
          <w:tcPr>
            <w:tcW w:type="dxa" w:w="11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bCs/>
                <w:color w:val="222222"/>
                <w:sz w:val="18"/>
                <w:szCs w:val="18"/>
              </w:rPr>
              <w:t xml:space="preserve">0.035</w:t>
            </w:r>
          </w:p>
        </w:tc>
      </w:tr>
    </w:tbl>
    <w:p>
      <w:pPr>
        <w:spacing w:after="140"/>
        <w:jc w:val="center"/>
      </w:pPr>
      <w:r>
        <w:rPr>
          <w:rFonts w:ascii="Calibri" w:cs="Calibri" w:eastAsia="Calibri" w:hAnsi="Calibri"/>
          <w:i/>
          <w:iCs/>
          <w:color w:val="555555"/>
          <w:sz w:val="18"/>
          <w:szCs w:val="18"/>
        </w:rPr>
        <w:t xml:space="preserve">Table 9. Headline configuration: 3 seeds, 1,000 trees (the final predictions use 5 seeds). The two weakest folds are those whose validation window contains August, a regime not yet seen in training. The market slope is not constant (about 0.02 to 0.06), unlike an earlier model without quote_signal.</w:t>
      </w:r>
    </w:p>
    <w:p>
      <w:pPr>
        <w:keepNext/>
        <w:spacing w:after="60" w:before="8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10502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5. Error by fold.</w:t>
      </w:r>
    </w:p>
    <w:p>
      <w:pPr>
        <w:spacing w:after="110"/>
      </w:pPr>
      <w:r>
        <w:rPr>
          <w:rFonts w:ascii="Calibri" w:cs="Calibri" w:eastAsia="Calibri" w:hAnsi="Calibri"/>
          <w:b/>
          <w:bCs/>
          <w:sz w:val="21"/>
          <w:szCs w:val="21"/>
        </w:rPr>
        <w:t xml:space="preserve">Metric definitions. </w:t>
      </w:r>
      <w:r>
        <w:rPr>
          <w:rFonts w:ascii="Calibri" w:cs="Calibri" w:eastAsia="Calibri" w:hAnsi="Calibri"/>
          <w:sz w:val="21"/>
          <w:szCs w:val="21"/>
        </w:rPr>
        <w:t xml:space="preserve">MAE = mean |pred - actual| in dollars; RMSE = root mean squared dollar error; MAPE = mean |pred - actual| / actual; MedAPE = median of the same ratio; core MAPE and core MAE are computed on rows whose absolute % error is below 50% (about 98.6% of rows), which removes the corrupted labels; R2 = 1 - SSE/SST on dollars. Unfiltered results are always shown next to core results.</w:t>
      </w:r>
    </w:p>
    <w:p>
      <w:pPr>
        <w:pStyle w:val="Heading1"/>
        <w:keepNext/>
        <w:spacing w:after="120" w:before="260"/>
      </w:pPr>
      <w:r>
        <w:rPr>
          <w:rFonts w:ascii="Calibri" w:cs="Calibri" w:eastAsia="Calibri" w:hAnsi="Calibri"/>
          <w:b/>
          <w:bCs/>
          <w:color w:val="064A56"/>
          <w:sz w:val="30"/>
          <w:szCs w:val="30"/>
        </w:rPr>
        <w:t xml:space="preserve">7. Diagnostics by subgroup</w:t>
      </w:r>
    </w:p>
    <w:p>
      <w:pPr>
        <w:keepNext/>
        <w:spacing w:after="60" w:before="80"/>
        <w:jc w:val="center"/>
      </w:pPr>
      <w:r>
        <w:drawing>
          <wp:inline distT="0" distB="0" distL="0" distR="0">
            <wp:extent cx="5334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600200"/>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6. Error by distance, equipment and actual-rate octile (forward-fold predictions of the 3-seed headline configuration).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400"/>
        <w:gridCol w:w="1500"/>
        <w:gridCol w:w="1400"/>
        <w:gridCol w:w="1260"/>
      </w:tblGrid>
      <w:tr>
        <w:trPr>
          <w:cantSplit/>
          <w:tblHeader/>
        </w:trPr>
        <w:tc>
          <w:tcPr>
            <w:tcW w:type="dxa" w:w="15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Month</w:t>
            </w:r>
          </w:p>
        </w:tc>
        <w:tc>
          <w:tcPr>
            <w:tcW w:type="dxa" w:w="13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Rows</w:t>
            </w:r>
          </w:p>
        </w:tc>
        <w:tc>
          <w:tcPr>
            <w:tcW w:type="dxa" w:w="14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MAE ($)</w:t>
            </w:r>
          </w:p>
        </w:tc>
        <w:tc>
          <w:tcPr>
            <w:tcW w:type="dxa" w:w="15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Median %</w:t>
            </w:r>
          </w:p>
        </w:tc>
        <w:tc>
          <w:tcPr>
            <w:tcW w:type="dxa" w:w="14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Mean %</w:t>
            </w:r>
          </w:p>
        </w:tc>
        <w:tc>
          <w:tcPr>
            <w:tcW w:type="dxa" w:w="126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Median bias %</w:t>
            </w:r>
          </w:p>
        </w:tc>
      </w:tr>
      <w:tr>
        <w:trPr>
          <w:cantSplit/>
          <w:tblHeader w:val="false"/>
        </w:trPr>
        <w:tc>
          <w:tcPr>
            <w:tcW w:type="dxa" w:w="15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2025-05</w:t>
            </w:r>
          </w:p>
        </w:tc>
        <w:tc>
          <w:tcPr>
            <w:tcW w:type="dxa" w:w="13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4,913</w:t>
            </w:r>
          </w:p>
        </w:tc>
        <w:tc>
          <w:tcPr>
            <w:tcW w:type="dxa" w:w="14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92</w:t>
            </w:r>
          </w:p>
        </w:tc>
        <w:tc>
          <w:tcPr>
            <w:tcW w:type="dxa" w:w="15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1.80</w:t>
            </w:r>
          </w:p>
        </w:tc>
        <w:tc>
          <w:tcPr>
            <w:tcW w:type="dxa" w:w="14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4.45</w:t>
            </w:r>
          </w:p>
        </w:tc>
        <w:tc>
          <w:tcPr>
            <w:tcW w:type="dxa" w:w="12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-1.74</w:t>
            </w:r>
          </w:p>
        </w:tc>
      </w:tr>
      <w:tr>
        <w:trPr>
          <w:cantSplit/>
          <w:tblHeader w:val="false"/>
        </w:trPr>
        <w:tc>
          <w:tcPr>
            <w:tcW w:type="dxa" w:w="15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2025-06</w:t>
            </w:r>
          </w:p>
        </w:tc>
        <w:tc>
          <w:tcPr>
            <w:tcW w:type="dxa" w:w="13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9,566</w:t>
            </w:r>
          </w:p>
        </w:tc>
        <w:tc>
          <w:tcPr>
            <w:tcW w:type="dxa" w:w="14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93</w:t>
            </w:r>
          </w:p>
        </w:tc>
        <w:tc>
          <w:tcPr>
            <w:tcW w:type="dxa" w:w="15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1.04</w:t>
            </w:r>
          </w:p>
        </w:tc>
        <w:tc>
          <w:tcPr>
            <w:tcW w:type="dxa" w:w="14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3.33</w:t>
            </w:r>
          </w:p>
        </w:tc>
        <w:tc>
          <w:tcPr>
            <w:tcW w:type="dxa" w:w="12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-0.12</w:t>
            </w:r>
          </w:p>
        </w:tc>
      </w:tr>
      <w:tr>
        <w:trPr>
          <w:cantSplit/>
          <w:tblHeader w:val="false"/>
        </w:trPr>
        <w:tc>
          <w:tcPr>
            <w:tcW w:type="dxa" w:w="15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2025-07</w:t>
            </w:r>
          </w:p>
        </w:tc>
        <w:tc>
          <w:tcPr>
            <w:tcW w:type="dxa" w:w="13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9,824</w:t>
            </w:r>
          </w:p>
        </w:tc>
        <w:tc>
          <w:tcPr>
            <w:tcW w:type="dxa" w:w="14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87</w:t>
            </w:r>
          </w:p>
        </w:tc>
        <w:tc>
          <w:tcPr>
            <w:tcW w:type="dxa" w:w="15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1.18</w:t>
            </w:r>
          </w:p>
        </w:tc>
        <w:tc>
          <w:tcPr>
            <w:tcW w:type="dxa" w:w="14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3.51</w:t>
            </w:r>
          </w:p>
        </w:tc>
        <w:tc>
          <w:tcPr>
            <w:tcW w:type="dxa" w:w="12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-0.88</w:t>
            </w:r>
          </w:p>
        </w:tc>
      </w:tr>
      <w:tr>
        <w:trPr>
          <w:cantSplit/>
          <w:tblHeader w:val="false"/>
        </w:trPr>
        <w:tc>
          <w:tcPr>
            <w:tcW w:type="dxa" w:w="15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2025-08</w:t>
            </w:r>
          </w:p>
        </w:tc>
        <w:tc>
          <w:tcPr>
            <w:tcW w:type="dxa" w:w="13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9,518</w:t>
            </w:r>
          </w:p>
        </w:tc>
        <w:tc>
          <w:tcPr>
            <w:tcW w:type="dxa" w:w="14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193</w:t>
            </w:r>
          </w:p>
        </w:tc>
        <w:tc>
          <w:tcPr>
            <w:tcW w:type="dxa" w:w="15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5.60</w:t>
            </w:r>
          </w:p>
        </w:tc>
        <w:tc>
          <w:tcPr>
            <w:tcW w:type="dxa" w:w="14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8.54</w:t>
            </w:r>
          </w:p>
        </w:tc>
        <w:tc>
          <w:tcPr>
            <w:tcW w:type="dxa" w:w="12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-0.64</w:t>
            </w:r>
          </w:p>
        </w:tc>
      </w:tr>
      <w:tr>
        <w:trPr>
          <w:cantSplit/>
          <w:tblHeader w:val="false"/>
        </w:trPr>
        <w:tc>
          <w:tcPr>
            <w:tcW w:type="dxa" w:w="15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2025-09</w:t>
            </w:r>
          </w:p>
        </w:tc>
        <w:tc>
          <w:tcPr>
            <w:tcW w:type="dxa" w:w="13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9,340</w:t>
            </w:r>
          </w:p>
        </w:tc>
        <w:tc>
          <w:tcPr>
            <w:tcW w:type="dxa" w:w="14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94</w:t>
            </w:r>
          </w:p>
        </w:tc>
        <w:tc>
          <w:tcPr>
            <w:tcW w:type="dxa" w:w="15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1.70</w:t>
            </w:r>
          </w:p>
        </w:tc>
        <w:tc>
          <w:tcPr>
            <w:tcW w:type="dxa" w:w="14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3.92</w:t>
            </w:r>
          </w:p>
        </w:tc>
        <w:tc>
          <w:tcPr>
            <w:tcW w:type="dxa" w:w="12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1.60</w:t>
            </w:r>
          </w:p>
        </w:tc>
      </w:tr>
      <w:tr>
        <w:trPr>
          <w:cantSplit/>
          <w:tblHeader w:val="false"/>
        </w:trPr>
        <w:tc>
          <w:tcPr>
            <w:tcW w:type="dxa" w:w="15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2025-10</w:t>
            </w:r>
          </w:p>
        </w:tc>
        <w:tc>
          <w:tcPr>
            <w:tcW w:type="dxa" w:w="13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4,853</w:t>
            </w:r>
          </w:p>
        </w:tc>
        <w:tc>
          <w:tcPr>
            <w:tcW w:type="dxa" w:w="14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89</w:t>
            </w:r>
          </w:p>
        </w:tc>
        <w:tc>
          <w:tcPr>
            <w:tcW w:type="dxa" w:w="15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1.03</w:t>
            </w:r>
          </w:p>
        </w:tc>
        <w:tc>
          <w:tcPr>
            <w:tcW w:type="dxa" w:w="14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4.26</w:t>
            </w:r>
          </w:p>
        </w:tc>
        <w:tc>
          <w:tcPr>
            <w:tcW w:type="dxa" w:w="12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0.06</w:t>
            </w:r>
          </w:p>
        </w:tc>
      </w:tr>
    </w:tbl>
    <w:p>
      <w:pPr>
        <w:spacing w:after="140"/>
        <w:jc w:val="center"/>
      </w:pPr>
      <w:r>
        <w:rPr>
          <w:rFonts w:ascii="Calibri" w:cs="Calibri" w:eastAsia="Calibri" w:hAnsi="Calibri"/>
          <w:i/>
          <w:iCs/>
          <w:color w:val="555555"/>
          <w:sz w:val="18"/>
          <w:szCs w:val="18"/>
        </w:rPr>
        <w:t xml:space="preserve">Table 10. By validation month. August stands out.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300"/>
        <w:gridCol w:w="1400"/>
        <w:gridCol w:w="1300"/>
        <w:gridCol w:w="1260"/>
      </w:tblGrid>
      <w:tr>
        <w:trPr>
          <w:cantSplit/>
          <w:tblHeader/>
        </w:trPr>
        <w:tc>
          <w:tcPr>
            <w:tcW w:type="dxa" w:w="19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Distance (mi)</w:t>
            </w:r>
          </w:p>
        </w:tc>
        <w:tc>
          <w:tcPr>
            <w:tcW w:type="dxa" w:w="12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Rows</w:t>
            </w:r>
          </w:p>
        </w:tc>
        <w:tc>
          <w:tcPr>
            <w:tcW w:type="dxa" w:w="13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MAE ($)</w:t>
            </w:r>
          </w:p>
        </w:tc>
        <w:tc>
          <w:tcPr>
            <w:tcW w:type="dxa" w:w="14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Median %</w:t>
            </w:r>
          </w:p>
        </w:tc>
        <w:tc>
          <w:tcPr>
            <w:tcW w:type="dxa" w:w="13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Mean %</w:t>
            </w:r>
          </w:p>
        </w:tc>
        <w:tc>
          <w:tcPr>
            <w:tcW w:type="dxa" w:w="126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Median bias %</w:t>
            </w:r>
          </w:p>
        </w:tc>
      </w:tr>
      <w:tr>
        <w:trPr>
          <w:cantSplit/>
          <w:tblHeader w:val="false"/>
        </w:trPr>
        <w:tc>
          <w:tcPr>
            <w:tcW w:type="dxa" w:w="19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0–300</w:t>
            </w:r>
          </w:p>
        </w:tc>
        <w:tc>
          <w:tcPr>
            <w:tcW w:type="dxa" w:w="12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4,018</w:t>
            </w:r>
          </w:p>
        </w:tc>
        <w:tc>
          <w:tcPr>
            <w:tcW w:type="dxa" w:w="13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31</w:t>
            </w:r>
          </w:p>
        </w:tc>
        <w:tc>
          <w:tcPr>
            <w:tcW w:type="dxa" w:w="14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2.28</w:t>
            </w:r>
          </w:p>
        </w:tc>
        <w:tc>
          <w:tcPr>
            <w:tcW w:type="dxa" w:w="13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5.54</w:t>
            </w:r>
          </w:p>
        </w:tc>
        <w:tc>
          <w:tcPr>
            <w:tcW w:type="dxa" w:w="12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-0.87</w:t>
            </w:r>
          </w:p>
        </w:tc>
      </w:tr>
      <w:tr>
        <w:trPr>
          <w:cantSplit/>
          <w:tblHeader w:val="false"/>
        </w:trPr>
        <w:tc>
          <w:tcPr>
            <w:tcW w:type="dxa" w:w="19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300–600</w:t>
            </w:r>
          </w:p>
        </w:tc>
        <w:tc>
          <w:tcPr>
            <w:tcW w:type="dxa" w:w="12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9,474</w:t>
            </w:r>
          </w:p>
        </w:tc>
        <w:tc>
          <w:tcPr>
            <w:tcW w:type="dxa" w:w="13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49</w:t>
            </w:r>
          </w:p>
        </w:tc>
        <w:tc>
          <w:tcPr>
            <w:tcW w:type="dxa" w:w="14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1.48</w:t>
            </w:r>
          </w:p>
        </w:tc>
        <w:tc>
          <w:tcPr>
            <w:tcW w:type="dxa" w:w="13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4.88</w:t>
            </w:r>
          </w:p>
        </w:tc>
        <w:tc>
          <w:tcPr>
            <w:tcW w:type="dxa" w:w="12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-0.60</w:t>
            </w:r>
          </w:p>
        </w:tc>
      </w:tr>
      <w:tr>
        <w:trPr>
          <w:cantSplit/>
          <w:tblHeader w:val="false"/>
        </w:trPr>
        <w:tc>
          <w:tcPr>
            <w:tcW w:type="dxa" w:w="19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600–1000</w:t>
            </w:r>
          </w:p>
        </w:tc>
        <w:tc>
          <w:tcPr>
            <w:tcW w:type="dxa" w:w="12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11,919</w:t>
            </w:r>
          </w:p>
        </w:tc>
        <w:tc>
          <w:tcPr>
            <w:tcW w:type="dxa" w:w="13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77</w:t>
            </w:r>
          </w:p>
        </w:tc>
        <w:tc>
          <w:tcPr>
            <w:tcW w:type="dxa" w:w="14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1.46</w:t>
            </w:r>
          </w:p>
        </w:tc>
        <w:tc>
          <w:tcPr>
            <w:tcW w:type="dxa" w:w="13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4.49</w:t>
            </w:r>
          </w:p>
        </w:tc>
        <w:tc>
          <w:tcPr>
            <w:tcW w:type="dxa" w:w="12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-0.29</w:t>
            </w:r>
          </w:p>
        </w:tc>
      </w:tr>
      <w:tr>
        <w:trPr>
          <w:cantSplit/>
          <w:tblHeader w:val="false"/>
        </w:trPr>
        <w:tc>
          <w:tcPr>
            <w:tcW w:type="dxa" w:w="19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1000–1500</w:t>
            </w:r>
          </w:p>
        </w:tc>
        <w:tc>
          <w:tcPr>
            <w:tcW w:type="dxa" w:w="12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8,959</w:t>
            </w:r>
          </w:p>
        </w:tc>
        <w:tc>
          <w:tcPr>
            <w:tcW w:type="dxa" w:w="13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114</w:t>
            </w:r>
          </w:p>
        </w:tc>
        <w:tc>
          <w:tcPr>
            <w:tcW w:type="dxa" w:w="14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1.54</w:t>
            </w:r>
          </w:p>
        </w:tc>
        <w:tc>
          <w:tcPr>
            <w:tcW w:type="dxa" w:w="13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4.04</w:t>
            </w:r>
          </w:p>
        </w:tc>
        <w:tc>
          <w:tcPr>
            <w:tcW w:type="dxa" w:w="12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0.12</w:t>
            </w:r>
          </w:p>
        </w:tc>
      </w:tr>
      <w:tr>
        <w:trPr>
          <w:cantSplit/>
          <w:tblHeader w:val="false"/>
        </w:trPr>
        <w:tc>
          <w:tcPr>
            <w:tcW w:type="dxa" w:w="19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1500–2500</w:t>
            </w:r>
          </w:p>
        </w:tc>
        <w:tc>
          <w:tcPr>
            <w:tcW w:type="dxa" w:w="12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10,972</w:t>
            </w:r>
          </w:p>
        </w:tc>
        <w:tc>
          <w:tcPr>
            <w:tcW w:type="dxa" w:w="13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195</w:t>
            </w:r>
          </w:p>
        </w:tc>
        <w:tc>
          <w:tcPr>
            <w:tcW w:type="dxa" w:w="14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1.60</w:t>
            </w:r>
          </w:p>
        </w:tc>
        <w:tc>
          <w:tcPr>
            <w:tcW w:type="dxa" w:w="13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4.90</w:t>
            </w:r>
          </w:p>
        </w:tc>
        <w:tc>
          <w:tcPr>
            <w:tcW w:type="dxa" w:w="12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0.29</w:t>
            </w:r>
          </w:p>
        </w:tc>
      </w:tr>
      <w:tr>
        <w:trPr>
          <w:cantSplit/>
          <w:tblHeader w:val="false"/>
        </w:trPr>
        <w:tc>
          <w:tcPr>
            <w:tcW w:type="dxa" w:w="19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2500–5000</w:t>
            </w:r>
          </w:p>
        </w:tc>
        <w:tc>
          <w:tcPr>
            <w:tcW w:type="dxa" w:w="12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2,672</w:t>
            </w:r>
          </w:p>
        </w:tc>
        <w:tc>
          <w:tcPr>
            <w:tcW w:type="dxa" w:w="13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258</w:t>
            </w:r>
          </w:p>
        </w:tc>
        <w:tc>
          <w:tcPr>
            <w:tcW w:type="dxa" w:w="14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1.82</w:t>
            </w:r>
          </w:p>
        </w:tc>
        <w:tc>
          <w:tcPr>
            <w:tcW w:type="dxa" w:w="13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5.51</w:t>
            </w:r>
          </w:p>
        </w:tc>
        <w:tc>
          <w:tcPr>
            <w:tcW w:type="dxa" w:w="12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0.42</w:t>
            </w:r>
          </w:p>
        </w:tc>
      </w:tr>
    </w:tbl>
    <w:p>
      <w:pPr>
        <w:spacing w:after="140"/>
        <w:jc w:val="center"/>
      </w:pPr>
      <w:r>
        <w:rPr>
          <w:rFonts w:ascii="Calibri" w:cs="Calibri" w:eastAsia="Calibri" w:hAnsi="Calibri"/>
          <w:i/>
          <w:iCs/>
          <w:color w:val="555555"/>
          <w:sz w:val="18"/>
          <w:szCs w:val="18"/>
        </w:rPr>
        <w:t xml:space="preserve">Table 11. By distance bucket.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300"/>
        <w:gridCol w:w="1400"/>
        <w:gridCol w:w="1300"/>
        <w:gridCol w:w="1260"/>
      </w:tblGrid>
      <w:tr>
        <w:trPr>
          <w:cantSplit/>
          <w:tblHeader/>
        </w:trPr>
        <w:tc>
          <w:tcPr>
            <w:tcW w:type="dxa" w:w="19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Equipment</w:t>
            </w:r>
          </w:p>
        </w:tc>
        <w:tc>
          <w:tcPr>
            <w:tcW w:type="dxa" w:w="12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Rows</w:t>
            </w:r>
          </w:p>
        </w:tc>
        <w:tc>
          <w:tcPr>
            <w:tcW w:type="dxa" w:w="13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MAE ($)</w:t>
            </w:r>
          </w:p>
        </w:tc>
        <w:tc>
          <w:tcPr>
            <w:tcW w:type="dxa" w:w="14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Median %</w:t>
            </w:r>
          </w:p>
        </w:tc>
        <w:tc>
          <w:tcPr>
            <w:tcW w:type="dxa" w:w="13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Mean %</w:t>
            </w:r>
          </w:p>
        </w:tc>
        <w:tc>
          <w:tcPr>
            <w:tcW w:type="dxa" w:w="126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Median bias %</w:t>
            </w:r>
          </w:p>
        </w:tc>
      </w:tr>
      <w:tr>
        <w:trPr>
          <w:cantSplit/>
          <w:tblHeader w:val="false"/>
        </w:trPr>
        <w:tc>
          <w:tcPr>
            <w:tcW w:type="dxa" w:w="19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Dry Van</w:t>
            </w:r>
          </w:p>
        </w:tc>
        <w:tc>
          <w:tcPr>
            <w:tcW w:type="dxa" w:w="12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27,212</w:t>
            </w:r>
          </w:p>
        </w:tc>
        <w:tc>
          <w:tcPr>
            <w:tcW w:type="dxa" w:w="13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117</w:t>
            </w:r>
          </w:p>
        </w:tc>
        <w:tc>
          <w:tcPr>
            <w:tcW w:type="dxa" w:w="14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1.60</w:t>
            </w:r>
          </w:p>
        </w:tc>
        <w:tc>
          <w:tcPr>
            <w:tcW w:type="dxa" w:w="13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4.73</w:t>
            </w:r>
          </w:p>
        </w:tc>
        <w:tc>
          <w:tcPr>
            <w:tcW w:type="dxa" w:w="12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0.12</w:t>
            </w:r>
          </w:p>
        </w:tc>
      </w:tr>
      <w:tr>
        <w:trPr>
          <w:cantSplit/>
          <w:tblHeader w:val="false"/>
        </w:trPr>
        <w:tc>
          <w:tcPr>
            <w:tcW w:type="dxa" w:w="19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Flatbed</w:t>
            </w:r>
          </w:p>
        </w:tc>
        <w:tc>
          <w:tcPr>
            <w:tcW w:type="dxa" w:w="12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8,694</w:t>
            </w:r>
          </w:p>
        </w:tc>
        <w:tc>
          <w:tcPr>
            <w:tcW w:type="dxa" w:w="13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93</w:t>
            </w:r>
          </w:p>
        </w:tc>
        <w:tc>
          <w:tcPr>
            <w:tcW w:type="dxa" w:w="14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1.46</w:t>
            </w:r>
          </w:p>
        </w:tc>
        <w:tc>
          <w:tcPr>
            <w:tcW w:type="dxa" w:w="13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4.40</w:t>
            </w:r>
          </w:p>
        </w:tc>
        <w:tc>
          <w:tcPr>
            <w:tcW w:type="dxa" w:w="12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-0.29</w:t>
            </w:r>
          </w:p>
        </w:tc>
      </w:tr>
      <w:tr>
        <w:trPr>
          <w:cantSplit/>
          <w:tblHeader w:val="false"/>
        </w:trPr>
        <w:tc>
          <w:tcPr>
            <w:tcW w:type="dxa" w:w="19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Reefer</w:t>
            </w:r>
          </w:p>
        </w:tc>
        <w:tc>
          <w:tcPr>
            <w:tcW w:type="dxa" w:w="12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12,108</w:t>
            </w:r>
          </w:p>
        </w:tc>
        <w:tc>
          <w:tcPr>
            <w:tcW w:type="dxa" w:w="13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113</w:t>
            </w:r>
          </w:p>
        </w:tc>
        <w:tc>
          <w:tcPr>
            <w:tcW w:type="dxa" w:w="14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1.61</w:t>
            </w:r>
          </w:p>
        </w:tc>
        <w:tc>
          <w:tcPr>
            <w:tcW w:type="dxa" w:w="13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4.94</w:t>
            </w:r>
          </w:p>
        </w:tc>
        <w:tc>
          <w:tcPr>
            <w:tcW w:type="dxa" w:w="12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-0.60</w:t>
            </w:r>
          </w:p>
        </w:tc>
      </w:tr>
    </w:tbl>
    <w:p>
      <w:pPr>
        <w:spacing w:after="140"/>
        <w:jc w:val="center"/>
      </w:pPr>
      <w:r>
        <w:rPr>
          <w:rFonts w:ascii="Calibri" w:cs="Calibri" w:eastAsia="Calibri" w:hAnsi="Calibri"/>
          <w:i/>
          <w:iCs/>
          <w:color w:val="555555"/>
          <w:sz w:val="18"/>
          <w:szCs w:val="18"/>
        </w:rPr>
        <w:t xml:space="preserve">Table 12. By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600"/>
        <w:gridCol w:w="1500"/>
        <w:gridCol w:w="1860"/>
      </w:tblGrid>
      <w:tr>
        <w:trPr>
          <w:cantSplit/>
          <w:tblHeader/>
        </w:trPr>
        <w:tc>
          <w:tcPr>
            <w:tcW w:type="dxa" w:w="30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Actual rate octile</w:t>
            </w:r>
          </w:p>
        </w:tc>
        <w:tc>
          <w:tcPr>
            <w:tcW w:type="dxa" w:w="14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MAE ($)</w:t>
            </w:r>
          </w:p>
        </w:tc>
        <w:tc>
          <w:tcPr>
            <w:tcW w:type="dxa" w:w="16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Median %</w:t>
            </w:r>
          </w:p>
        </w:tc>
        <w:tc>
          <w:tcPr>
            <w:tcW w:type="dxa" w:w="150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Mean %</w:t>
            </w:r>
          </w:p>
        </w:tc>
        <w:tc>
          <w:tcPr>
            <w:tcW w:type="dxa" w:w="1860"/>
            <w:tcBorders>
              <w:top w:val="single" w:color="C8D3D6" w:sz="4"/>
              <w:left w:val="single" w:color="C8D3D6" w:sz="4"/>
              <w:bottom w:val="single" w:color="C8D3D6" w:sz="4"/>
              <w:right w:val="single" w:color="C8D3D6" w:sz="4"/>
            </w:tcBorders>
            <w:shd w:fill="064A56"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Median bias %</w:t>
            </w:r>
          </w:p>
        </w:tc>
      </w:tr>
      <w:tr>
        <w:trPr>
          <w:cantSplit/>
          <w:tblHeader w:val="false"/>
        </w:trPr>
        <w:tc>
          <w:tcPr>
            <w:tcW w:type="dxa" w:w="30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$60–$887</w:t>
            </w:r>
          </w:p>
        </w:tc>
        <w:tc>
          <w:tcPr>
            <w:tcW w:type="dxa" w:w="14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72</w:t>
            </w:r>
          </w:p>
        </w:tc>
        <w:tc>
          <w:tcPr>
            <w:tcW w:type="dxa" w:w="16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2.09</w:t>
            </w:r>
          </w:p>
        </w:tc>
        <w:tc>
          <w:tcPr>
            <w:tcW w:type="dxa" w:w="15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14.90</w:t>
            </w:r>
          </w:p>
        </w:tc>
        <w:tc>
          <w:tcPr>
            <w:tcW w:type="dxa" w:w="18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-0.56</w:t>
            </w:r>
          </w:p>
        </w:tc>
      </w:tr>
      <w:tr>
        <w:trPr>
          <w:cantSplit/>
          <w:tblHeader w:val="false"/>
        </w:trPr>
        <w:tc>
          <w:tcPr>
            <w:tcW w:type="dxa" w:w="30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$887–$1,272</w:t>
            </w:r>
          </w:p>
        </w:tc>
        <w:tc>
          <w:tcPr>
            <w:tcW w:type="dxa" w:w="14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45</w:t>
            </w:r>
          </w:p>
        </w:tc>
        <w:tc>
          <w:tcPr>
            <w:tcW w:type="dxa" w:w="16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1.45</w:t>
            </w:r>
          </w:p>
        </w:tc>
        <w:tc>
          <w:tcPr>
            <w:tcW w:type="dxa" w:w="15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4.22</w:t>
            </w:r>
          </w:p>
        </w:tc>
        <w:tc>
          <w:tcPr>
            <w:tcW w:type="dxa" w:w="18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-0.57</w:t>
            </w:r>
          </w:p>
        </w:tc>
      </w:tr>
      <w:tr>
        <w:trPr>
          <w:cantSplit/>
          <w:tblHeader w:val="false"/>
        </w:trPr>
        <w:tc>
          <w:tcPr>
            <w:tcW w:type="dxa" w:w="30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$1,272–$1,662</w:t>
            </w:r>
          </w:p>
        </w:tc>
        <w:tc>
          <w:tcPr>
            <w:tcW w:type="dxa" w:w="14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39</w:t>
            </w:r>
          </w:p>
        </w:tc>
        <w:tc>
          <w:tcPr>
            <w:tcW w:type="dxa" w:w="16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1.40</w:t>
            </w:r>
          </w:p>
        </w:tc>
        <w:tc>
          <w:tcPr>
            <w:tcW w:type="dxa" w:w="15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2.71</w:t>
            </w:r>
          </w:p>
        </w:tc>
        <w:tc>
          <w:tcPr>
            <w:tcW w:type="dxa" w:w="18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-0.32</w:t>
            </w:r>
          </w:p>
        </w:tc>
      </w:tr>
      <w:tr>
        <w:trPr>
          <w:cantSplit/>
          <w:tblHeader w:val="false"/>
        </w:trPr>
        <w:tc>
          <w:tcPr>
            <w:tcW w:type="dxa" w:w="30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$1,662–$2,059</w:t>
            </w:r>
          </w:p>
        </w:tc>
        <w:tc>
          <w:tcPr>
            <w:tcW w:type="dxa" w:w="14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48</w:t>
            </w:r>
          </w:p>
        </w:tc>
        <w:tc>
          <w:tcPr>
            <w:tcW w:type="dxa" w:w="16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1.48</w:t>
            </w:r>
          </w:p>
        </w:tc>
        <w:tc>
          <w:tcPr>
            <w:tcW w:type="dxa" w:w="15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2.60</w:t>
            </w:r>
          </w:p>
        </w:tc>
        <w:tc>
          <w:tcPr>
            <w:tcW w:type="dxa" w:w="18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-0.29</w:t>
            </w:r>
          </w:p>
        </w:tc>
      </w:tr>
      <w:tr>
        <w:trPr>
          <w:cantSplit/>
          <w:tblHeader w:val="false"/>
        </w:trPr>
        <w:tc>
          <w:tcPr>
            <w:tcW w:type="dxa" w:w="30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$2,059–$2,562</w:t>
            </w:r>
          </w:p>
        </w:tc>
        <w:tc>
          <w:tcPr>
            <w:tcW w:type="dxa" w:w="14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51</w:t>
            </w:r>
          </w:p>
        </w:tc>
        <w:tc>
          <w:tcPr>
            <w:tcW w:type="dxa" w:w="16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1.51</w:t>
            </w:r>
          </w:p>
        </w:tc>
        <w:tc>
          <w:tcPr>
            <w:tcW w:type="dxa" w:w="15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2.24</w:t>
            </w:r>
          </w:p>
        </w:tc>
        <w:tc>
          <w:tcPr>
            <w:tcW w:type="dxa" w:w="18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0.13</w:t>
            </w:r>
          </w:p>
        </w:tc>
      </w:tr>
      <w:tr>
        <w:trPr>
          <w:cantSplit/>
          <w:tblHeader w:val="false"/>
        </w:trPr>
        <w:tc>
          <w:tcPr>
            <w:tcW w:type="dxa" w:w="30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$2,562–$3,389</w:t>
            </w:r>
          </w:p>
        </w:tc>
        <w:tc>
          <w:tcPr>
            <w:tcW w:type="dxa" w:w="14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77</w:t>
            </w:r>
          </w:p>
        </w:tc>
        <w:tc>
          <w:tcPr>
            <w:tcW w:type="dxa" w:w="16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1.59</w:t>
            </w:r>
          </w:p>
        </w:tc>
        <w:tc>
          <w:tcPr>
            <w:tcW w:type="dxa" w:w="15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2.60</w:t>
            </w:r>
          </w:p>
        </w:tc>
        <w:tc>
          <w:tcPr>
            <w:tcW w:type="dxa" w:w="18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0.15</w:t>
            </w:r>
          </w:p>
        </w:tc>
      </w:tr>
      <w:tr>
        <w:trPr>
          <w:cantSplit/>
          <w:tblHeader w:val="false"/>
        </w:trPr>
        <w:tc>
          <w:tcPr>
            <w:tcW w:type="dxa" w:w="30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$3,389–$4,232</w:t>
            </w:r>
          </w:p>
        </w:tc>
        <w:tc>
          <w:tcPr>
            <w:tcW w:type="dxa" w:w="14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104</w:t>
            </w:r>
          </w:p>
        </w:tc>
        <w:tc>
          <w:tcPr>
            <w:tcW w:type="dxa" w:w="16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1.57</w:t>
            </w:r>
          </w:p>
        </w:tc>
        <w:tc>
          <w:tcPr>
            <w:tcW w:type="dxa" w:w="150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2.72</w:t>
            </w:r>
          </w:p>
        </w:tc>
        <w:tc>
          <w:tcPr>
            <w:tcW w:type="dxa" w:w="1860"/>
            <w:tcBorders>
              <w:top w:val="single" w:color="C8D3D6" w:sz="4"/>
              <w:left w:val="single" w:color="C8D3D6" w:sz="4"/>
              <w:bottom w:val="single" w:color="C8D3D6" w:sz="4"/>
              <w:right w:val="single" w:color="C8D3D6" w:sz="4"/>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0.23</w:t>
            </w:r>
          </w:p>
        </w:tc>
      </w:tr>
      <w:tr>
        <w:trPr>
          <w:cantSplit/>
          <w:tblHeader w:val="false"/>
        </w:trPr>
        <w:tc>
          <w:tcPr>
            <w:tcW w:type="dxa" w:w="30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left"/>
            </w:pPr>
            <w:r>
              <w:rPr>
                <w:rFonts w:ascii="Calibri" w:cs="Calibri" w:eastAsia="Calibri" w:hAnsi="Calibri"/>
                <w:b w:val="false"/>
                <w:bCs w:val="false"/>
                <w:color w:val="222222"/>
                <w:sz w:val="18"/>
                <w:szCs w:val="18"/>
              </w:rPr>
              <w:t xml:space="preserve">$4,232–$24,295</w:t>
            </w:r>
          </w:p>
        </w:tc>
        <w:tc>
          <w:tcPr>
            <w:tcW w:type="dxa" w:w="14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453</w:t>
            </w:r>
          </w:p>
        </w:tc>
        <w:tc>
          <w:tcPr>
            <w:tcW w:type="dxa" w:w="16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1.68</w:t>
            </w:r>
          </w:p>
        </w:tc>
        <w:tc>
          <w:tcPr>
            <w:tcW w:type="dxa" w:w="150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5.77</w:t>
            </w:r>
          </w:p>
        </w:tc>
        <w:tc>
          <w:tcPr>
            <w:tcW w:type="dxa" w:w="1860"/>
            <w:tcBorders>
              <w:top w:val="single" w:color="C8D3D6" w:sz="4"/>
              <w:left w:val="single" w:color="C8D3D6" w:sz="4"/>
              <w:bottom w:val="single" w:color="C8D3D6" w:sz="4"/>
              <w:right w:val="single" w:color="C8D3D6" w:sz="4"/>
            </w:tcBorders>
            <w:shd w:fill="F3F7F8" w:val="clear"/>
            <w:tcMar>
              <w:top w:type="dxa" w:w="50"/>
              <w:left w:type="dxa" w:w="80"/>
              <w:bottom w:type="dxa" w:w="50"/>
              <w:right w:type="dxa" w:w="80"/>
            </w:tcMar>
          </w:tcPr>
          <w:p>
            <w:pPr>
              <w:jc w:val="center"/>
            </w:pPr>
            <w:r>
              <w:rPr>
                <w:rFonts w:ascii="Calibri" w:cs="Calibri" w:eastAsia="Calibri" w:hAnsi="Calibri"/>
                <w:b w:val="false"/>
                <w:bCs w:val="false"/>
                <w:color w:val="222222"/>
                <w:sz w:val="18"/>
                <w:szCs w:val="18"/>
              </w:rPr>
              <w:t xml:space="preserve">0.01</w:t>
            </w:r>
          </w:p>
        </w:tc>
      </w:tr>
    </w:tbl>
    <w:p>
      <w:pPr>
        <w:spacing w:after="140"/>
        <w:jc w:val="center"/>
      </w:pPr>
      <w:r>
        <w:rPr>
          <w:rFonts w:ascii="Calibri" w:cs="Calibri" w:eastAsia="Calibri" w:hAnsi="Calibri"/>
          <w:i/>
          <w:iCs/>
          <w:color w:val="555555"/>
          <w:sz w:val="18"/>
          <w:szCs w:val="18"/>
        </w:rPr>
        <w:t xml:space="preserve">Table 13. By actual rate. The lowest octile has a very high mean % error because corrupted low labels (0.2-0.4x) are unpredictable; the median error there is close to the others.</w:t>
      </w:r>
    </w:p>
    <w:p>
      <w:pPr>
        <w:spacing w:after="110"/>
      </w:pPr>
      <w:r>
        <w:rPr>
          <w:rFonts w:ascii="Calibri" w:cs="Calibri" w:eastAsia="Calibri" w:hAnsi="Calibri"/>
          <w:sz w:val="21"/>
          <w:szCs w:val="21"/>
        </w:rPr>
        <w:t xml:space="preserve">Overall median bias is -0.15% (no systematic over- or under-prediction), errors are broadly even across distance and equipment (short hauls under 300 miles are weakest), and the main error concentration is by month, i.e. the rate level, not by load type.</w:t>
      </w:r>
    </w:p>
    <w:p>
      <w:pPr>
        <w:pStyle w:val="Heading1"/>
        <w:keepNext/>
        <w:spacing w:after="120" w:before="260"/>
      </w:pPr>
      <w:r>
        <w:rPr>
          <w:rFonts w:ascii="Calibri" w:cs="Calibri" w:eastAsia="Calibri" w:hAnsi="Calibri"/>
          <w:b/>
          <w:bCs/>
          <w:color w:val="064A56"/>
          <w:sz w:val="30"/>
          <w:szCs w:val="30"/>
        </w:rPr>
        <w:t xml:space="preserve">8. Fixed December prediction</w:t>
      </w:r>
    </w:p>
    <w:p>
      <w:pPr>
        <w:spacing w:after="110"/>
      </w:pPr>
      <w:r>
        <w:rPr>
          <w:rFonts w:ascii="Calibri" w:cs="Calibri" w:eastAsia="Calibri" w:hAnsi="Calibri"/>
          <w:sz w:val="21"/>
          <w:szCs w:val="21"/>
        </w:rPr>
        <w:t xml:space="preserve">Route: Lexington to Fort Wayne, 360 miles, Dry Van, 32,000 lb. December inputs carry no market_index or quote_signal, so each date's market deviation comes from the validation file's loads for that date and the regime is noise (qs_signed = 0). The completed file is december_chart_inputs.csv; the chart below is the unmodified output of the supplied score.py run on it with validation_predictions.csv.</w:t>
      </w:r>
    </w:p>
    <w:p>
      <w:pPr>
        <w:keepNext/>
        <w:spacing w:after="60" w:before="80"/>
        <w:jc w:val="center"/>
      </w:pPr>
      <w:r>
        <w:drawing>
          <wp:inline distT="0" distB="0" distL="0" distR="0">
            <wp:extent cx="5334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733550"/>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7. candidate_december.png produced by score.py.</w:t>
      </w:r>
    </w:p>
    <w:p>
      <w:pPr>
        <w:spacing w:after="110"/>
      </w:pPr>
      <w:r>
        <w:rPr>
          <w:rFonts w:ascii="Calibri" w:cs="Calibri" w:eastAsia="Calibri" w:hAnsi="Calibri"/>
          <w:sz w:val="21"/>
          <w:szCs w:val="21"/>
        </w:rPr>
        <w:t xml:space="preserve">Predictions range from $817 to $829 and follow the weekly market cycle. The model has no information about holiday effects, so no December-specific dip or spike appears.</w:t>
      </w:r>
    </w:p>
    <w:p>
      <w:pPr>
        <w:spacing w:after="110"/>
      </w:pPr>
      <w:r>
        <w:rPr>
          <w:rFonts w:ascii="Calibri" w:cs="Calibri" w:eastAsia="Calibri" w:hAnsi="Calibri"/>
          <w:sz w:val="21"/>
          <w:szCs w:val="21"/>
        </w:rPr>
        <w:t xml:space="preserve">Treat this as a model estimate, not a market quote. Across the forward-fold predictions the median absolute error is 1.6% (about ±$13 on this load), 80% of loads fall within 3.4% (about ±$28) and 90% within 6.5%. In August, the one noise-regime month, the median error was 5.6% and 80% of loads fell within 10.1% (about ±$83). Nov-Dec share that regime and holiday effects are not modelled, so the August-like band is the safer expectation for December.</w:t>
      </w:r>
    </w:p>
    <w:p>
      <w:pPr>
        <w:pStyle w:val="Heading1"/>
        <w:keepNext/>
        <w:spacing w:after="120" w:before="260"/>
      </w:pPr>
      <w:r>
        <w:rPr>
          <w:rFonts w:ascii="Calibri" w:cs="Calibri" w:eastAsia="Calibri" w:hAnsi="Calibri"/>
          <w:b/>
          <w:bCs/>
          <w:color w:val="064A56"/>
          <w:sz w:val="30"/>
          <w:szCs w:val="30"/>
        </w:rPr>
        <w:t xml:space="preserve">9. Limitations</w:t>
      </w:r>
    </w:p>
    <w:p>
      <w:pPr>
        <w:pStyle w:val="ListParagraph"/>
        <w:numPr>
          <w:ilvl w:val="0"/>
          <w:numId w:val="2"/>
        </w:numPr>
        <w:spacing w:after="60"/>
      </w:pPr>
      <w:r>
        <w:rPr>
          <w:rFonts w:ascii="Calibri" w:cs="Calibri" w:eastAsia="Calibri" w:hAnsi="Calibri"/>
          <w:sz w:val="21"/>
          <w:szCs w:val="21"/>
        </w:rPr>
        <w:t xml:space="preserve">The December rate level is extrapolated from recent months; seasonal effects absent from Jan-Oct are not captured.</w:t>
      </w:r>
    </w:p>
    <w:p>
      <w:pPr>
        <w:pStyle w:val="ListParagraph"/>
        <w:numPr>
          <w:ilvl w:val="0"/>
          <w:numId w:val="2"/>
        </w:numPr>
        <w:spacing w:after="60"/>
      </w:pPr>
      <w:r>
        <w:rPr>
          <w:rFonts w:ascii="Calibri" w:cs="Calibri" w:eastAsia="Calibri" w:hAnsi="Calibri"/>
          <w:sz w:val="21"/>
          <w:szCs w:val="21"/>
        </w:rPr>
        <w:t xml:space="preserve">Only one noise-regime month exists in the labels, so the regime-aware gain for Nov-Dec is supported but not proven.</w:t>
      </w:r>
    </w:p>
    <w:p>
      <w:pPr>
        <w:pStyle w:val="ListParagraph"/>
        <w:numPr>
          <w:ilvl w:val="0"/>
          <w:numId w:val="2"/>
        </w:numPr>
        <w:spacing w:after="60"/>
      </w:pPr>
      <w:r>
        <w:rPr>
          <w:rFonts w:ascii="Calibri" w:cs="Calibri" w:eastAsia="Calibri" w:hAnsi="Calibri"/>
          <w:sz w:val="21"/>
          <w:szCs w:val="21"/>
        </w:rPr>
        <w:t xml:space="preserve">The shipped daily-market and regime features assume the whole scoring file is available (offline batch); a strictly causal version is provided and tested (Table 1b) at small cost.</w:t>
      </w:r>
    </w:p>
    <w:p>
      <w:pPr>
        <w:pStyle w:val="ListParagraph"/>
        <w:numPr>
          <w:ilvl w:val="0"/>
          <w:numId w:val="2"/>
        </w:numPr>
        <w:spacing w:after="60"/>
      </w:pPr>
      <w:r>
        <w:rPr>
          <w:rFonts w:ascii="Calibri" w:cs="Calibri" w:eastAsia="Calibri" w:hAnsi="Calibri"/>
          <w:sz w:val="21"/>
          <w:szCs w:val="21"/>
        </w:rPr>
        <w:t xml:space="preserve">About 1.4% of labels are corrupted; mean % error cannot fall far below about 2.5% even for a perfect model of typical loads. Laredo coordinates lie outside the training range.</w:t>
      </w:r>
    </w:p>
    <w:p>
      <w:pPr>
        <w:pStyle w:val="Heading1"/>
        <w:keepNext/>
        <w:spacing w:after="120" w:before="260"/>
      </w:pPr>
      <w:r>
        <w:rPr>
          <w:rFonts w:ascii="Calibri" w:cs="Calibri" w:eastAsia="Calibri" w:hAnsi="Calibri"/>
          <w:b/>
          <w:bCs/>
          <w:color w:val="064A56"/>
          <w:sz w:val="30"/>
          <w:szCs w:val="30"/>
        </w:rPr>
        <w:t xml:space="preserve">10. Reproduce</w:t>
      </w:r>
    </w:p>
    <w:p>
      <w:pPr>
        <w:spacing w:after="110"/>
      </w:pPr>
      <w:r>
        <w:rPr>
          <w:rFonts w:ascii="Calibri" w:cs="Calibri" w:eastAsia="Calibri" w:hAnsi="Calibri"/>
          <w:sz w:val="21"/>
          <w:szCs w:val="21"/>
        </w:rPr>
        <w:t xml:space="preserve">python -m pip install -r requirements.txt (pinned; tested in a clean Python 3.12 virtualenv). Then: python run_pipeline.py (about 25 minutes on one core), python score.py --predictions validation_predictions.csv --december-predictions december_chart_inputs.csv, python scripts/diagnostics.py, python scripts/noise_regime_test.py, python tests/check_outputs.py. The --quick flag runs 1-seed CV into outputs_quick/ and is not the final-model metrics; the final fit and predictions always use 5 seeds.</w:t>
      </w:r>
    </w:p>
    <w:p>
      <w:pPr>
        <w:spacing w:after="110"/>
      </w:pPr>
      <w:r>
        <w:rPr>
          <w:rFonts w:ascii="Calibri" w:cs="Calibri" w:eastAsia="Calibri" w:hAnsi="Calibri"/>
          <w:b/>
          <w:bCs/>
          <w:sz w:val="21"/>
          <w:szCs w:val="21"/>
        </w:rPr>
        <w:t xml:space="preserve">Verification. </w:t>
      </w:r>
      <w:r>
        <w:rPr>
          <w:rFonts w:ascii="Calibri" w:cs="Calibri" w:eastAsia="Calibri" w:hAnsi="Calibri"/>
          <w:sz w:val="21"/>
          <w:szCs w:val="21"/>
        </w:rPr>
        <w:t xml:space="preserve">The complete pipeline and every script were run from scratch in a newly created virtualenv built from requirements.txt (Python 3.12, pandas 2.2.3, numpy 2.1.3, LightGBM 4.5.0). Validation predictions, the completed December file, all CV tables, ablations and diagnostics regenerated with a maximum difference of 0, and the scorer chart was pixel-identical. This was verified on one machine and software stack; other library builds could differ in the last decimals.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606fa072e387c9f93660c813c942099895947a5.png"/><Relationship Id="rId8" Type="http://schemas.openxmlformats.org/officeDocument/2006/relationships/image" Target="media/8315da765dba3208426da2ecff1148b7ecb3ac7a.png"/><Relationship Id="rId9" Type="http://schemas.openxmlformats.org/officeDocument/2006/relationships/image" Target="media/a432562f2f4b0912c01381156f161dd4a40e47c5.png"/><Relationship Id="rId10" Type="http://schemas.openxmlformats.org/officeDocument/2006/relationships/image" Target="media/9c3beb923aeb71c37c60bd073f025ca32f2075bc.png"/><Relationship Id="rId11" Type="http://schemas.openxmlformats.org/officeDocument/2006/relationships/image" Target="media/65ade40bb2e9a3ab7217d8a2cc3d20e235e98f10.png"/><Relationship Id="rId12" Type="http://schemas.openxmlformats.org/officeDocument/2006/relationships/image" Target="media/a2806144e86c75e6f1ad95867970c56d4a3ccb76.png"/><Relationship Id="rId13" Type="http://schemas.openxmlformats.org/officeDocument/2006/relationships/image" Target="media/db6a016065b2e8ed5ba805cbb062150b0476397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2026-10-11T14:05:43.138Z</dcterms:created>
  <dcterms:modified xsi:type="dcterms:W3CDTF">2026-10-11T14:05:43.139Z</dcterms:modified>
</cp:coreProperties>
</file>

<file path=docProps/custom.xml><?xml version="1.0" encoding="utf-8"?>
<Properties xmlns="http://schemas.openxmlformats.org/officeDocument/2006/custom-properties" xmlns:vt="http://schemas.openxmlformats.org/officeDocument/2006/docPropsVTypes"/>
</file>