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CFA1" w14:textId="4C4C462F" w:rsidR="007231DF" w:rsidRPr="007231DF" w:rsidRDefault="007231DF" w:rsidP="007231DF">
      <w:r w:rsidRPr="007231DF">
        <w:t>True</w:t>
      </w:r>
      <w:r w:rsidR="00C52D26">
        <w:t xml:space="preserve"> </w:t>
      </w:r>
      <w:r w:rsidRPr="007231DF">
        <w:t>Ledger's North America practice, based in Austin, Texas, delivers entity setup, accounting, tax compliance, CPA support, and business advisory across the US and Canada. --</w:t>
      </w:r>
    </w:p>
    <w:p w14:paraId="3D263652" w14:textId="77777777" w:rsidR="007231DF" w:rsidRPr="007231DF" w:rsidRDefault="007231DF" w:rsidP="007231DF">
      <w:pPr>
        <w:rPr>
          <w:b/>
          <w:bCs/>
        </w:rPr>
      </w:pPr>
      <w:r w:rsidRPr="007231DF">
        <w:rPr>
          <w:b/>
          <w:bCs/>
        </w:rPr>
        <w:t>TrueLedger North America</w:t>
      </w:r>
    </w:p>
    <w:p w14:paraId="7DFEB1AA" w14:textId="77777777" w:rsidR="007231DF" w:rsidRPr="007231DF" w:rsidRDefault="007231DF" w:rsidP="007231DF">
      <w:pPr>
        <w:rPr>
          <w:b/>
          <w:bCs/>
        </w:rPr>
      </w:pPr>
      <w:r w:rsidRPr="007231DF">
        <w:rPr>
          <w:b/>
          <w:bCs/>
        </w:rPr>
        <w:t>Cross-border by design. Local where it counts.</w:t>
      </w:r>
    </w:p>
    <w:p w14:paraId="2EF2CAB5" w14:textId="47688CD5" w:rsidR="007231DF" w:rsidRPr="007231DF" w:rsidRDefault="007231DF" w:rsidP="007231DF">
      <w:r w:rsidRPr="007231DF">
        <w:t>TrueLedger maintains a</w:t>
      </w:r>
      <w:r>
        <w:t xml:space="preserve"> </w:t>
      </w:r>
      <w:r w:rsidRPr="007231DF">
        <w:t xml:space="preserve">presence in </w:t>
      </w:r>
      <w:r w:rsidRPr="007231DF">
        <w:rPr>
          <w:b/>
          <w:bCs/>
        </w:rPr>
        <w:t>Austin, Texas</w:t>
      </w:r>
      <w:r w:rsidRPr="007231DF">
        <w:t xml:space="preserve">, giving US and Canada-based clients a team that </w:t>
      </w:r>
      <w:r>
        <w:t xml:space="preserve">knows in and out about their local </w:t>
      </w:r>
      <w:r w:rsidR="006560DB">
        <w:t xml:space="preserve">tax </w:t>
      </w:r>
      <w:r>
        <w:t xml:space="preserve">compliances, </w:t>
      </w:r>
      <w:r w:rsidR="006560DB">
        <w:t>regulations</w:t>
      </w:r>
      <w:r>
        <w:t xml:space="preserve"> and accounting procedures for both countries</w:t>
      </w:r>
      <w:r w:rsidRPr="007231DF">
        <w:t>.</w:t>
      </w:r>
    </w:p>
    <w:p w14:paraId="335756A6" w14:textId="6188792A" w:rsidR="007231DF" w:rsidRPr="007231DF" w:rsidRDefault="007231DF" w:rsidP="007231DF">
      <w:r w:rsidRPr="007231DF">
        <w:t xml:space="preserve">Whether your entity sits in Delaware, Texas, Ontario, or British Columbia, the people handling your filings understand the actual mechanics behind them: state franchise tax regimes, EIN and registered agent requirements, Business Number (BN) and CRA program account registrations, GST/HST obligations. </w:t>
      </w:r>
    </w:p>
    <w:p w14:paraId="38A3F06D" w14:textId="4B9D2376" w:rsidR="007231DF" w:rsidRPr="007231DF" w:rsidRDefault="007231DF" w:rsidP="007231DF"/>
    <w:p w14:paraId="044B6270" w14:textId="77777777" w:rsidR="007231DF" w:rsidRPr="007231DF" w:rsidRDefault="007231DF" w:rsidP="007231DF">
      <w:pPr>
        <w:rPr>
          <w:b/>
          <w:bCs/>
        </w:rPr>
      </w:pPr>
      <w:r w:rsidRPr="007231DF">
        <w:rPr>
          <w:b/>
          <w:bCs/>
        </w:rPr>
        <w:t>What We Do Across the US &amp; Canada</w:t>
      </w:r>
    </w:p>
    <w:p w14:paraId="5B0C182F" w14:textId="77777777" w:rsidR="007231DF" w:rsidRPr="007231DF" w:rsidRDefault="007231DF" w:rsidP="007231DF">
      <w:pPr>
        <w:rPr>
          <w:b/>
          <w:bCs/>
        </w:rPr>
      </w:pPr>
      <w:r w:rsidRPr="007231DF">
        <w:rPr>
          <w:b/>
          <w:bCs/>
        </w:rPr>
        <w:t>Entity Setup</w:t>
      </w:r>
    </w:p>
    <w:p w14:paraId="7A08B76F" w14:textId="77777777" w:rsidR="007231DF" w:rsidRPr="007231DF" w:rsidRDefault="007231DF" w:rsidP="007231DF">
      <w:pPr>
        <w:numPr>
          <w:ilvl w:val="0"/>
          <w:numId w:val="1"/>
        </w:numPr>
      </w:pPr>
      <w:r w:rsidRPr="007231DF">
        <w:rPr>
          <w:b/>
          <w:bCs/>
        </w:rPr>
        <w:t>US:</w:t>
      </w:r>
      <w:r w:rsidRPr="007231DF">
        <w:t xml:space="preserve"> LLC, C-corp, and S-corp formation across all 50 states; EIN issuance; registered agent services; state and franchise tax registrations; BOI reporting under the Corporate Transparency Act.</w:t>
      </w:r>
    </w:p>
    <w:p w14:paraId="3B7220E6" w14:textId="77777777" w:rsidR="007231DF" w:rsidRPr="007231DF" w:rsidRDefault="007231DF" w:rsidP="007231DF">
      <w:pPr>
        <w:numPr>
          <w:ilvl w:val="0"/>
          <w:numId w:val="1"/>
        </w:numPr>
      </w:pPr>
      <w:r w:rsidRPr="007231DF">
        <w:rPr>
          <w:b/>
          <w:bCs/>
        </w:rPr>
        <w:t>Canada:</w:t>
      </w:r>
      <w:r w:rsidRPr="007231DF">
        <w:t xml:space="preserve"> Federal incorporation through Corporations Canada or provincial incorporation; Business Number (BN) and CRA program account setup (GST/HST, payroll); extra-provincial registration for businesses operating across multiple provinces.</w:t>
      </w:r>
    </w:p>
    <w:p w14:paraId="2464EFE6" w14:textId="77777777" w:rsidR="007231DF" w:rsidRPr="007231DF" w:rsidRDefault="007231DF" w:rsidP="007231DF">
      <w:pPr>
        <w:rPr>
          <w:b/>
          <w:bCs/>
        </w:rPr>
      </w:pPr>
      <w:r w:rsidRPr="007231DF">
        <w:rPr>
          <w:b/>
          <w:bCs/>
        </w:rPr>
        <w:t>Managed Accounting &amp; Bookkeeping</w:t>
      </w:r>
    </w:p>
    <w:p w14:paraId="65E3E070" w14:textId="77777777" w:rsidR="007231DF" w:rsidRDefault="007231DF" w:rsidP="007231DF">
      <w:pPr>
        <w:pStyle w:val="ListParagraph"/>
        <w:numPr>
          <w:ilvl w:val="1"/>
          <w:numId w:val="1"/>
        </w:numPr>
      </w:pPr>
      <w:r w:rsidRPr="007231DF">
        <w:t xml:space="preserve">Multi-entity, multi-currency bookkeeping on QuickBooks Online, Xero, or your existing platform </w:t>
      </w:r>
    </w:p>
    <w:p w14:paraId="26D74F64" w14:textId="77777777" w:rsidR="007231DF" w:rsidRDefault="007231DF" w:rsidP="007231DF">
      <w:pPr>
        <w:pStyle w:val="ListParagraph"/>
        <w:numPr>
          <w:ilvl w:val="1"/>
          <w:numId w:val="1"/>
        </w:numPr>
      </w:pPr>
      <w:r w:rsidRPr="007231DF">
        <w:t xml:space="preserve">AP/AR management, </w:t>
      </w:r>
    </w:p>
    <w:p w14:paraId="781DED47" w14:textId="2DC9E786" w:rsidR="007231DF" w:rsidRDefault="007231DF" w:rsidP="007231DF">
      <w:pPr>
        <w:pStyle w:val="ListParagraph"/>
        <w:numPr>
          <w:ilvl w:val="1"/>
          <w:numId w:val="1"/>
        </w:numPr>
      </w:pPr>
      <w:r>
        <w:t>S</w:t>
      </w:r>
      <w:r w:rsidRPr="007231DF">
        <w:t xml:space="preserve">tructured month-end close, and payroll processing (Gusto, ADP, and Paychex in the US; Wagepoint and equivalents in Canada). </w:t>
      </w:r>
    </w:p>
    <w:p w14:paraId="4F5403F3" w14:textId="2D0D73BD" w:rsidR="007231DF" w:rsidRPr="007231DF" w:rsidRDefault="007231DF" w:rsidP="007231DF">
      <w:pPr>
        <w:pStyle w:val="ListParagraph"/>
        <w:numPr>
          <w:ilvl w:val="1"/>
          <w:numId w:val="1"/>
        </w:numPr>
      </w:pPr>
      <w:r w:rsidRPr="007231DF">
        <w:t>Industry-specific support for restaurants, SaaS, and real estate clients on both sides of the border.</w:t>
      </w:r>
    </w:p>
    <w:p w14:paraId="6528605C" w14:textId="77777777" w:rsidR="007231DF" w:rsidRPr="007231DF" w:rsidRDefault="007231DF" w:rsidP="007231DF">
      <w:pPr>
        <w:rPr>
          <w:b/>
          <w:bCs/>
        </w:rPr>
      </w:pPr>
      <w:r w:rsidRPr="007231DF">
        <w:rPr>
          <w:b/>
          <w:bCs/>
        </w:rPr>
        <w:t>Tax Compliance &amp; Advisory</w:t>
      </w:r>
    </w:p>
    <w:p w14:paraId="59059684" w14:textId="77777777" w:rsidR="007231DF" w:rsidRPr="007231DF" w:rsidRDefault="007231DF" w:rsidP="007231DF">
      <w:pPr>
        <w:numPr>
          <w:ilvl w:val="0"/>
          <w:numId w:val="2"/>
        </w:numPr>
      </w:pPr>
      <w:r w:rsidRPr="007231DF">
        <w:rPr>
          <w:b/>
          <w:bCs/>
        </w:rPr>
        <w:t>US:</w:t>
      </w:r>
      <w:r w:rsidRPr="007231DF">
        <w:t xml:space="preserve"> 1040/1040-NR individual returns, 1065/1120/1120-S business returns, FBAR and FATCA disclosures, multi-state income apportionment, R&amp;D credits, and sales tax nexus monitoring.</w:t>
      </w:r>
    </w:p>
    <w:p w14:paraId="466C31C6" w14:textId="77777777" w:rsidR="007231DF" w:rsidRPr="007231DF" w:rsidRDefault="007231DF" w:rsidP="007231DF">
      <w:pPr>
        <w:numPr>
          <w:ilvl w:val="0"/>
          <w:numId w:val="2"/>
        </w:numPr>
      </w:pPr>
      <w:r w:rsidRPr="007231DF">
        <w:rPr>
          <w:b/>
          <w:bCs/>
        </w:rPr>
        <w:lastRenderedPageBreak/>
        <w:t>Canada:</w:t>
      </w:r>
      <w:r w:rsidRPr="007231DF">
        <w:t xml:space="preserve"> T1 individual and T2 corporate returns, GST/HST filings, payroll remittances (CPP/EI), and the cross-border treaty positions that matter when income or retirement assets (RRSP, 401(k)) span both countries.</w:t>
      </w:r>
    </w:p>
    <w:p w14:paraId="3FBE6161" w14:textId="77777777" w:rsidR="007231DF" w:rsidRPr="007231DF" w:rsidRDefault="007231DF" w:rsidP="007231DF">
      <w:pPr>
        <w:rPr>
          <w:b/>
          <w:bCs/>
        </w:rPr>
      </w:pPr>
      <w:r w:rsidRPr="007231DF">
        <w:rPr>
          <w:b/>
          <w:bCs/>
        </w:rPr>
        <w:t>Support to CPAs &amp; Accounting Firms</w:t>
      </w:r>
    </w:p>
    <w:p w14:paraId="05AAA806" w14:textId="727E398A" w:rsidR="007231DF" w:rsidRPr="007231DF" w:rsidRDefault="007231DF" w:rsidP="007231DF">
      <w:r w:rsidRPr="007231DF">
        <w:t xml:space="preserve">White-label bookkeeping, tax preparation (Drake, Lacerte, </w:t>
      </w:r>
      <w:r>
        <w:t>CCH Tax</w:t>
      </w:r>
      <w:r w:rsidRPr="007231DF">
        <w:t>), and payroll support for US CPA firms and Canadian CPA practices — scaled around your peak season and built to match your existing review process, not replace it.</w:t>
      </w:r>
    </w:p>
    <w:p w14:paraId="7EFCA33A" w14:textId="77777777" w:rsidR="007231DF" w:rsidRPr="007231DF" w:rsidRDefault="007231DF" w:rsidP="007231DF">
      <w:pPr>
        <w:rPr>
          <w:b/>
          <w:bCs/>
        </w:rPr>
      </w:pPr>
      <w:r w:rsidRPr="007231DF">
        <w:rPr>
          <w:b/>
          <w:bCs/>
        </w:rPr>
        <w:t>Business Advisory</w:t>
      </w:r>
    </w:p>
    <w:p w14:paraId="3D0ED8FD" w14:textId="77777777" w:rsidR="007231DF" w:rsidRPr="007231DF" w:rsidRDefault="007231DF" w:rsidP="007231DF">
      <w:r w:rsidRPr="007231DF">
        <w:t>Fractional CFO support, fundraise and investor due diligence prep, governance and internal control frameworks for IPO-track companies, and accounting automation — for businesses operating in the US, Canada, or both at once.</w:t>
      </w:r>
    </w:p>
    <w:p w14:paraId="7DA7318E" w14:textId="77777777" w:rsidR="007231DF" w:rsidRPr="007231DF" w:rsidRDefault="00000000" w:rsidP="007231DF">
      <w:r>
        <w:pict w14:anchorId="11CC6F3D">
          <v:rect id="_x0000_i1025" style="width:0;height:1.5pt" o:hralign="center" o:hrstd="t" o:hr="t" fillcolor="#a0a0a0" stroked="f"/>
        </w:pict>
      </w:r>
    </w:p>
    <w:p w14:paraId="12251803" w14:textId="77777777" w:rsidR="007231DF" w:rsidRPr="007231DF" w:rsidRDefault="007231DF" w:rsidP="007231DF">
      <w:pPr>
        <w:rPr>
          <w:b/>
          <w:bCs/>
        </w:rPr>
      </w:pPr>
      <w:r w:rsidRPr="007231DF">
        <w:rPr>
          <w:b/>
          <w:bCs/>
        </w:rPr>
        <w:t>Led by Manish Aggarwal, Partner, TrueLedger</w:t>
      </w:r>
    </w:p>
    <w:p w14:paraId="3416F5A5" w14:textId="13428171" w:rsidR="007231DF" w:rsidRPr="007231DF" w:rsidRDefault="007231DF" w:rsidP="007231DF">
      <w:r w:rsidRPr="007231DF">
        <w:t xml:space="preserve">Manish leads TrueLedger's North America practice with </w:t>
      </w:r>
      <w:r w:rsidRPr="007231DF">
        <w:rPr>
          <w:b/>
          <w:bCs/>
        </w:rPr>
        <w:t>15 years of international taxation experience</w:t>
      </w:r>
      <w:r w:rsidRPr="007231DF">
        <w:t xml:space="preserve"> and deep exposure to the US market. His background spans cross-border tax structuring and individual and business compliance, shaped by years of working US filings directly rather than supervising them from elsewhere. Manish is the senior point of contact for clients and CPA/CA firm partners across the North America practice.</w:t>
      </w:r>
    </w:p>
    <w:p w14:paraId="6FDA8A83" w14:textId="77777777" w:rsidR="007231DF" w:rsidRPr="007231DF" w:rsidRDefault="00000000" w:rsidP="007231DF">
      <w:r>
        <w:pict w14:anchorId="6AD42217">
          <v:rect id="_x0000_i1026" style="width:0;height:1.5pt" o:hralign="center" o:hrstd="t" o:hr="t" fillcolor="#a0a0a0" stroked="f"/>
        </w:pict>
      </w:r>
    </w:p>
    <w:p w14:paraId="2E00C00C" w14:textId="77777777" w:rsidR="007231DF" w:rsidRPr="007231DF" w:rsidRDefault="007231DF" w:rsidP="007231DF">
      <w:pPr>
        <w:rPr>
          <w:b/>
          <w:bCs/>
        </w:rPr>
      </w:pPr>
      <w:r w:rsidRPr="007231DF">
        <w:rPr>
          <w:b/>
          <w:bCs/>
        </w:rPr>
        <w:t>Talk to Our North America Team</w:t>
      </w:r>
    </w:p>
    <w:p w14:paraId="6DD45AF5" w14:textId="11AE3AB8" w:rsidR="007231DF" w:rsidRPr="007231DF" w:rsidRDefault="007231DF" w:rsidP="007231DF">
      <w:r w:rsidRPr="007231DF">
        <w:t>Whether you're setting up your first US entity, need a compliance partner who understands the cross-border picture, or your CPA firm needs overflow capacity this season — start with a scoping call.</w:t>
      </w:r>
    </w:p>
    <w:p w14:paraId="06B2579A" w14:textId="77777777" w:rsidR="007231DF" w:rsidRDefault="007231DF" w:rsidP="007231DF">
      <w:pPr>
        <w:rPr>
          <w:b/>
          <w:bCs/>
        </w:rPr>
      </w:pPr>
      <w:r w:rsidRPr="007231DF">
        <w:rPr>
          <w:b/>
          <w:bCs/>
        </w:rPr>
        <w:t>[Book a Call] [Get in Touch]</w:t>
      </w:r>
    </w:p>
    <w:p w14:paraId="08C96FE1" w14:textId="77777777" w:rsidR="00A25E8D" w:rsidRDefault="00A25E8D" w:rsidP="007231DF">
      <w:pPr>
        <w:rPr>
          <w:b/>
          <w:bCs/>
        </w:rPr>
      </w:pPr>
    </w:p>
    <w:p w14:paraId="4F507A3C" w14:textId="1A245541" w:rsidR="00A25E8D" w:rsidRDefault="00A25E8D" w:rsidP="007231DF">
      <w:pPr>
        <w:rPr>
          <w:b/>
          <w:bCs/>
        </w:rPr>
      </w:pPr>
      <w:r>
        <w:rPr>
          <w:b/>
          <w:bCs/>
        </w:rPr>
        <w:t>Our Office:</w:t>
      </w:r>
    </w:p>
    <w:p w14:paraId="0F7AFD89" w14:textId="0E002FF3" w:rsidR="00A25E8D" w:rsidRDefault="00A25E8D" w:rsidP="007231DF">
      <w:pPr>
        <w:rPr>
          <w:b/>
          <w:bCs/>
        </w:rPr>
      </w:pPr>
      <w:r>
        <w:rPr>
          <w:b/>
          <w:bCs/>
        </w:rPr>
        <w:t>5900, Balcones Drive, Ste-100, Austin, Texas, 78731</w:t>
      </w:r>
    </w:p>
    <w:p w14:paraId="6ABDC85B" w14:textId="71E104B3" w:rsidR="00CB2FC3" w:rsidRDefault="00A25E8D">
      <w:r>
        <w:t xml:space="preserve">Contact- </w:t>
      </w:r>
      <w:hyperlink r:id="rId8" w:history="1">
        <w:r w:rsidRPr="001A77E4">
          <w:rPr>
            <w:rStyle w:val="Hyperlink"/>
          </w:rPr>
          <w:t>usdesk@trueledgerconsulting.com</w:t>
        </w:r>
      </w:hyperlink>
    </w:p>
    <w:p w14:paraId="14F5FDED" w14:textId="77777777" w:rsidR="00A25E8D" w:rsidRDefault="00A25E8D"/>
    <w:sectPr w:rsidR="00A25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235"/>
    <w:multiLevelType w:val="multilevel"/>
    <w:tmpl w:val="C16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65283"/>
    <w:multiLevelType w:val="multilevel"/>
    <w:tmpl w:val="1F16DD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516308">
    <w:abstractNumId w:val="1"/>
  </w:num>
  <w:num w:numId="2" w16cid:durableId="43320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DF"/>
    <w:rsid w:val="0022372F"/>
    <w:rsid w:val="004F2907"/>
    <w:rsid w:val="006560DB"/>
    <w:rsid w:val="006B5747"/>
    <w:rsid w:val="007231DF"/>
    <w:rsid w:val="00974584"/>
    <w:rsid w:val="00A25E8D"/>
    <w:rsid w:val="00C52D26"/>
    <w:rsid w:val="00CB2FC3"/>
    <w:rsid w:val="00F12060"/>
    <w:rsid w:val="00F34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C08A"/>
  <w15:chartTrackingRefBased/>
  <w15:docId w15:val="{28832240-9E59-4DEE-A2E8-77F52D1F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DF"/>
    <w:rPr>
      <w:rFonts w:eastAsiaTheme="majorEastAsia" w:cstheme="majorBidi"/>
      <w:color w:val="272727" w:themeColor="text1" w:themeTint="D8"/>
    </w:rPr>
  </w:style>
  <w:style w:type="paragraph" w:styleId="Title">
    <w:name w:val="Title"/>
    <w:basedOn w:val="Normal"/>
    <w:next w:val="Normal"/>
    <w:link w:val="TitleChar"/>
    <w:uiPriority w:val="10"/>
    <w:qFormat/>
    <w:rsid w:val="00723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DF"/>
    <w:pPr>
      <w:spacing w:before="160"/>
      <w:jc w:val="center"/>
    </w:pPr>
    <w:rPr>
      <w:i/>
      <w:iCs/>
      <w:color w:val="404040" w:themeColor="text1" w:themeTint="BF"/>
    </w:rPr>
  </w:style>
  <w:style w:type="character" w:customStyle="1" w:styleId="QuoteChar">
    <w:name w:val="Quote Char"/>
    <w:basedOn w:val="DefaultParagraphFont"/>
    <w:link w:val="Quote"/>
    <w:uiPriority w:val="29"/>
    <w:rsid w:val="007231DF"/>
    <w:rPr>
      <w:i/>
      <w:iCs/>
      <w:color w:val="404040" w:themeColor="text1" w:themeTint="BF"/>
    </w:rPr>
  </w:style>
  <w:style w:type="paragraph" w:styleId="ListParagraph">
    <w:name w:val="List Paragraph"/>
    <w:basedOn w:val="Normal"/>
    <w:uiPriority w:val="34"/>
    <w:qFormat/>
    <w:rsid w:val="007231DF"/>
    <w:pPr>
      <w:ind w:left="720"/>
      <w:contextualSpacing/>
    </w:pPr>
  </w:style>
  <w:style w:type="character" w:styleId="IntenseEmphasis">
    <w:name w:val="Intense Emphasis"/>
    <w:basedOn w:val="DefaultParagraphFont"/>
    <w:uiPriority w:val="21"/>
    <w:qFormat/>
    <w:rsid w:val="007231DF"/>
    <w:rPr>
      <w:i/>
      <w:iCs/>
      <w:color w:val="2F5496" w:themeColor="accent1" w:themeShade="BF"/>
    </w:rPr>
  </w:style>
  <w:style w:type="paragraph" w:styleId="IntenseQuote">
    <w:name w:val="Intense Quote"/>
    <w:basedOn w:val="Normal"/>
    <w:next w:val="Normal"/>
    <w:link w:val="IntenseQuoteChar"/>
    <w:uiPriority w:val="30"/>
    <w:qFormat/>
    <w:rsid w:val="00723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1DF"/>
    <w:rPr>
      <w:i/>
      <w:iCs/>
      <w:color w:val="2F5496" w:themeColor="accent1" w:themeShade="BF"/>
    </w:rPr>
  </w:style>
  <w:style w:type="character" w:styleId="IntenseReference">
    <w:name w:val="Intense Reference"/>
    <w:basedOn w:val="DefaultParagraphFont"/>
    <w:uiPriority w:val="32"/>
    <w:qFormat/>
    <w:rsid w:val="007231DF"/>
    <w:rPr>
      <w:b/>
      <w:bCs/>
      <w:smallCaps/>
      <w:color w:val="2F5496" w:themeColor="accent1" w:themeShade="BF"/>
      <w:spacing w:val="5"/>
    </w:rPr>
  </w:style>
  <w:style w:type="character" w:styleId="Hyperlink">
    <w:name w:val="Hyperlink"/>
    <w:basedOn w:val="DefaultParagraphFont"/>
    <w:uiPriority w:val="99"/>
    <w:unhideWhenUsed/>
    <w:rsid w:val="00A25E8D"/>
    <w:rPr>
      <w:color w:val="0563C1" w:themeColor="hyperlink"/>
      <w:u w:val="single"/>
    </w:rPr>
  </w:style>
  <w:style w:type="character" w:styleId="UnresolvedMention">
    <w:name w:val="Unresolved Mention"/>
    <w:basedOn w:val="DefaultParagraphFont"/>
    <w:uiPriority w:val="99"/>
    <w:semiHidden/>
    <w:unhideWhenUsed/>
    <w:rsid w:val="00A25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desk@trueledgerconsulting.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8CCE77-828B-427B-8A5F-ADC9AA76487D}">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customXml/itemProps2.xml><?xml version="1.0" encoding="utf-8"?>
<ds:datastoreItem xmlns:ds="http://schemas.openxmlformats.org/officeDocument/2006/customXml" ds:itemID="{82AEA36D-C83C-4163-A817-4E13402C28D1}">
  <ds:schemaRefs>
    <ds:schemaRef ds:uri="http://schemas.microsoft.com/sharepoint/v3/contenttype/forms"/>
  </ds:schemaRefs>
</ds:datastoreItem>
</file>

<file path=customXml/itemProps3.xml><?xml version="1.0" encoding="utf-8"?>
<ds:datastoreItem xmlns:ds="http://schemas.openxmlformats.org/officeDocument/2006/customXml" ds:itemID="{35D69361-B2B8-46B1-972C-3A950327D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490</Words>
  <Characters>2945</Characters>
  <Application>Microsoft Office Word</Application>
  <DocSecurity>0</DocSecurity>
  <Lines>64</Lines>
  <Paragraphs>34</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6</cp:revision>
  <dcterms:created xsi:type="dcterms:W3CDTF">2026-06-21T17:08:00Z</dcterms:created>
  <dcterms:modified xsi:type="dcterms:W3CDTF">2026-06-23T05:47:00Z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