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200" w:before="0"/>
        <w:jc w:val="center"/>
      </w:pPr>
      <w:r>
        <w:rPr>
          <w:rFonts w:ascii="Arial" w:cs="Arial" w:eastAsia="Arial" w:hAnsi="Arial"/>
          <w:b/>
          <w:bCs/>
          <w:color w:val="0F2D52"/>
          <w:sz w:val="56"/>
          <w:szCs w:val="56"/>
        </w:rPr>
        <w:t xml:space="preserve">TRUELEDGER CONSULTING</w:t>
      </w:r>
    </w:p>
    <w:p>
      <w:pPr>
        <w:spacing w:after="400" w:before="0"/>
        <w:jc w:val="center"/>
      </w:pPr>
      <w:r>
        <w:rPr>
          <w:rFonts w:ascii="Arial" w:cs="Arial" w:eastAsia="Arial" w:hAnsi="Arial"/>
          <w:color w:val="00796B"/>
          <w:sz w:val="32"/>
          <w:szCs w:val="32"/>
        </w:rPr>
        <w:t xml:space="preserve">Sector Landing Pages — Content Layout</w:t>
      </w:r>
    </w:p>
    <w:p>
      <w:pPr>
        <w:pBdr>
          <w:bottom w:val="single" w:color="00796B" w:sz="8" w:space="1"/>
        </w:pBdr>
        <w:spacing w:after="400" w:before="100"/>
      </w:pPr>
    </w:p>
    <w:p>
      <w:pPr>
        <w:spacing w:after="160" w:before="0"/>
        <w:jc w:val="center"/>
      </w:pPr>
      <w:r>
        <w:rPr>
          <w:rFonts w:ascii="Arial" w:cs="Arial" w:eastAsia="Arial" w:hAnsi="Arial"/>
          <w:b/>
          <w:bCs/>
          <w:color w:val="555555"/>
          <w:spacing w:val="80"/>
          <w:sz w:val="22"/>
          <w:szCs w:val="22"/>
        </w:rPr>
        <w:t xml:space="preserve">FOUR SECTORS COVERED IN THIS DOCUMENT</w:t>
      </w:r>
    </w:p>
    <w:p>
      <w:pPr>
        <w:spacing w:after="0" w:before="120"/>
        <w:jc w:val="center"/>
      </w:pPr>
      <w:r>
        <w:rPr>
          <w:rFonts w:ascii="Arial" w:cs="Arial" w:eastAsia="Arial" w:hAnsi="Arial"/>
          <w:b/>
          <w:bCs/>
          <w:color w:val="0F2D52"/>
          <w:sz w:val="26"/>
          <w:szCs w:val="26"/>
        </w:rPr>
        <w:t xml:space="preserve">1.  AI, SaaS &amp; High-Growth Startups</w:t>
      </w:r>
    </w:p>
    <w:p>
      <w:pPr>
        <w:spacing w:after="0" w:before="120"/>
        <w:jc w:val="center"/>
      </w:pPr>
      <w:r>
        <w:rPr>
          <w:rFonts w:ascii="Arial" w:cs="Arial" w:eastAsia="Arial" w:hAnsi="Arial"/>
          <w:b/>
          <w:bCs/>
          <w:color w:val="0F2D52"/>
          <w:sz w:val="26"/>
          <w:szCs w:val="26"/>
        </w:rPr>
        <w:t xml:space="preserve">2.  Hospitality &amp; Restaurant Businesses</w:t>
      </w:r>
    </w:p>
    <w:p>
      <w:pPr>
        <w:spacing w:after="0" w:before="120"/>
        <w:jc w:val="center"/>
      </w:pPr>
      <w:r>
        <w:rPr>
          <w:rFonts w:ascii="Arial" w:cs="Arial" w:eastAsia="Arial" w:hAnsi="Arial"/>
          <w:b/>
          <w:bCs/>
          <w:color w:val="0F2D52"/>
          <w:sz w:val="26"/>
          <w:szCs w:val="26"/>
        </w:rPr>
        <w:t xml:space="preserve">3.  Small &amp; Mid-Size Businesses</w:t>
      </w:r>
    </w:p>
    <w:p>
      <w:pPr>
        <w:spacing w:after="0" w:before="120"/>
        <w:jc w:val="center"/>
      </w:pPr>
      <w:r>
        <w:rPr>
          <w:rFonts w:ascii="Arial" w:cs="Arial" w:eastAsia="Arial" w:hAnsi="Arial"/>
          <w:b/>
          <w:bCs/>
          <w:color w:val="0F2D52"/>
          <w:sz w:val="26"/>
          <w:szCs w:val="26"/>
        </w:rPr>
        <w:t xml:space="preserve">4.  E-Commerce &amp; Retail Businesses</w:t>
      </w:r>
    </w:p>
    <w:p>
      <w:pPr>
        <w:spacing w:after="0" w:before="600"/>
      </w:pPr>
    </w:p>
    <w:p>
      <w:pPr>
        <w:spacing w:after="80" w:before="0"/>
        <w:jc w:val="center"/>
      </w:pPr>
      <w:r>
        <w:rPr>
          <w:rFonts w:ascii="Arial" w:cs="Arial" w:eastAsia="Arial" w:hAnsi="Arial"/>
          <w:color w:val="555555"/>
          <w:sz w:val="20"/>
          <w:szCs w:val="20"/>
        </w:rPr>
        <w:t xml:space="preserve">Each section contains: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Key sectoral challenges (accounting, tax, compliance)</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Sector-contextualised services list</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Real client engagement case studies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Client testimonial block</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Imagery suggestions</w:t>
      </w:r>
    </w:p>
    <w:p>
      <w:pPr>
        <w:spacing w:after="0" w:before="60"/>
        <w:jc w:val="center"/>
      </w:pPr>
      <w:r>
        <w:rPr>
          <w:rFonts w:ascii="Arial" w:cs="Arial" w:eastAsia="Arial" w:hAnsi="Arial"/>
          <w:color w:val="00796B"/>
          <w:sz w:val="20"/>
          <w:szCs w:val="20"/>
        </w:rPr>
        <w:t xml:space="preserve">•  </w:t>
      </w:r>
      <w:r>
        <w:rPr>
          <w:rFonts w:ascii="Arial" w:cs="Arial" w:eastAsia="Arial" w:hAnsi="Arial"/>
          <w:color w:val="555555"/>
          <w:sz w:val="20"/>
          <w:szCs w:val="20"/>
        </w:rPr>
        <w:t xml:space="preserve">Call to Action</w:t>
      </w:r>
    </w:p>
    <w:p>
      <w:pPr>
        <w:spacing w:after="0" w:before="800"/>
      </w:pPr>
    </w:p>
    <w:p>
      <w:pPr>
        <w:spacing w:after="0" w:before="0"/>
        <w:jc w:val="center"/>
      </w:pPr>
      <w:r>
        <w:rPr>
          <w:rFonts w:ascii="Arial" w:cs="Arial" w:eastAsia="Arial" w:hAnsi="Arial"/>
          <w:color w:val="CCCCCC"/>
          <w:sz w:val="18"/>
          <w:szCs w:val="18"/>
        </w:rPr>
        <w:t xml:space="preserve">trueledger.com  |  Prepared June 2026</w:t>
      </w:r>
    </w:p>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AI, SaaS &amp; High-Growth Startups</w:t>
      </w:r>
    </w:p>
    <w:p>
      <w:pPr>
        <w:spacing w:after="120" w:before="80"/>
      </w:pPr>
      <w:r>
        <w:rPr>
          <w:rFonts w:ascii="Arial" w:cs="Arial" w:eastAsia="Arial" w:hAnsi="Arial"/>
          <w:color w:val="555555"/>
          <w:sz w:val="22"/>
          <w:szCs w:val="22"/>
        </w:rPr>
        <w:t xml:space="preserve">You are building at speed. Your equity structure, international team, and product revenue model create tax and compliance complexity most traditional accountants are not equipped to handle. TrueLedger is.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Hero — AI/SaaS Startup</w:t>
            </w:r>
          </w:p>
          <w:p>
            <w:pPr>
              <w:spacing w:after="0" w:before="0"/>
              <w:jc w:val="center"/>
            </w:pPr>
            <w:r>
              <w:rPr>
                <w:rFonts w:ascii="Arial" w:cs="Arial" w:eastAsia="Arial" w:hAnsi="Arial"/>
                <w:i/>
                <w:iCs/>
                <w:color w:val="555555"/>
                <w:sz w:val="20"/>
                <w:szCs w:val="20"/>
              </w:rPr>
              <w:t xml:space="preserve">Suggested: Abstract tech imagery: a clean workspace with dual screens showing code/dashboards, or a founder presenting to investors in a modern glass office. Cool blue tones. Avoid clichéd lightbulb or robot imagery.</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Founders Face</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Entity Structure for Fundraising</w:t>
      </w:r>
    </w:p>
    <w:p>
      <w:pPr>
        <w:spacing w:after="120" w:before="80"/>
      </w:pPr>
      <w:r>
        <w:rPr>
          <w:rFonts w:ascii="Arial" w:cs="Arial" w:eastAsia="Arial" w:hAnsi="Arial"/>
          <w:color w:val="555555"/>
          <w:sz w:val="22"/>
          <w:szCs w:val="22"/>
        </w:rPr>
        <w:t xml:space="preserve">Choosing the right holding and operating entity structure — Delaware C-Corp, Singapore HoldCo, or a hybrid — before your Series A has significant downstream consequences on investor eligibility, QSBS treatment, and cross-border IP ownership.</w:t>
      </w:r>
    </w:p>
    <w:p>
      <w:pPr>
        <w:spacing w:after="80" w:before="240"/>
      </w:pPr>
      <w:r>
        <w:rPr>
          <w:rFonts w:ascii="Arial" w:cs="Arial" w:eastAsia="Arial" w:hAnsi="Arial"/>
          <w:b/>
          <w:bCs/>
          <w:color w:val="00796B"/>
          <w:sz w:val="24"/>
          <w:szCs w:val="24"/>
        </w:rPr>
        <w:t xml:space="preserve">Revenue Recognition Under ASC 606 / IFRS 15</w:t>
      </w:r>
    </w:p>
    <w:p>
      <w:pPr>
        <w:spacing w:after="120" w:before="80"/>
      </w:pPr>
      <w:r>
        <w:rPr>
          <w:rFonts w:ascii="Arial" w:cs="Arial" w:eastAsia="Arial" w:hAnsi="Arial"/>
          <w:color w:val="555555"/>
          <w:sz w:val="22"/>
          <w:szCs w:val="22"/>
        </w:rPr>
        <w:t xml:space="preserve">Subscription revenue, usage-based pricing, and professional services bundling all require careful deferred revenue treatment. Misclassification is a red flag during due diligence and a material issue at IPO.</w:t>
      </w:r>
    </w:p>
    <w:p>
      <w:pPr>
        <w:spacing w:after="80" w:before="240"/>
      </w:pPr>
      <w:r>
        <w:rPr>
          <w:rFonts w:ascii="Arial" w:cs="Arial" w:eastAsia="Arial" w:hAnsi="Arial"/>
          <w:b/>
          <w:bCs/>
          <w:color w:val="00796B"/>
          <w:sz w:val="24"/>
          <w:szCs w:val="24"/>
        </w:rPr>
        <w:t xml:space="preserve">R&amp;D Tax Credits Across Jurisdictions</w:t>
      </w:r>
    </w:p>
    <w:p>
      <w:pPr>
        <w:spacing w:after="120" w:before="80"/>
      </w:pPr>
      <w:r>
        <w:rPr>
          <w:rFonts w:ascii="Arial" w:cs="Arial" w:eastAsia="Arial" w:hAnsi="Arial"/>
          <w:color w:val="555555"/>
          <w:sz w:val="22"/>
          <w:szCs w:val="22"/>
        </w:rPr>
        <w:t xml:space="preserve">Whether you qualify for the US Section 41 R&amp;D credit, the UK's RDEC scheme, or India's weighted deduction under Section 35(2AB) depends on where your engineers sit, what they are building, and how costs are allocated across entities.</w:t>
      </w:r>
    </w:p>
    <w:p>
      <w:pPr>
        <w:spacing w:after="80" w:before="240"/>
      </w:pPr>
      <w:r>
        <w:rPr>
          <w:rFonts w:ascii="Arial" w:cs="Arial" w:eastAsia="Arial" w:hAnsi="Arial"/>
          <w:b/>
          <w:bCs/>
          <w:color w:val="00796B"/>
          <w:sz w:val="24"/>
          <w:szCs w:val="24"/>
        </w:rPr>
        <w:t xml:space="preserve">Transfer Pricing on IP and Shared Services</w:t>
      </w:r>
    </w:p>
    <w:p>
      <w:pPr>
        <w:spacing w:after="120" w:before="80"/>
      </w:pPr>
      <w:r>
        <w:rPr>
          <w:rFonts w:ascii="Arial" w:cs="Arial" w:eastAsia="Arial" w:hAnsi="Arial"/>
          <w:color w:val="555555"/>
          <w:sz w:val="22"/>
          <w:szCs w:val="22"/>
        </w:rPr>
        <w:t xml:space="preserve">If your product is built in one country and licensed to customers globally through another entity, transfer pricing documentation is not optional. Getting this wrong at the startup stage creates costly restructuring later.</w:t>
      </w:r>
    </w:p>
    <w:p>
      <w:pPr>
        <w:spacing w:after="80" w:before="240"/>
      </w:pPr>
      <w:r>
        <w:rPr>
          <w:rFonts w:ascii="Arial" w:cs="Arial" w:eastAsia="Arial" w:hAnsi="Arial"/>
          <w:b/>
          <w:bCs/>
          <w:color w:val="00796B"/>
          <w:sz w:val="24"/>
          <w:szCs w:val="24"/>
        </w:rPr>
        <w:t xml:space="preserve">ESOP / Stock Option Tax Complexities</w:t>
      </w:r>
    </w:p>
    <w:p>
      <w:pPr>
        <w:spacing w:after="120" w:before="80"/>
      </w:pPr>
      <w:r>
        <w:rPr>
          <w:rFonts w:ascii="Arial" w:cs="Arial" w:eastAsia="Arial" w:hAnsi="Arial"/>
          <w:color w:val="555555"/>
          <w:sz w:val="22"/>
          <w:szCs w:val="22"/>
        </w:rPr>
        <w:t xml:space="preserve">US ISOs vs NQSOs, Indian ESOP taxation at exercise vs vesting, Singapore ESOP exemptions — each regime has different tax trigger points. Your employees in Mumbai, Austin, and Singapore face different obligations from the same grant.</w:t>
      </w:r>
    </w:p>
    <w:p>
      <w:pPr>
        <w:spacing w:after="80" w:before="240"/>
      </w:pPr>
      <w:r>
        <w:rPr>
          <w:rFonts w:ascii="Arial" w:cs="Arial" w:eastAsia="Arial" w:hAnsi="Arial"/>
          <w:b/>
          <w:bCs/>
          <w:color w:val="00796B"/>
          <w:sz w:val="24"/>
          <w:szCs w:val="24"/>
        </w:rPr>
        <w:t xml:space="preserve">Managing Burn Rate Accounting Integrity</w:t>
      </w:r>
    </w:p>
    <w:p>
      <w:pPr>
        <w:spacing w:after="120" w:before="80"/>
      </w:pPr>
      <w:r>
        <w:rPr>
          <w:rFonts w:ascii="Arial" w:cs="Arial" w:eastAsia="Arial" w:hAnsi="Arial"/>
          <w:color w:val="555555"/>
          <w:sz w:val="22"/>
          <w:szCs w:val="22"/>
        </w:rPr>
        <w:t xml:space="preserve">Board reporting requires clean, consistent management accounts. Investors need GAAP-quality financials with consistent treatment of deferred revenue, capitalised development costs, and accurate headcount cost allocation.</w:t>
      </w:r>
    </w:p>
    <w:p>
      <w:pPr>
        <w:spacing w:after="0" w:before="200"/>
      </w:pPr>
    </w:p>
    <w:p>
      <w:pPr>
        <w:spacing w:after="120" w:before="360"/>
      </w:pPr>
      <w:r>
        <w:rPr>
          <w:rFonts w:ascii="Arial" w:cs="Arial" w:eastAsia="Arial" w:hAnsi="Arial"/>
          <w:b/>
          <w:bCs/>
          <w:color w:val="0F2D52"/>
          <w:sz w:val="32"/>
          <w:szCs w:val="32"/>
        </w:rPr>
        <w:t xml:space="preserve">What We Do for AI &amp; SaaS Companies</w:t>
      </w:r>
    </w:p>
    <w:p>
      <w:pPr>
        <w:pBdr>
          <w:bottom w:val="single" w:color="00796B" w:sz="8" w:space="1"/>
        </w:pBdr>
        <w:spacing w:after="200" w:before="100"/>
      </w:pPr>
    </w:p>
    <w:p>
      <w:pPr>
        <w:pStyle w:val="ListParagraph"/>
        <w:numPr>
          <w:ilvl w:val="0"/>
          <w:numId w:val="2"/>
        </w:numPr>
        <w:spacing w:after="40" w:before="120"/>
      </w:pPr>
      <w:r>
        <w:rPr>
          <w:rFonts w:ascii="Arial" w:cs="Arial" w:eastAsia="Arial" w:hAnsi="Arial"/>
          <w:b/>
          <w:bCs/>
          <w:color w:val="0F2D52"/>
          <w:sz w:val="22"/>
          <w:szCs w:val="22"/>
        </w:rPr>
        <w:t xml:space="preserve">Entity Setup Across Jurisdictions</w:t>
      </w:r>
    </w:p>
    <w:p>
      <w:pPr>
        <w:spacing w:after="60" w:before="0"/>
        <w:ind w:left="720"/>
      </w:pPr>
      <w:r>
        <w:rPr>
          <w:rFonts w:ascii="Arial" w:cs="Arial" w:eastAsia="Arial" w:hAnsi="Arial"/>
          <w:i/>
          <w:iCs/>
          <w:color w:val="555555"/>
          <w:sz w:val="21"/>
          <w:szCs w:val="21"/>
        </w:rPr>
        <w:t xml:space="preserve">We structure your US C-Corp, Singapore HoldCo, or India subsidiary from scratch — with IP ownership, intercompany flows, and investor eligibility built into the design, not retrofitted after your first term sheet.</w:t>
      </w:r>
    </w:p>
    <w:p>
      <w:pPr>
        <w:pStyle w:val="ListParagraph"/>
        <w:numPr>
          <w:ilvl w:val="0"/>
          <w:numId w:val="2"/>
        </w:numPr>
        <w:spacing w:after="40" w:before="120"/>
      </w:pPr>
      <w:r>
        <w:rPr>
          <w:rFonts w:ascii="Arial" w:cs="Arial" w:eastAsia="Arial" w:hAnsi="Arial"/>
          <w:b/>
          <w:bCs/>
          <w:color w:val="0F2D52"/>
          <w:sz w:val="22"/>
          <w:szCs w:val="22"/>
        </w:rPr>
        <w:t xml:space="preserve">Revenue Recognition Policy &amp; Documentation</w:t>
      </w:r>
    </w:p>
    <w:p>
      <w:pPr>
        <w:spacing w:after="60" w:before="0"/>
        <w:ind w:left="720"/>
      </w:pPr>
      <w:r>
        <w:rPr>
          <w:rFonts w:ascii="Arial" w:cs="Arial" w:eastAsia="Arial" w:hAnsi="Arial"/>
          <w:i/>
          <w:iCs/>
          <w:color w:val="555555"/>
          <w:sz w:val="21"/>
          <w:szCs w:val="21"/>
        </w:rPr>
        <w:t xml:space="preserve">We build your ASC 606 or IFRS 15 revenue recognition framework for subscription tiers, usage-based pricing, and bundled professional services — so your deferred revenue schedule holds up to Big 4 scrutiny.</w:t>
      </w:r>
    </w:p>
    <w:p>
      <w:pPr>
        <w:pStyle w:val="ListParagraph"/>
        <w:numPr>
          <w:ilvl w:val="0"/>
          <w:numId w:val="2"/>
        </w:numPr>
        <w:spacing w:after="40" w:before="120"/>
      </w:pPr>
      <w:r>
        <w:rPr>
          <w:rFonts w:ascii="Arial" w:cs="Arial" w:eastAsia="Arial" w:hAnsi="Arial"/>
          <w:b/>
          <w:bCs/>
          <w:color w:val="0F2D52"/>
          <w:sz w:val="22"/>
          <w:szCs w:val="22"/>
        </w:rPr>
        <w:t xml:space="preserve">R&amp;D Tax Credit Analysis</w:t>
      </w:r>
    </w:p>
    <w:p>
      <w:pPr>
        <w:spacing w:after="60" w:before="0"/>
        <w:ind w:left="720"/>
      </w:pPr>
      <w:r>
        <w:rPr>
          <w:rFonts w:ascii="Arial" w:cs="Arial" w:eastAsia="Arial" w:hAnsi="Arial"/>
          <w:i/>
          <w:iCs/>
          <w:color w:val="555555"/>
          <w:sz w:val="21"/>
          <w:szCs w:val="21"/>
        </w:rPr>
        <w:t xml:space="preserve">We identify and document qualifying R&amp;D expenditure across your engineering teams — US Section 41, UK RDEC, or India's Section 35(2AB) — and prepare the substantiation needed to defend the claim.</w:t>
      </w:r>
    </w:p>
    <w:p>
      <w:pPr>
        <w:pStyle w:val="ListParagraph"/>
        <w:numPr>
          <w:ilvl w:val="0"/>
          <w:numId w:val="2"/>
        </w:numPr>
        <w:spacing w:after="40" w:before="120"/>
      </w:pPr>
      <w:r>
        <w:rPr>
          <w:rFonts w:ascii="Arial" w:cs="Arial" w:eastAsia="Arial" w:hAnsi="Arial"/>
          <w:b/>
          <w:bCs/>
          <w:color w:val="0F2D52"/>
          <w:sz w:val="22"/>
          <w:szCs w:val="22"/>
        </w:rPr>
        <w:t xml:space="preserve">Transfer Pricing Documentation</w:t>
      </w:r>
    </w:p>
    <w:p>
      <w:pPr>
        <w:spacing w:after="60" w:before="0"/>
        <w:ind w:left="720"/>
      </w:pPr>
      <w:r>
        <w:rPr>
          <w:rFonts w:ascii="Arial" w:cs="Arial" w:eastAsia="Arial" w:hAnsi="Arial"/>
          <w:i/>
          <w:iCs/>
          <w:color w:val="555555"/>
          <w:sz w:val="21"/>
          <w:szCs w:val="21"/>
        </w:rPr>
        <w:t xml:space="preserve">We prepare arm's-length transfer pricing studies and intercompany agreements for IP licensing, shared services, and cost-sharing arrangements — so your structure is defensible when tax authorities look at it.</w:t>
      </w:r>
    </w:p>
    <w:p>
      <w:pPr>
        <w:pStyle w:val="ListParagraph"/>
        <w:numPr>
          <w:ilvl w:val="0"/>
          <w:numId w:val="2"/>
        </w:numPr>
        <w:spacing w:after="40" w:before="120"/>
      </w:pPr>
      <w:r>
        <w:rPr>
          <w:rFonts w:ascii="Arial" w:cs="Arial" w:eastAsia="Arial" w:hAnsi="Arial"/>
          <w:b/>
          <w:bCs/>
          <w:color w:val="0F2D52"/>
          <w:sz w:val="22"/>
          <w:szCs w:val="22"/>
        </w:rPr>
        <w:t xml:space="preserve">ESOP &amp; Equity Tax Advisory</w:t>
      </w:r>
    </w:p>
    <w:p>
      <w:pPr>
        <w:spacing w:after="60" w:before="0"/>
        <w:ind w:left="720"/>
      </w:pPr>
      <w:r>
        <w:rPr>
          <w:rFonts w:ascii="Arial" w:cs="Arial" w:eastAsia="Arial" w:hAnsi="Arial"/>
          <w:i/>
          <w:iCs/>
          <w:color w:val="555555"/>
          <w:sz w:val="21"/>
          <w:szCs w:val="21"/>
        </w:rPr>
        <w:t xml:space="preserve">We advise on the tax treatment of ISO/NQSO grants in the US, ESOP schemes in India, and option plans in Singapore or Australia — across both the company's withholding obligations and the individual employee's liability.</w:t>
      </w:r>
    </w:p>
    <w:p>
      <w:pPr>
        <w:pStyle w:val="ListParagraph"/>
        <w:numPr>
          <w:ilvl w:val="0"/>
          <w:numId w:val="2"/>
        </w:numPr>
        <w:spacing w:after="40" w:before="120"/>
      </w:pPr>
      <w:r>
        <w:rPr>
          <w:rFonts w:ascii="Arial" w:cs="Arial" w:eastAsia="Arial" w:hAnsi="Arial"/>
          <w:b/>
          <w:bCs/>
          <w:color w:val="0F2D52"/>
          <w:sz w:val="22"/>
          <w:szCs w:val="22"/>
        </w:rPr>
        <w:t xml:space="preserve">Monthly Close &amp; Board-Ready Management Accounts</w:t>
      </w:r>
    </w:p>
    <w:p>
      <w:pPr>
        <w:spacing w:after="60" w:before="0"/>
        <w:ind w:left="720"/>
      </w:pPr>
      <w:r>
        <w:rPr>
          <w:rFonts w:ascii="Arial" w:cs="Arial" w:eastAsia="Arial" w:hAnsi="Arial"/>
          <w:i/>
          <w:iCs/>
          <w:color w:val="555555"/>
          <w:sz w:val="21"/>
          <w:szCs w:val="21"/>
        </w:rPr>
        <w:t xml:space="preserve">We run your month-end close and deliver board-quality financials on your investor reporting timeline — with clean deferred revenue, capitalised development costs, and headcount breakdowns by geography.</w:t>
      </w:r>
    </w:p>
    <w:p>
      <w:pPr>
        <w:pStyle w:val="ListParagraph"/>
        <w:numPr>
          <w:ilvl w:val="0"/>
          <w:numId w:val="2"/>
        </w:numPr>
        <w:spacing w:after="40" w:before="120"/>
      </w:pPr>
      <w:r>
        <w:rPr>
          <w:rFonts w:ascii="Arial" w:cs="Arial" w:eastAsia="Arial" w:hAnsi="Arial"/>
          <w:b/>
          <w:bCs/>
          <w:color w:val="0F2D52"/>
          <w:sz w:val="22"/>
          <w:szCs w:val="22"/>
        </w:rPr>
        <w:t xml:space="preserve">Investor &amp; Due Diligence Data Room Preparation</w:t>
      </w:r>
    </w:p>
    <w:p>
      <w:pPr>
        <w:spacing w:after="60" w:before="0"/>
        <w:ind w:left="720"/>
      </w:pPr>
      <w:r>
        <w:rPr>
          <w:rFonts w:ascii="Arial" w:cs="Arial" w:eastAsia="Arial" w:hAnsi="Arial"/>
          <w:i/>
          <w:iCs/>
          <w:color w:val="555555"/>
          <w:sz w:val="21"/>
          <w:szCs w:val="21"/>
        </w:rPr>
        <w:t xml:space="preserve">We prepare and organise the financial workpapers, historical statements, and supporting schedules that investors and acquirers expect to find in a data room — and that Big 4 diligence teams will test against.</w:t>
      </w:r>
    </w:p>
    <w:p>
      <w:pPr>
        <w:pStyle w:val="ListParagraph"/>
        <w:numPr>
          <w:ilvl w:val="0"/>
          <w:numId w:val="2"/>
        </w:numPr>
        <w:spacing w:after="40" w:before="120"/>
      </w:pPr>
      <w:r>
        <w:rPr>
          <w:rFonts w:ascii="Arial" w:cs="Arial" w:eastAsia="Arial" w:hAnsi="Arial"/>
          <w:b/>
          <w:bCs/>
          <w:color w:val="0F2D52"/>
          <w:sz w:val="22"/>
          <w:szCs w:val="22"/>
        </w:rPr>
        <w:t xml:space="preserve">SPAC / M&amp;A Financial Support</w:t>
      </w:r>
    </w:p>
    <w:p>
      <w:pPr>
        <w:spacing w:after="60" w:before="0"/>
        <w:ind w:left="720"/>
      </w:pPr>
      <w:r>
        <w:rPr>
          <w:rFonts w:ascii="Arial" w:cs="Arial" w:eastAsia="Arial" w:hAnsi="Arial"/>
          <w:i/>
          <w:iCs/>
          <w:color w:val="555555"/>
          <w:sz w:val="21"/>
          <w:szCs w:val="21"/>
        </w:rPr>
        <w:t xml:space="preserve">We prepare comparative financial statements, restate historical revenue recognition where needed, and reconcile stock-based compensation schedules to keep your deal on track during SPAC or M&amp;A processes.</w:t>
      </w:r>
    </w:p>
    <w:p>
      <w:pPr>
        <w:pStyle w:val="ListParagraph"/>
        <w:numPr>
          <w:ilvl w:val="0"/>
          <w:numId w:val="2"/>
        </w:numPr>
        <w:spacing w:after="40" w:before="120"/>
      </w:pPr>
      <w:r>
        <w:rPr>
          <w:rFonts w:ascii="Arial" w:cs="Arial" w:eastAsia="Arial" w:hAnsi="Arial"/>
          <w:b/>
          <w:bCs/>
          <w:color w:val="0F2D52"/>
          <w:sz w:val="22"/>
          <w:szCs w:val="22"/>
        </w:rPr>
        <w:t xml:space="preserve">Multi-State &amp; International Payroll Compliance</w:t>
      </w:r>
    </w:p>
    <w:p>
      <w:pPr>
        <w:spacing w:after="60" w:before="0"/>
        <w:ind w:left="720"/>
      </w:pPr>
      <w:r>
        <w:rPr>
          <w:rFonts w:ascii="Arial" w:cs="Arial" w:eastAsia="Arial" w:hAnsi="Arial"/>
          <w:i/>
          <w:iCs/>
          <w:color w:val="555555"/>
          <w:sz w:val="21"/>
          <w:szCs w:val="21"/>
        </w:rPr>
        <w:t xml:space="preserve">We manage employer-side payroll tax obligations for distributed teams — multi-state US withholding, contractor vs employee classification, and payroll compliance in India, Canada, or Singapore where your team is based.</w:t>
      </w:r>
    </w:p>
    <w:p>
      <w:pPr>
        <w:pStyle w:val="ListParagraph"/>
        <w:numPr>
          <w:ilvl w:val="0"/>
          <w:numId w:val="2"/>
        </w:numPr>
        <w:spacing w:after="40" w:before="120"/>
      </w:pPr>
      <w:r>
        <w:rPr>
          <w:rFonts w:ascii="Arial" w:cs="Arial" w:eastAsia="Arial" w:hAnsi="Arial"/>
          <w:b/>
          <w:bCs/>
          <w:color w:val="0F2D52"/>
          <w:sz w:val="22"/>
          <w:szCs w:val="22"/>
        </w:rPr>
        <w:t xml:space="preserve">Sales Tax / GST / VAT Nexus Analysis for SaaS</w:t>
      </w:r>
    </w:p>
    <w:p>
      <w:pPr>
        <w:spacing w:after="60" w:before="0"/>
        <w:ind w:left="720"/>
      </w:pPr>
      <w:r>
        <w:rPr>
          <w:rFonts w:ascii="Arial" w:cs="Arial" w:eastAsia="Arial" w:hAnsi="Arial"/>
          <w:i/>
          <w:iCs/>
          <w:color w:val="555555"/>
          <w:sz w:val="21"/>
          <w:szCs w:val="21"/>
        </w:rPr>
        <w:t xml:space="preserve">We assess where your SaaS subscriptions create economic nexus or digital services tax obligations — state by state in the US, and across the international markets where you have users or revenue.</w:t>
      </w:r>
    </w:p>
    <w:p>
      <w:pPr>
        <w:spacing w:after="0" w:before="200"/>
      </w:pPr>
    </w:p>
    <w:p>
      <w:pPr>
        <w:spacing w:after="120" w:before="360"/>
      </w:pPr>
      <w:r>
        <w:rPr>
          <w:rFonts w:ascii="Arial" w:cs="Arial" w:eastAsia="Arial" w:hAnsi="Arial"/>
          <w:b/>
          <w:bCs/>
          <w:color w:val="0F2D52"/>
          <w:sz w:val="32"/>
          <w:szCs w:val="32"/>
        </w:rPr>
        <w:t xml:space="preserve">How TrueLedger Has Served Founders Like You</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Case Study: Defense Tech Startup — India-to-US Restructure</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defense technology startup founded by two IIT engineers had built significant IP in an Indian private limited company. They needed a US C-Corp in Delaware to pursue SBIR grants and institutional VC investment while maintaining Indian operations.</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designed a holding structure with IP licensed from the Indian entity to the US C-Corp under an arm's length arrangement, prepared the transfer pricing documentation, coordinated multi-jurisdiction tax opinions, and set up consolidated reporting across both entities for investor reporting.</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founders closed their Seed round six weeks after entity setup, with clean cap table accounting and a data room that passed Big 4 diligence without rework.</w:t>
      </w:r>
    </w:p>
    <w:p>
      <w:pPr>
        <w:spacing w:after="0" w:before="200"/>
      </w:pPr>
    </w:p>
    <w:p>
      <w:pPr>
        <w:spacing w:after="80" w:before="240"/>
      </w:pPr>
      <w:r>
        <w:rPr>
          <w:rFonts w:ascii="Arial" w:cs="Arial" w:eastAsia="Arial" w:hAnsi="Arial"/>
          <w:b/>
          <w:bCs/>
          <w:color w:val="00796B"/>
          <w:sz w:val="24"/>
          <w:szCs w:val="24"/>
        </w:rPr>
        <w:t xml:space="preserve">Case Study: SaaS Founder — SPAC Transaction Support</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SaaS founder approached TrueLedger during a SPAC merger process. The target company had inconsistent revenue recognition treatment across subscription tiers and lacked board-quality financials.</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restated 24 months of financials under ASC 606, built a clean deferred revenue schedule, reconciled stock-based compensation, and produced investor-grade comparative statements within the SPAC timeline.</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company completed the SPAC process without a restatement flag from the SEC comment letter. The CFO credited TrueLedger's work as critical to keeping the deal on track.</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“We had Big 4 auditors reviewing our books and TrueLedger had already cleaned everything up. The audit took a fraction of the time it would have otherwise. For a Series B company, that kind of financial rigour is not optional — it is expected.”</w:t>
            </w:r>
          </w:p>
          <w:p>
            <w:pPr>
              <w:spacing w:after="0" w:before="0"/>
            </w:pPr>
            <w:r>
              <w:rPr>
                <w:rFonts w:ascii="Arial" w:cs="Arial" w:eastAsia="Arial" w:hAnsi="Arial"/>
                <w:b/>
                <w:bCs/>
                <w:color w:val="00796B"/>
                <w:sz w:val="20"/>
                <w:szCs w:val="20"/>
              </w:rPr>
              <w:t xml:space="preserve">— CEO, SaaS Startup (Identity withheld per NDA)</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Client Success / Founders</w:t>
            </w:r>
          </w:p>
          <w:p>
            <w:pPr>
              <w:spacing w:after="0" w:before="0"/>
              <w:jc w:val="center"/>
            </w:pPr>
            <w:r>
              <w:rPr>
                <w:rFonts w:ascii="Arial" w:cs="Arial" w:eastAsia="Arial" w:hAnsi="Arial"/>
                <w:i/>
                <w:iCs/>
                <w:color w:val="555555"/>
                <w:sz w:val="20"/>
                <w:szCs w:val="20"/>
              </w:rPr>
              <w:t xml:space="preserve">Suggested: Two or three professionals in a startup setting reviewing financial dashboards on large screens — diverse, modern office, natural light. No stock-photo handshake imagery.</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Ready to Build on a Solid Financial Foundation?</w:t>
            </w:r>
          </w:p>
          <w:p>
            <w:pPr>
              <w:spacing w:after="160" w:before="0"/>
              <w:jc w:val="center"/>
            </w:pPr>
            <w:r>
              <w:rPr>
                <w:rFonts w:ascii="Arial" w:cs="Arial" w:eastAsia="Arial" w:hAnsi="Arial"/>
                <w:color w:val="E0F2F1"/>
                <w:sz w:val="22"/>
                <w:szCs w:val="22"/>
              </w:rPr>
              <w:t xml:space="preserve">Schedule a complimentary 30-minute consultation with TrueLedger's startup advisory team.</w:t>
            </w:r>
          </w:p>
          <w:p>
            <w:pPr>
              <w:spacing w:after="0" w:before="0"/>
              <w:jc w:val="center"/>
            </w:pPr>
            <w:r>
              <w:rPr>
                <w:rFonts w:ascii="Arial" w:cs="Arial" w:eastAsia="Arial" w:hAnsi="Arial"/>
                <w:b/>
                <w:bCs/>
                <w:color w:val="00796B"/>
                <w:sz w:val="26"/>
                <w:szCs w:val="26"/>
              </w:rPr>
              <w:t xml:space="preserve">[ Book Your Consultation →  trueledger.com/startups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Hospitality &amp; Restaurant Businesses</w:t>
      </w:r>
    </w:p>
    <w:p>
      <w:pPr>
        <w:spacing w:after="120" w:before="80"/>
      </w:pPr>
      <w:r>
        <w:rPr>
          <w:rFonts w:ascii="Arial" w:cs="Arial" w:eastAsia="Arial" w:hAnsi="Arial"/>
          <w:color w:val="555555"/>
          <w:sz w:val="22"/>
          <w:szCs w:val="22"/>
        </w:rPr>
        <w:t xml:space="preserve">Running a restaurant — or a group of them — means managing wafer-thin margins, multi-location complexity, seasonal cash flows, and a workforce that spans tipped employees, contract staff, and kitchen teams across states. TrueLedger understands the hospitality P&amp;L in a way most generalist accountants do not.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Hero — Hospitality / Restaurant</w:t>
            </w:r>
          </w:p>
          <w:p>
            <w:pPr>
              <w:spacing w:after="0" w:before="0"/>
              <w:jc w:val="center"/>
            </w:pPr>
            <w:r>
              <w:rPr>
                <w:rFonts w:ascii="Arial" w:cs="Arial" w:eastAsia="Arial" w:hAnsi="Arial"/>
                <w:i/>
                <w:iCs/>
                <w:color w:val="555555"/>
                <w:sz w:val="20"/>
                <w:szCs w:val="20"/>
              </w:rPr>
              <w:t xml:space="preserve">Suggested: A well-lit, busy restaurant interior: tables in service, a bartender at work, or a beautifully plated dish with a chic dining room in the background. Warm amber/gold tones. Avoid food delivery app or fast-food imagery.</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Restaurant Operators Face</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Multi-Location Financial Consolidation</w:t>
      </w:r>
    </w:p>
    <w:p>
      <w:pPr>
        <w:spacing w:after="120" w:before="80"/>
      </w:pPr>
      <w:r>
        <w:rPr>
          <w:rFonts w:ascii="Arial" w:cs="Arial" w:eastAsia="Arial" w:hAnsi="Arial"/>
          <w:color w:val="555555"/>
          <w:sz w:val="22"/>
          <w:szCs w:val="22"/>
        </w:rPr>
        <w:t xml:space="preserve">Operating three locations feels manageable until each has its own entity, its own bank account, its own POS system, and its own lease. Getting a consolidated view — location by location and in total — requires more than a spreadsheet.</w:t>
      </w:r>
    </w:p>
    <w:p>
      <w:pPr>
        <w:spacing w:after="80" w:before="240"/>
      </w:pPr>
      <w:r>
        <w:rPr>
          <w:rFonts w:ascii="Arial" w:cs="Arial" w:eastAsia="Arial" w:hAnsi="Arial"/>
          <w:b/>
          <w:bCs/>
          <w:color w:val="00796B"/>
          <w:sz w:val="24"/>
          <w:szCs w:val="24"/>
        </w:rPr>
        <w:t xml:space="preserve">Food &amp; Beverage Cost Variance</w:t>
      </w:r>
    </w:p>
    <w:p>
      <w:pPr>
        <w:spacing w:after="120" w:before="80"/>
      </w:pPr>
      <w:r>
        <w:rPr>
          <w:rFonts w:ascii="Arial" w:cs="Arial" w:eastAsia="Arial" w:hAnsi="Arial"/>
          <w:color w:val="555555"/>
          <w:sz w:val="22"/>
          <w:szCs w:val="22"/>
        </w:rPr>
        <w:t xml:space="preserve">Inventory spoilage, supplier price changes, and kitchen waste can swing your F&amp;B cost percentage by three to five points week-to-week. Without weekly cost-of-goods discipline, you find out at month-end that margins have eroded.</w:t>
      </w:r>
    </w:p>
    <w:p>
      <w:pPr>
        <w:spacing w:after="80" w:before="240"/>
      </w:pPr>
      <w:r>
        <w:rPr>
          <w:rFonts w:ascii="Arial" w:cs="Arial" w:eastAsia="Arial" w:hAnsi="Arial"/>
          <w:b/>
          <w:bCs/>
          <w:color w:val="00796B"/>
          <w:sz w:val="24"/>
          <w:szCs w:val="24"/>
        </w:rPr>
        <w:t xml:space="preserve">Tip Pooling, Tipped Credit, and Payroll Compliance</w:t>
      </w:r>
    </w:p>
    <w:p>
      <w:pPr>
        <w:spacing w:after="120" w:before="80"/>
      </w:pPr>
      <w:r>
        <w:rPr>
          <w:rFonts w:ascii="Arial" w:cs="Arial" w:eastAsia="Arial" w:hAnsi="Arial"/>
          <w:color w:val="555555"/>
          <w:sz w:val="22"/>
          <w:szCs w:val="22"/>
        </w:rPr>
        <w:t xml:space="preserve">US restaurants must navigate FICA tip credit calculations, state-level tip pooling rules, and the DOL's regulations on service charges vs voluntary gratuities. Payroll errors in this space attract audits and substantial back-pay liability.</w:t>
      </w:r>
    </w:p>
    <w:p>
      <w:pPr>
        <w:spacing w:after="80" w:before="240"/>
      </w:pPr>
      <w:r>
        <w:rPr>
          <w:rFonts w:ascii="Arial" w:cs="Arial" w:eastAsia="Arial" w:hAnsi="Arial"/>
          <w:b/>
          <w:bCs/>
          <w:color w:val="00796B"/>
          <w:sz w:val="24"/>
          <w:szCs w:val="24"/>
        </w:rPr>
        <w:t xml:space="preserve">Sales Tax Across Multiple Jurisdictions</w:t>
      </w:r>
    </w:p>
    <w:p>
      <w:pPr>
        <w:spacing w:after="120" w:before="80"/>
      </w:pPr>
      <w:r>
        <w:rPr>
          <w:rFonts w:ascii="Arial" w:cs="Arial" w:eastAsia="Arial" w:hAnsi="Arial"/>
          <w:color w:val="555555"/>
          <w:sz w:val="22"/>
          <w:szCs w:val="22"/>
        </w:rPr>
        <w:t xml:space="preserve">If you operate in more than one state — or deliver across state lines — sales tax obligations on food, beverages, and catering are inconsistent jurisdiction by jurisdiction. What is taxable in Texas may be exempt in New York.</w:t>
      </w:r>
    </w:p>
    <w:p>
      <w:pPr>
        <w:spacing w:after="80" w:before="240"/>
      </w:pPr>
      <w:r>
        <w:rPr>
          <w:rFonts w:ascii="Arial" w:cs="Arial" w:eastAsia="Arial" w:hAnsi="Arial"/>
          <w:b/>
          <w:bCs/>
          <w:color w:val="00796B"/>
          <w:sz w:val="24"/>
          <w:szCs w:val="24"/>
        </w:rPr>
        <w:t xml:space="preserve">Working Capital Seasonality</w:t>
      </w:r>
    </w:p>
    <w:p>
      <w:pPr>
        <w:spacing w:after="120" w:before="80"/>
      </w:pPr>
      <w:r>
        <w:rPr>
          <w:rFonts w:ascii="Arial" w:cs="Arial" w:eastAsia="Arial" w:hAnsi="Arial"/>
          <w:color w:val="555555"/>
          <w:sz w:val="22"/>
          <w:szCs w:val="22"/>
        </w:rPr>
        <w:t xml:space="preserve">Hospitality businesses run lean between service peaks. Without rolling cash flow forecasts tied to covers, covers-per-turn, and average check, you are flying blind during the slow season.</w:t>
      </w:r>
    </w:p>
    <w:p>
      <w:pPr>
        <w:spacing w:after="80" w:before="240"/>
      </w:pPr>
      <w:r>
        <w:rPr>
          <w:rFonts w:ascii="Arial" w:cs="Arial" w:eastAsia="Arial" w:hAnsi="Arial"/>
          <w:b/>
          <w:bCs/>
          <w:color w:val="00796B"/>
          <w:sz w:val="24"/>
          <w:szCs w:val="24"/>
        </w:rPr>
        <w:t xml:space="preserve">Entity Structure for Group Expansion</w:t>
      </w:r>
    </w:p>
    <w:p>
      <w:pPr>
        <w:spacing w:after="120" w:before="80"/>
      </w:pPr>
      <w:r>
        <w:rPr>
          <w:rFonts w:ascii="Arial" w:cs="Arial" w:eastAsia="Arial" w:hAnsi="Arial"/>
          <w:color w:val="555555"/>
          <w:sz w:val="22"/>
          <w:szCs w:val="22"/>
        </w:rPr>
        <w:t xml:space="preserve">Opening a second or third location in a new state requires a review of your entity structure, inter-company rent or management fee arrangements, and state-level nexus obligations — not just a new lease.</w:t>
      </w:r>
    </w:p>
    <w:p>
      <w:pPr>
        <w:spacing w:after="0" w:before="200"/>
      </w:pPr>
    </w:p>
    <w:p>
      <w:pPr>
        <w:spacing w:after="120" w:before="360"/>
      </w:pPr>
      <w:r>
        <w:rPr>
          <w:rFonts w:ascii="Arial" w:cs="Arial" w:eastAsia="Arial" w:hAnsi="Arial"/>
          <w:b/>
          <w:bCs/>
          <w:color w:val="0F2D52"/>
          <w:sz w:val="32"/>
          <w:szCs w:val="32"/>
        </w:rPr>
        <w:t xml:space="preserve">What We Do for Hospitality Businesses</w:t>
      </w:r>
    </w:p>
    <w:p>
      <w:pPr>
        <w:pBdr>
          <w:bottom w:val="single" w:color="00796B" w:sz="8" w:space="1"/>
        </w:pBdr>
        <w:spacing w:after="200" w:before="100"/>
      </w:pPr>
    </w:p>
    <w:p>
      <w:pPr>
        <w:pStyle w:val="ListParagraph"/>
        <w:numPr>
          <w:ilvl w:val="0"/>
          <w:numId w:val="2"/>
        </w:numPr>
        <w:spacing w:after="40" w:before="120"/>
      </w:pPr>
      <w:r>
        <w:rPr>
          <w:rFonts w:ascii="Arial" w:cs="Arial" w:eastAsia="Arial" w:hAnsi="Arial"/>
          <w:b/>
          <w:bCs/>
          <w:color w:val="0F2D52"/>
          <w:sz w:val="22"/>
          <w:szCs w:val="22"/>
        </w:rPr>
        <w:t xml:space="preserve">Multi-Location Chart of Accounts &amp; Consolidation</w:t>
      </w:r>
    </w:p>
    <w:p>
      <w:pPr>
        <w:spacing w:after="60" w:before="0"/>
        <w:ind w:left="720"/>
      </w:pPr>
      <w:r>
        <w:rPr>
          <w:rFonts w:ascii="Arial" w:cs="Arial" w:eastAsia="Arial" w:hAnsi="Arial"/>
          <w:i/>
          <w:iCs/>
          <w:color w:val="555555"/>
          <w:sz w:val="21"/>
          <w:szCs w:val="21"/>
        </w:rPr>
        <w:t xml:space="preserve">We build a unified chart of accounts across all your locations and deliver both individual location P&amp;Ls and a consolidated group view — so you always know which site is pulling its weight and which is not.</w:t>
      </w:r>
    </w:p>
    <w:p>
      <w:pPr>
        <w:pStyle w:val="ListParagraph"/>
        <w:numPr>
          <w:ilvl w:val="0"/>
          <w:numId w:val="2"/>
        </w:numPr>
        <w:spacing w:after="40" w:before="120"/>
      </w:pPr>
      <w:r>
        <w:rPr>
          <w:rFonts w:ascii="Arial" w:cs="Arial" w:eastAsia="Arial" w:hAnsi="Arial"/>
          <w:b/>
          <w:bCs/>
          <w:color w:val="0F2D52"/>
          <w:sz w:val="22"/>
          <w:szCs w:val="22"/>
        </w:rPr>
        <w:t xml:space="preserve">Weekly F&amp;B Cost Tracking &amp; Variance Reporting</w:t>
      </w:r>
    </w:p>
    <w:p>
      <w:pPr>
        <w:spacing w:after="60" w:before="0"/>
        <w:ind w:left="720"/>
      </w:pPr>
      <w:r>
        <w:rPr>
          <w:rFonts w:ascii="Arial" w:cs="Arial" w:eastAsia="Arial" w:hAnsi="Arial"/>
          <w:i/>
          <w:iCs/>
          <w:color w:val="555555"/>
          <w:sz w:val="21"/>
          <w:szCs w:val="21"/>
        </w:rPr>
        <w:t xml:space="preserve">We set up a weekly food and beverage cost discipline — tracking purchases, transfers, and waste against theoretical cost percentages — so margin erosion is caught before it compounds over a full month.</w:t>
      </w:r>
    </w:p>
    <w:p>
      <w:pPr>
        <w:pStyle w:val="ListParagraph"/>
        <w:numPr>
          <w:ilvl w:val="0"/>
          <w:numId w:val="2"/>
        </w:numPr>
        <w:spacing w:after="40" w:before="120"/>
      </w:pPr>
      <w:r>
        <w:rPr>
          <w:rFonts w:ascii="Arial" w:cs="Arial" w:eastAsia="Arial" w:hAnsi="Arial"/>
          <w:b/>
          <w:bCs/>
          <w:color w:val="0F2D52"/>
          <w:sz w:val="22"/>
          <w:szCs w:val="22"/>
        </w:rPr>
        <w:t xml:space="preserve">POS Reconciliation</w:t>
      </w:r>
    </w:p>
    <w:p>
      <w:pPr>
        <w:spacing w:after="60" w:before="0"/>
        <w:ind w:left="720"/>
      </w:pPr>
      <w:r>
        <w:rPr>
          <w:rFonts w:ascii="Arial" w:cs="Arial" w:eastAsia="Arial" w:hAnsi="Arial"/>
          <w:i/>
          <w:iCs/>
          <w:color w:val="555555"/>
          <w:sz w:val="21"/>
          <w:szCs w:val="21"/>
        </w:rPr>
        <w:t xml:space="preserve">We reconcile your POS system (Toast, Square, Lightspeed, Revel, or others) to your bank deposits and accounting records every month, catching voids, refunds, and cash discrepancies that fall through the cracks.</w:t>
      </w:r>
    </w:p>
    <w:p>
      <w:pPr>
        <w:pStyle w:val="ListParagraph"/>
        <w:numPr>
          <w:ilvl w:val="0"/>
          <w:numId w:val="2"/>
        </w:numPr>
        <w:spacing w:after="40" w:before="120"/>
      </w:pPr>
      <w:r>
        <w:rPr>
          <w:rFonts w:ascii="Arial" w:cs="Arial" w:eastAsia="Arial" w:hAnsi="Arial"/>
          <w:b/>
          <w:bCs/>
          <w:color w:val="0F2D52"/>
          <w:sz w:val="22"/>
          <w:szCs w:val="22"/>
        </w:rPr>
        <w:t xml:space="preserve">FICA Tip Credit Calculation &amp; Filing</w:t>
      </w:r>
    </w:p>
    <w:p>
      <w:pPr>
        <w:spacing w:after="60" w:before="0"/>
        <w:ind w:left="720"/>
      </w:pPr>
      <w:r>
        <w:rPr>
          <w:rFonts w:ascii="Arial" w:cs="Arial" w:eastAsia="Arial" w:hAnsi="Arial"/>
          <w:i/>
          <w:iCs/>
          <w:color w:val="555555"/>
          <w:sz w:val="21"/>
          <w:szCs w:val="21"/>
        </w:rPr>
        <w:t xml:space="preserve">We calculate your employer FICA tip credit on tipped employee wages and file Form 8846 — a frequently missed deduction that directly reduces your federal tax liability.</w:t>
      </w:r>
    </w:p>
    <w:p>
      <w:pPr>
        <w:pStyle w:val="ListParagraph"/>
        <w:numPr>
          <w:ilvl w:val="0"/>
          <w:numId w:val="2"/>
        </w:numPr>
        <w:spacing w:after="40" w:before="120"/>
      </w:pPr>
      <w:r>
        <w:rPr>
          <w:rFonts w:ascii="Arial" w:cs="Arial" w:eastAsia="Arial" w:hAnsi="Arial"/>
          <w:b/>
          <w:bCs/>
          <w:color w:val="0F2D52"/>
          <w:sz w:val="22"/>
          <w:szCs w:val="22"/>
        </w:rPr>
        <w:t xml:space="preserve">Multi-State Payroll &amp; Tip Pool Compliance</w:t>
      </w:r>
    </w:p>
    <w:p>
      <w:pPr>
        <w:spacing w:after="60" w:before="0"/>
        <w:ind w:left="720"/>
      </w:pPr>
      <w:r>
        <w:rPr>
          <w:rFonts w:ascii="Arial" w:cs="Arial" w:eastAsia="Arial" w:hAnsi="Arial"/>
          <w:i/>
          <w:iCs/>
          <w:color w:val="555555"/>
          <w:sz w:val="21"/>
          <w:szCs w:val="21"/>
        </w:rPr>
        <w:t xml:space="preserve">We manage payroll across your locations with state-specific tip credit rates, tip pool allocation records, and service charge vs gratuity classification — keeping you compliant with both the IRS and the Department of Labor.</w:t>
      </w:r>
    </w:p>
    <w:p>
      <w:pPr>
        <w:pStyle w:val="ListParagraph"/>
        <w:numPr>
          <w:ilvl w:val="0"/>
          <w:numId w:val="2"/>
        </w:numPr>
        <w:spacing w:after="40" w:before="120"/>
      </w:pPr>
      <w:r>
        <w:rPr>
          <w:rFonts w:ascii="Arial" w:cs="Arial" w:eastAsia="Arial" w:hAnsi="Arial"/>
          <w:b/>
          <w:bCs/>
          <w:color w:val="0F2D52"/>
          <w:sz w:val="22"/>
          <w:szCs w:val="22"/>
        </w:rPr>
        <w:t xml:space="preserve">Sales Tax Compliance — Food, Beverage &amp; Catering</w:t>
      </w:r>
    </w:p>
    <w:p>
      <w:pPr>
        <w:spacing w:after="60" w:before="0"/>
        <w:ind w:left="720"/>
      </w:pPr>
      <w:r>
        <w:rPr>
          <w:rFonts w:ascii="Arial" w:cs="Arial" w:eastAsia="Arial" w:hAnsi="Arial"/>
          <w:i/>
          <w:iCs/>
          <w:color w:val="555555"/>
          <w:sz w:val="21"/>
          <w:szCs w:val="21"/>
        </w:rPr>
        <w:t xml:space="preserve">We handle sales tax registration, filing, and remittance across the states where you operate — including the jurisdiction-specific treatment of hot vs cold food, alcohol, and event catering that trips up most restaurant operators.</w:t>
      </w:r>
    </w:p>
    <w:p>
      <w:pPr>
        <w:pStyle w:val="ListParagraph"/>
        <w:numPr>
          <w:ilvl w:val="0"/>
          <w:numId w:val="2"/>
        </w:numPr>
        <w:spacing w:after="40" w:before="120"/>
      </w:pPr>
      <w:r>
        <w:rPr>
          <w:rFonts w:ascii="Arial" w:cs="Arial" w:eastAsia="Arial" w:hAnsi="Arial"/>
          <w:b/>
          <w:bCs/>
          <w:color w:val="0F2D52"/>
          <w:sz w:val="22"/>
          <w:szCs w:val="22"/>
        </w:rPr>
        <w:t xml:space="preserve">Cash Flow Forecasting Tied to Your Trading Calendar</w:t>
      </w:r>
    </w:p>
    <w:p>
      <w:pPr>
        <w:spacing w:after="60" w:before="0"/>
        <w:ind w:left="720"/>
      </w:pPr>
      <w:r>
        <w:rPr>
          <w:rFonts w:ascii="Arial" w:cs="Arial" w:eastAsia="Arial" w:hAnsi="Arial"/>
          <w:i/>
          <w:iCs/>
          <w:color w:val="555555"/>
          <w:sz w:val="21"/>
          <w:szCs w:val="21"/>
        </w:rPr>
        <w:t xml:space="preserve">We build rolling 13-week cash flow forecasts anchored to your covers data, average check, and seasonal patterns — so you can see a slow month coming and manage your working capital accordingly.</w:t>
      </w:r>
    </w:p>
    <w:p>
      <w:pPr>
        <w:pStyle w:val="ListParagraph"/>
        <w:numPr>
          <w:ilvl w:val="0"/>
          <w:numId w:val="2"/>
        </w:numPr>
        <w:spacing w:after="40" w:before="120"/>
      </w:pPr>
      <w:r>
        <w:rPr>
          <w:rFonts w:ascii="Arial" w:cs="Arial" w:eastAsia="Arial" w:hAnsi="Arial"/>
          <w:b/>
          <w:bCs/>
          <w:color w:val="0F2D52"/>
          <w:sz w:val="22"/>
          <w:szCs w:val="22"/>
        </w:rPr>
        <w:t xml:space="preserve">Lease Accounting Under ASC 842</w:t>
      </w:r>
    </w:p>
    <w:p>
      <w:pPr>
        <w:spacing w:after="60" w:before="0"/>
        <w:ind w:left="720"/>
      </w:pPr>
      <w:r>
        <w:rPr>
          <w:rFonts w:ascii="Arial" w:cs="Arial" w:eastAsia="Arial" w:hAnsi="Arial"/>
          <w:i/>
          <w:iCs/>
          <w:color w:val="555555"/>
          <w:sz w:val="21"/>
          <w:szCs w:val="21"/>
        </w:rPr>
        <w:t xml:space="preserve">We handle the right-of-use asset and lease liability accounting for your restaurant locations — a requirement under US GAAP that affects your balance sheet and is often missed by hospitality-sector bookkeepers.</w:t>
      </w:r>
    </w:p>
    <w:p>
      <w:pPr>
        <w:pStyle w:val="ListParagraph"/>
        <w:numPr>
          <w:ilvl w:val="0"/>
          <w:numId w:val="2"/>
        </w:numPr>
        <w:spacing w:after="40" w:before="120"/>
      </w:pPr>
      <w:r>
        <w:rPr>
          <w:rFonts w:ascii="Arial" w:cs="Arial" w:eastAsia="Arial" w:hAnsi="Arial"/>
          <w:b/>
          <w:bCs/>
          <w:color w:val="0F2D52"/>
          <w:sz w:val="22"/>
          <w:szCs w:val="22"/>
        </w:rPr>
        <w:t xml:space="preserve">Entity Structure Review for New Locations</w:t>
      </w:r>
    </w:p>
    <w:p>
      <w:pPr>
        <w:spacing w:after="60" w:before="0"/>
        <w:ind w:left="720"/>
      </w:pPr>
      <w:r>
        <w:rPr>
          <w:rFonts w:ascii="Arial" w:cs="Arial" w:eastAsia="Arial" w:hAnsi="Arial"/>
          <w:i/>
          <w:iCs/>
          <w:color w:val="555555"/>
          <w:sz w:val="21"/>
          <w:szCs w:val="21"/>
        </w:rPr>
        <w:t xml:space="preserve">Before you sign a lease in a new state, we review the right entity structure for the expansion — covering inter-company management fee agreements, the new state's franchise or income tax obligations, and how the new location fits into your group structure.</w:t>
      </w:r>
    </w:p>
    <w:p>
      <w:pPr>
        <w:pStyle w:val="ListParagraph"/>
        <w:numPr>
          <w:ilvl w:val="0"/>
          <w:numId w:val="2"/>
        </w:numPr>
        <w:spacing w:after="40" w:before="120"/>
      </w:pPr>
      <w:r>
        <w:rPr>
          <w:rFonts w:ascii="Arial" w:cs="Arial" w:eastAsia="Arial" w:hAnsi="Arial"/>
          <w:b/>
          <w:bCs/>
          <w:color w:val="0F2D52"/>
          <w:sz w:val="22"/>
          <w:szCs w:val="22"/>
        </w:rPr>
        <w:t xml:space="preserve">Year-End Tax Planning &amp; Filing</w:t>
      </w:r>
    </w:p>
    <w:p>
      <w:pPr>
        <w:spacing w:after="60" w:before="0"/>
        <w:ind w:left="720"/>
      </w:pPr>
      <w:r>
        <w:rPr>
          <w:rFonts w:ascii="Arial" w:cs="Arial" w:eastAsia="Arial" w:hAnsi="Arial"/>
          <w:i/>
          <w:iCs/>
          <w:color w:val="555555"/>
          <w:sz w:val="21"/>
          <w:szCs w:val="21"/>
        </w:rPr>
        <w:t xml:space="preserve">We handle federal and state income tax filings for each entity in your group, with year-end planning that captures Section 179 and bonus depreciation on kitchen equipment, leasehold improvements, and POS systems.</w:t>
      </w:r>
    </w:p>
    <w:p>
      <w:pPr>
        <w:spacing w:after="0" w:before="200"/>
      </w:pPr>
    </w:p>
    <w:p>
      <w:pPr>
        <w:spacing w:after="120" w:before="360"/>
      </w:pPr>
      <w:r>
        <w:rPr>
          <w:rFonts w:ascii="Arial" w:cs="Arial" w:eastAsia="Arial" w:hAnsi="Arial"/>
          <w:b/>
          <w:bCs/>
          <w:color w:val="0F2D52"/>
          <w:sz w:val="32"/>
          <w:szCs w:val="32"/>
        </w:rPr>
        <w:t xml:space="preserve">How TrueLedger Has Served Restaurant Operators</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Case Study: Multi-State Restaurant Chain Launch</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restaurant group was launching its second and third locations simultaneously — one in Texas and one in Illinois — while managing existing New York operations. Each location had separate investors and different entity structures inherited from early deal-making.</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consolidated the group's chart of accounts across three states, set up inter-company management fee agreements, registered for sales tax nexus in Illinois and Texas, designed a unified payroll workflow including tip credit calculations, and delivered a monthly consolidated P&amp;L alongside individual location statements.</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Month-end close time reduced from 14 days to 5 days. Investor reporting became routine rather than a quarterly scramble. Sales tax audits in two states were resolved without penalties.</w:t>
      </w:r>
    </w:p>
    <w:p>
      <w:pPr>
        <w:spacing w:after="0" w:before="200"/>
      </w:pPr>
    </w:p>
    <w:p>
      <w:pPr>
        <w:spacing w:after="80" w:before="240"/>
      </w:pPr>
      <w:r>
        <w:rPr>
          <w:rFonts w:ascii="Arial" w:cs="Arial" w:eastAsia="Arial" w:hAnsi="Arial"/>
          <w:b/>
          <w:bCs/>
          <w:color w:val="00796B"/>
          <w:sz w:val="24"/>
          <w:szCs w:val="24"/>
        </w:rPr>
        <w:t xml:space="preserve">Case Study: Catering &amp; Events Business — Cash Flow Restructure</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high-end catering company with annual revenue of approximately USD 4M was experiencing recurring cash crunches between large event bookings, despite strong overall profitability.</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rebuilt their booking-to-cash model, tied deposits and milestone billing to event timelines, introduced rolling 13-week cash flow forecasting, and restructured their working capital facility with their bank using properly prepared management accounts.</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business eliminated overdraft dependency within two quarters. The owner reported having clear visibility into cash for the first time in six years of operation.</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“TrueLedger did not just do our books — they understood what running a restaurant actually looks like. They knew what a covers report meant and why F&amp;B cost percentage is the number I look at first every week.”</w:t>
            </w:r>
          </w:p>
          <w:p>
            <w:pPr>
              <w:spacing w:after="0" w:before="0"/>
            </w:pPr>
            <w:r>
              <w:rPr>
                <w:rFonts w:ascii="Arial" w:cs="Arial" w:eastAsia="Arial" w:hAnsi="Arial"/>
                <w:b/>
                <w:bCs/>
                <w:color w:val="00796B"/>
                <w:sz w:val="20"/>
                <w:szCs w:val="20"/>
              </w:rPr>
              <w:t xml:space="preserve">— Founder, Multi-Location Restaurant Group</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Operations / Back Office</w:t>
            </w:r>
          </w:p>
          <w:p>
            <w:pPr>
              <w:spacing w:after="0" w:before="0"/>
              <w:jc w:val="center"/>
            </w:pPr>
            <w:r>
              <w:rPr>
                <w:rFonts w:ascii="Arial" w:cs="Arial" w:eastAsia="Arial" w:hAnsi="Arial"/>
                <w:i/>
                <w:iCs/>
                <w:color w:val="555555"/>
                <w:sz w:val="20"/>
                <w:szCs w:val="20"/>
              </w:rPr>
              <w:t xml:space="preserve">Suggested: A restaurant manager reviewing a tablet or laptop with financial data in a professional back-of-house setting. Natural, documentary feel — not staged.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Let's Talk About Your Restaurant's Numbers.</w:t>
            </w:r>
          </w:p>
          <w:p>
            <w:pPr>
              <w:spacing w:after="160" w:before="0"/>
              <w:jc w:val="center"/>
            </w:pPr>
            <w:r>
              <w:rPr>
                <w:rFonts w:ascii="Arial" w:cs="Arial" w:eastAsia="Arial" w:hAnsi="Arial"/>
                <w:color w:val="E0F2F1"/>
                <w:sz w:val="22"/>
                <w:szCs w:val="22"/>
              </w:rPr>
              <w:t xml:space="preserve">Book a free 30-minute session with a TrueLedger hospitality specialist — no generalists.</w:t>
            </w:r>
          </w:p>
          <w:p>
            <w:pPr>
              <w:spacing w:after="0" w:before="0"/>
              <w:jc w:val="center"/>
            </w:pPr>
            <w:r>
              <w:rPr>
                <w:rFonts w:ascii="Arial" w:cs="Arial" w:eastAsia="Arial" w:hAnsi="Arial"/>
                <w:b/>
                <w:bCs/>
                <w:color w:val="00796B"/>
                <w:sz w:val="26"/>
                <w:szCs w:val="26"/>
              </w:rPr>
              <w:t xml:space="preserve">[ Book Your Consultation →  trueledger.com/hospitality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Small &amp; Mid-Size Businesses</w:t>
      </w:r>
    </w:p>
    <w:p>
      <w:pPr>
        <w:spacing w:after="120" w:before="80"/>
      </w:pPr>
      <w:r>
        <w:rPr>
          <w:rFonts w:ascii="Arial" w:cs="Arial" w:eastAsia="Arial" w:hAnsi="Arial"/>
          <w:color w:val="555555"/>
          <w:sz w:val="22"/>
          <w:szCs w:val="22"/>
        </w:rPr>
        <w:t xml:space="preserve">Most SMBs outgrow their bookkeeper before they realise it. At TrueLedger, we give small and mid-size businesses the financial infrastructure — accounting, tax, and advisory — that lets owners make decisions with confidence and present to banks, investors, and acquirers without embarrassment.</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Hero — SMB Owner</w:t>
            </w:r>
          </w:p>
          <w:p>
            <w:pPr>
              <w:spacing w:after="0" w:before="0"/>
              <w:jc w:val="center"/>
            </w:pPr>
            <w:r>
              <w:rPr>
                <w:rFonts w:ascii="Arial" w:cs="Arial" w:eastAsia="Arial" w:hAnsi="Arial"/>
                <w:i/>
                <w:iCs/>
                <w:color w:val="555555"/>
                <w:sz w:val="20"/>
                <w:szCs w:val="20"/>
              </w:rPr>
              <w:t xml:space="preserve">Suggested: A business owner — confident, professional, in their own environment (warehouse, retail floor, or office) — reviewing documents or a screen with purpose. Warm, real-world setting.</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SMBs Navigate</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Outgrowing Basic Bookkeeping</w:t>
      </w:r>
    </w:p>
    <w:p>
      <w:pPr>
        <w:spacing w:after="120" w:before="80"/>
      </w:pPr>
      <w:r>
        <w:rPr>
          <w:rFonts w:ascii="Arial" w:cs="Arial" w:eastAsia="Arial" w:hAnsi="Arial"/>
          <w:color w:val="555555"/>
          <w:sz w:val="22"/>
          <w:szCs w:val="22"/>
        </w:rPr>
        <w:t xml:space="preserve">When revenue crosses the USD 1–2M threshold, basic bookkeeping stops being enough. Banks, lenders, and buyers expect GAAP-quality financials, not a QuickBooks export. Most SMBs hit this wall when they need it least — mid-negotiation.</w:t>
      </w:r>
    </w:p>
    <w:p>
      <w:pPr>
        <w:spacing w:after="80" w:before="240"/>
      </w:pPr>
      <w:r>
        <w:rPr>
          <w:rFonts w:ascii="Arial" w:cs="Arial" w:eastAsia="Arial" w:hAnsi="Arial"/>
          <w:b/>
          <w:bCs/>
          <w:color w:val="00796B"/>
          <w:sz w:val="24"/>
          <w:szCs w:val="24"/>
        </w:rPr>
        <w:t xml:space="preserve">Owner Tax Efficiency</w:t>
      </w:r>
    </w:p>
    <w:p>
      <w:pPr>
        <w:spacing w:after="120" w:before="80"/>
      </w:pPr>
      <w:r>
        <w:rPr>
          <w:rFonts w:ascii="Arial" w:cs="Arial" w:eastAsia="Arial" w:hAnsi="Arial"/>
          <w:color w:val="555555"/>
          <w:sz w:val="22"/>
          <w:szCs w:val="22"/>
        </w:rPr>
        <w:t xml:space="preserve">S-Corp election timing, reasonable compensation benchmarks, pass-through deduction eligibility under Section 199A, and retirement account structuring are decisions that can shift effective tax rates by five to ten percentage points. Most SMB owners are not getting this advice.</w:t>
      </w:r>
    </w:p>
    <w:p>
      <w:pPr>
        <w:spacing w:after="80" w:before="240"/>
      </w:pPr>
      <w:r>
        <w:rPr>
          <w:rFonts w:ascii="Arial" w:cs="Arial" w:eastAsia="Arial" w:hAnsi="Arial"/>
          <w:b/>
          <w:bCs/>
          <w:color w:val="00796B"/>
          <w:sz w:val="24"/>
          <w:szCs w:val="24"/>
        </w:rPr>
        <w:t xml:space="preserve">Multi-State Expansion Complexity</w:t>
      </w:r>
    </w:p>
    <w:p>
      <w:pPr>
        <w:spacing w:after="120" w:before="80"/>
      </w:pPr>
      <w:r>
        <w:rPr>
          <w:rFonts w:ascii="Arial" w:cs="Arial" w:eastAsia="Arial" w:hAnsi="Arial"/>
          <w:color w:val="555555"/>
          <w:sz w:val="22"/>
          <w:szCs w:val="22"/>
        </w:rPr>
        <w:t xml:space="preserve">As soon as an SMB hires a remote employee, opens a satellite office, or starts selling in a new state, they have created nexus and potentially triggered income tax, payroll tax, and sales tax obligations — almost always discovered retrospectively.</w:t>
      </w:r>
    </w:p>
    <w:p>
      <w:pPr>
        <w:spacing w:after="80" w:before="240"/>
      </w:pPr>
      <w:r>
        <w:rPr>
          <w:rFonts w:ascii="Arial" w:cs="Arial" w:eastAsia="Arial" w:hAnsi="Arial"/>
          <w:b/>
          <w:bCs/>
          <w:color w:val="00796B"/>
          <w:sz w:val="24"/>
          <w:szCs w:val="24"/>
        </w:rPr>
        <w:t xml:space="preserve">Banking and Lender Readiness</w:t>
      </w:r>
    </w:p>
    <w:p>
      <w:pPr>
        <w:spacing w:after="120" w:before="80"/>
      </w:pPr>
      <w:r>
        <w:rPr>
          <w:rFonts w:ascii="Arial" w:cs="Arial" w:eastAsia="Arial" w:hAnsi="Arial"/>
          <w:color w:val="555555"/>
          <w:sz w:val="22"/>
          <w:szCs w:val="22"/>
        </w:rPr>
        <w:t xml:space="preserve">SBA loans, commercial real estate financing, and working capital lines require clean, current financials presented in a format lenders understand. Disorganised books are not just an inconvenience — they are a deal-stopper.</w:t>
      </w:r>
    </w:p>
    <w:p>
      <w:pPr>
        <w:spacing w:after="80" w:before="240"/>
      </w:pPr>
      <w:r>
        <w:rPr>
          <w:rFonts w:ascii="Arial" w:cs="Arial" w:eastAsia="Arial" w:hAnsi="Arial"/>
          <w:b/>
          <w:bCs/>
          <w:color w:val="00796B"/>
          <w:sz w:val="24"/>
          <w:szCs w:val="24"/>
        </w:rPr>
        <w:t xml:space="preserve">Succession and Exit Planning</w:t>
      </w:r>
    </w:p>
    <w:p>
      <w:pPr>
        <w:spacing w:after="120" w:before="80"/>
      </w:pPr>
      <w:r>
        <w:rPr>
          <w:rFonts w:ascii="Arial" w:cs="Arial" w:eastAsia="Arial" w:hAnsi="Arial"/>
          <w:color w:val="555555"/>
          <w:sz w:val="22"/>
          <w:szCs w:val="22"/>
        </w:rPr>
        <w:t xml:space="preserve">A business sale is the most consequential financial event in an SMB owner's life. The difference between an asset sale and a stock sale, and the timing of owner compensation before closing, can each have six-figure tax consequences.</w:t>
      </w:r>
    </w:p>
    <w:p>
      <w:pPr>
        <w:spacing w:after="80" w:before="240"/>
      </w:pPr>
      <w:r>
        <w:rPr>
          <w:rFonts w:ascii="Arial" w:cs="Arial" w:eastAsia="Arial" w:hAnsi="Arial"/>
          <w:b/>
          <w:bCs/>
          <w:color w:val="00796B"/>
          <w:sz w:val="24"/>
          <w:szCs w:val="24"/>
        </w:rPr>
        <w:t xml:space="preserve">Cross-Border Complexity for Owner-Operated Businesses</w:t>
      </w:r>
    </w:p>
    <w:p>
      <w:pPr>
        <w:spacing w:after="120" w:before="80"/>
      </w:pPr>
      <w:r>
        <w:rPr>
          <w:rFonts w:ascii="Arial" w:cs="Arial" w:eastAsia="Arial" w:hAnsi="Arial"/>
          <w:color w:val="555555"/>
          <w:sz w:val="22"/>
          <w:szCs w:val="22"/>
        </w:rPr>
        <w:t xml:space="preserve">Many SMB owners in the US are foreign nationals with reporting obligations in their home country — FBAR, FATCA, PFIC rules, or treaty elections — running alongside their US business obligations. These two worlds need coordinating.</w:t>
      </w:r>
    </w:p>
    <w:p>
      <w:pPr>
        <w:spacing w:after="0" w:before="200"/>
      </w:pPr>
    </w:p>
    <w:p>
      <w:pPr>
        <w:spacing w:after="120" w:before="360"/>
      </w:pPr>
      <w:r>
        <w:rPr>
          <w:rFonts w:ascii="Arial" w:cs="Arial" w:eastAsia="Arial" w:hAnsi="Arial"/>
          <w:b/>
          <w:bCs/>
          <w:color w:val="0F2D52"/>
          <w:sz w:val="32"/>
          <w:szCs w:val="32"/>
        </w:rPr>
        <w:t xml:space="preserve">What We Do for SMBs</w:t>
      </w:r>
    </w:p>
    <w:p>
      <w:pPr>
        <w:pBdr>
          <w:bottom w:val="single" w:color="00796B" w:sz="8" w:space="1"/>
        </w:pBdr>
        <w:spacing w:after="200" w:before="100"/>
      </w:pPr>
    </w:p>
    <w:p>
      <w:pPr>
        <w:pStyle w:val="ListParagraph"/>
        <w:numPr>
          <w:ilvl w:val="0"/>
          <w:numId w:val="2"/>
        </w:numPr>
        <w:spacing w:after="40" w:before="120"/>
      </w:pPr>
      <w:r>
        <w:rPr>
          <w:rFonts w:ascii="Arial" w:cs="Arial" w:eastAsia="Arial" w:hAnsi="Arial"/>
          <w:b/>
          <w:bCs/>
          <w:color w:val="0F2D52"/>
          <w:sz w:val="22"/>
          <w:szCs w:val="22"/>
        </w:rPr>
        <w:t xml:space="preserve">Monthly Close &amp; Financial Reporting</w:t>
      </w:r>
    </w:p>
    <w:p>
      <w:pPr>
        <w:spacing w:after="60" w:before="0"/>
        <w:ind w:left="720"/>
      </w:pPr>
      <w:r>
        <w:rPr>
          <w:rFonts w:ascii="Arial" w:cs="Arial" w:eastAsia="Arial" w:hAnsi="Arial"/>
          <w:i/>
          <w:iCs/>
          <w:color w:val="555555"/>
          <w:sz w:val="21"/>
          <w:szCs w:val="21"/>
        </w:rPr>
        <w:t xml:space="preserve">We run your month-end close on both cash and accrual basis and deliver financial statements in the format your bank, lender, or board actually wants to see — not a raw export from your accounting software.</w:t>
      </w:r>
    </w:p>
    <w:p>
      <w:pPr>
        <w:pStyle w:val="ListParagraph"/>
        <w:numPr>
          <w:ilvl w:val="0"/>
          <w:numId w:val="2"/>
        </w:numPr>
        <w:spacing w:after="40" w:before="120"/>
      </w:pPr>
      <w:r>
        <w:rPr>
          <w:rFonts w:ascii="Arial" w:cs="Arial" w:eastAsia="Arial" w:hAnsi="Arial"/>
          <w:b/>
          <w:bCs/>
          <w:color w:val="0F2D52"/>
          <w:sz w:val="22"/>
          <w:szCs w:val="22"/>
        </w:rPr>
        <w:t xml:space="preserve">Annual Business &amp; Owner Tax Preparation</w:t>
      </w:r>
    </w:p>
    <w:p>
      <w:pPr>
        <w:spacing w:after="60" w:before="0"/>
        <w:ind w:left="720"/>
      </w:pPr>
      <w:r>
        <w:rPr>
          <w:rFonts w:ascii="Arial" w:cs="Arial" w:eastAsia="Arial" w:hAnsi="Arial"/>
          <w:i/>
          <w:iCs/>
          <w:color w:val="555555"/>
          <w:sz w:val="21"/>
          <w:szCs w:val="21"/>
        </w:rPr>
        <w:t xml:space="preserve">We prepare federal and state income tax returns for your business and coordinate with your personal return — so the business tax strategy and the owner's personal tax picture are optimised together, not in isolation.</w:t>
      </w:r>
    </w:p>
    <w:p>
      <w:pPr>
        <w:pStyle w:val="ListParagraph"/>
        <w:numPr>
          <w:ilvl w:val="0"/>
          <w:numId w:val="2"/>
        </w:numPr>
        <w:spacing w:after="40" w:before="120"/>
      </w:pPr>
      <w:r>
        <w:rPr>
          <w:rFonts w:ascii="Arial" w:cs="Arial" w:eastAsia="Arial" w:hAnsi="Arial"/>
          <w:b/>
          <w:bCs/>
          <w:color w:val="0F2D52"/>
          <w:sz w:val="22"/>
          <w:szCs w:val="22"/>
        </w:rPr>
        <w:t xml:space="preserve">S-Corp Election Analysis &amp; Reasonable Compensation Benchmarking</w:t>
      </w:r>
    </w:p>
    <w:p>
      <w:pPr>
        <w:spacing w:after="60" w:before="0"/>
        <w:ind w:left="720"/>
      </w:pPr>
      <w:r>
        <w:rPr>
          <w:rFonts w:ascii="Arial" w:cs="Arial" w:eastAsia="Arial" w:hAnsi="Arial"/>
          <w:i/>
          <w:iCs/>
          <w:color w:val="555555"/>
          <w:sz w:val="21"/>
          <w:szCs w:val="21"/>
        </w:rPr>
        <w:t xml:space="preserve">We model whether electing S-Corp status makes sense for your business at its current revenue level, set a defensible reasonable compensation figure, and manage the payroll mechanics that come with the election.</w:t>
      </w:r>
    </w:p>
    <w:p>
      <w:pPr>
        <w:pStyle w:val="ListParagraph"/>
        <w:numPr>
          <w:ilvl w:val="0"/>
          <w:numId w:val="2"/>
        </w:numPr>
        <w:spacing w:after="40" w:before="120"/>
      </w:pPr>
      <w:r>
        <w:rPr>
          <w:rFonts w:ascii="Arial" w:cs="Arial" w:eastAsia="Arial" w:hAnsi="Arial"/>
          <w:b/>
          <w:bCs/>
          <w:color w:val="0F2D52"/>
          <w:sz w:val="22"/>
          <w:szCs w:val="22"/>
        </w:rPr>
        <w:t xml:space="preserve">Section 199A Pass-Through Deduction Planning</w:t>
      </w:r>
    </w:p>
    <w:p>
      <w:pPr>
        <w:spacing w:after="60" w:before="0"/>
        <w:ind w:left="720"/>
      </w:pPr>
      <w:r>
        <w:rPr>
          <w:rFonts w:ascii="Arial" w:cs="Arial" w:eastAsia="Arial" w:hAnsi="Arial"/>
          <w:i/>
          <w:iCs/>
          <w:color w:val="555555"/>
          <w:sz w:val="21"/>
          <w:szCs w:val="21"/>
        </w:rPr>
        <w:t xml:space="preserve">We analyse your eligibility for the 20% qualified business income deduction, identify W-2 wage and qualified property constraints, and structure income and compensation to maximise the deduction within the rules.</w:t>
      </w:r>
    </w:p>
    <w:p>
      <w:pPr>
        <w:pStyle w:val="ListParagraph"/>
        <w:numPr>
          <w:ilvl w:val="0"/>
          <w:numId w:val="2"/>
        </w:numPr>
        <w:spacing w:after="40" w:before="120"/>
      </w:pPr>
      <w:r>
        <w:rPr>
          <w:rFonts w:ascii="Arial" w:cs="Arial" w:eastAsia="Arial" w:hAnsi="Arial"/>
          <w:b/>
          <w:bCs/>
          <w:color w:val="0F2D52"/>
          <w:sz w:val="22"/>
          <w:szCs w:val="22"/>
        </w:rPr>
        <w:t xml:space="preserve">Multi-State Nexus Review &amp; Compliance</w:t>
      </w:r>
    </w:p>
    <w:p>
      <w:pPr>
        <w:spacing w:after="60" w:before="0"/>
        <w:ind w:left="720"/>
      </w:pPr>
      <w:r>
        <w:rPr>
          <w:rFonts w:ascii="Arial" w:cs="Arial" w:eastAsia="Arial" w:hAnsi="Arial"/>
          <w:i/>
          <w:iCs/>
          <w:color w:val="555555"/>
          <w:sz w:val="21"/>
          <w:szCs w:val="21"/>
        </w:rPr>
        <w:t xml:space="preserve">We identify where your business has crossed income tax, payroll tax, or sales tax nexus thresholds in other states, quantify any historical exposure, and set up a compliance programme going forward.</w:t>
      </w:r>
    </w:p>
    <w:p>
      <w:pPr>
        <w:pStyle w:val="ListParagraph"/>
        <w:numPr>
          <w:ilvl w:val="0"/>
          <w:numId w:val="2"/>
        </w:numPr>
        <w:spacing w:after="40" w:before="120"/>
      </w:pPr>
      <w:r>
        <w:rPr>
          <w:rFonts w:ascii="Arial" w:cs="Arial" w:eastAsia="Arial" w:hAnsi="Arial"/>
          <w:b/>
          <w:bCs/>
          <w:color w:val="0F2D52"/>
          <w:sz w:val="22"/>
          <w:szCs w:val="22"/>
        </w:rPr>
        <w:t xml:space="preserve">Bank &amp; Lender Package Preparation</w:t>
      </w:r>
    </w:p>
    <w:p>
      <w:pPr>
        <w:spacing w:after="60" w:before="0"/>
        <w:ind w:left="720"/>
      </w:pPr>
      <w:r>
        <w:rPr>
          <w:rFonts w:ascii="Arial" w:cs="Arial" w:eastAsia="Arial" w:hAnsi="Arial"/>
          <w:i/>
          <w:iCs/>
          <w:color w:val="555555"/>
          <w:sz w:val="21"/>
          <w:szCs w:val="21"/>
        </w:rPr>
        <w:t xml:space="preserve">We prepare the financial packages that SBA lenders, commercial banks, and private lenders expect — clean two-to-three-year historical statements, normalised EBITDA, management-prepared projections, and accounts receivable ageing.</w:t>
      </w:r>
    </w:p>
    <w:p>
      <w:pPr>
        <w:pStyle w:val="ListParagraph"/>
        <w:numPr>
          <w:ilvl w:val="0"/>
          <w:numId w:val="2"/>
        </w:numPr>
        <w:spacing w:after="40" w:before="120"/>
      </w:pPr>
      <w:r>
        <w:rPr>
          <w:rFonts w:ascii="Arial" w:cs="Arial" w:eastAsia="Arial" w:hAnsi="Arial"/>
          <w:b/>
          <w:bCs/>
          <w:color w:val="0F2D52"/>
          <w:sz w:val="22"/>
          <w:szCs w:val="22"/>
        </w:rPr>
        <w:t xml:space="preserve">Owner Retirement Plan Structuring</w:t>
      </w:r>
    </w:p>
    <w:p>
      <w:pPr>
        <w:spacing w:after="60" w:before="0"/>
        <w:ind w:left="720"/>
      </w:pPr>
      <w:r>
        <w:rPr>
          <w:rFonts w:ascii="Arial" w:cs="Arial" w:eastAsia="Arial" w:hAnsi="Arial"/>
          <w:i/>
          <w:iCs/>
          <w:color w:val="555555"/>
          <w:sz w:val="21"/>
          <w:szCs w:val="21"/>
        </w:rPr>
        <w:t xml:space="preserve">We model and implement the right retirement vehicle for your situation — SEP-IRA, Solo 401k, or defined benefit plan — with contribution levels set to maximise tax deferral relative to your current-year income.</w:t>
      </w:r>
    </w:p>
    <w:p>
      <w:pPr>
        <w:pStyle w:val="ListParagraph"/>
        <w:numPr>
          <w:ilvl w:val="0"/>
          <w:numId w:val="2"/>
        </w:numPr>
        <w:spacing w:after="40" w:before="120"/>
      </w:pPr>
      <w:r>
        <w:rPr>
          <w:rFonts w:ascii="Arial" w:cs="Arial" w:eastAsia="Arial" w:hAnsi="Arial"/>
          <w:b/>
          <w:bCs/>
          <w:color w:val="0F2D52"/>
          <w:sz w:val="22"/>
          <w:szCs w:val="22"/>
        </w:rPr>
        <w:t xml:space="preserve">Exit Readiness &amp; Financial Normalisation</w:t>
      </w:r>
    </w:p>
    <w:p>
      <w:pPr>
        <w:spacing w:after="60" w:before="0"/>
        <w:ind w:left="720"/>
      </w:pPr>
      <w:r>
        <w:rPr>
          <w:rFonts w:ascii="Arial" w:cs="Arial" w:eastAsia="Arial" w:hAnsi="Arial"/>
          <w:i/>
          <w:iCs/>
          <w:color w:val="555555"/>
          <w:sz w:val="21"/>
          <w:szCs w:val="21"/>
        </w:rPr>
        <w:t xml:space="preserve">We prepare your financials for a business sale — normalising owner compensation, adding back one-time expenses, and packaging the EBITDA story that a buyer or their accountant will scrutinise during diligence.</w:t>
      </w:r>
    </w:p>
    <w:p>
      <w:pPr>
        <w:pStyle w:val="ListParagraph"/>
        <w:numPr>
          <w:ilvl w:val="0"/>
          <w:numId w:val="2"/>
        </w:numPr>
        <w:spacing w:after="40" w:before="120"/>
      </w:pPr>
      <w:r>
        <w:rPr>
          <w:rFonts w:ascii="Arial" w:cs="Arial" w:eastAsia="Arial" w:hAnsi="Arial"/>
          <w:b/>
          <w:bCs/>
          <w:color w:val="0F2D52"/>
          <w:sz w:val="22"/>
          <w:szCs w:val="22"/>
        </w:rPr>
        <w:t xml:space="preserve">Cross-Border Owner Tax Obligations</w:t>
      </w:r>
    </w:p>
    <w:p>
      <w:pPr>
        <w:spacing w:after="60" w:before="0"/>
        <w:ind w:left="720"/>
      </w:pPr>
      <w:r>
        <w:rPr>
          <w:rFonts w:ascii="Arial" w:cs="Arial" w:eastAsia="Arial" w:hAnsi="Arial"/>
          <w:i/>
          <w:iCs/>
          <w:color w:val="555555"/>
          <w:sz w:val="21"/>
          <w:szCs w:val="21"/>
        </w:rPr>
        <w:t xml:space="preserve">For foreign national business owners, we coordinate US business tax filings with home-country obligations — FBAR, FATCA, PFIC analysis, and treaty elections — so both obligations are met without duplication or gaps.</w:t>
      </w:r>
    </w:p>
    <w:p>
      <w:pPr>
        <w:pStyle w:val="ListParagraph"/>
        <w:numPr>
          <w:ilvl w:val="0"/>
          <w:numId w:val="2"/>
        </w:numPr>
        <w:spacing w:after="40" w:before="120"/>
      </w:pPr>
      <w:r>
        <w:rPr>
          <w:rFonts w:ascii="Arial" w:cs="Arial" w:eastAsia="Arial" w:hAnsi="Arial"/>
          <w:b/>
          <w:bCs/>
          <w:color w:val="0F2D52"/>
          <w:sz w:val="22"/>
          <w:szCs w:val="22"/>
        </w:rPr>
        <w:t xml:space="preserve">QuickBooks / Xero Clean-Up &amp; Chart of Accounts Restructure</w:t>
      </w:r>
    </w:p>
    <w:p>
      <w:pPr>
        <w:spacing w:after="60" w:before="0"/>
        <w:ind w:left="720"/>
      </w:pPr>
      <w:r>
        <w:rPr>
          <w:rFonts w:ascii="Arial" w:cs="Arial" w:eastAsia="Arial" w:hAnsi="Arial"/>
          <w:i/>
          <w:iCs/>
          <w:color w:val="555555"/>
          <w:sz w:val="21"/>
          <w:szCs w:val="21"/>
        </w:rPr>
        <w:t xml:space="preserve">We clean up the accumulated errors, duplicate entries, and misclassified transactions in your accounting software and rebuild your chart of accounts to produce the financial statements your business actually needs.</w:t>
      </w:r>
    </w:p>
    <w:p>
      <w:pPr>
        <w:spacing w:after="0" w:before="200"/>
      </w:pPr>
    </w:p>
    <w:p>
      <w:pPr>
        <w:spacing w:after="120" w:before="360"/>
      </w:pPr>
      <w:r>
        <w:rPr>
          <w:rFonts w:ascii="Arial" w:cs="Arial" w:eastAsia="Arial" w:hAnsi="Arial"/>
          <w:b/>
          <w:bCs/>
          <w:color w:val="0F2D52"/>
          <w:sz w:val="32"/>
          <w:szCs w:val="32"/>
        </w:rPr>
        <w:t xml:space="preserve">How TrueLedger Has Served SMB Owners</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Case Study: Professional Services Firm — Owner Tax Restructure</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two-partner consulting firm was operating as a general partnership and paying income taxes at the highest marginal rate with no retirement planning in place. Combined federal and state effective tax rate was approaching 48%.</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restructured the business as an S-Corporation, established reasonable compensation benchmarks for both partners, set up defined benefit plans, and modelled the impact of the Section 199A deduction on their taxable income.</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Combined effective tax rate reduced to approximately 32% in the first full year. The partners recovered the cost of restructuring within the first four months of the plan's operation.</w:t>
      </w:r>
    </w:p>
    <w:p>
      <w:pPr>
        <w:spacing w:after="0" w:before="200"/>
      </w:pPr>
    </w:p>
    <w:p>
      <w:pPr>
        <w:spacing w:after="80" w:before="240"/>
      </w:pPr>
      <w:r>
        <w:rPr>
          <w:rFonts w:ascii="Arial" w:cs="Arial" w:eastAsia="Arial" w:hAnsi="Arial"/>
          <w:b/>
          <w:bCs/>
          <w:color w:val="00796B"/>
          <w:sz w:val="24"/>
          <w:szCs w:val="24"/>
        </w:rPr>
        <w:t xml:space="preserve">Case Study: Manufacturing SMB — Lender Package Preparation</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mid-size manufacturing business sought an SBA 7(a) loan to acquire a competitor. Their books were maintained on a cash basis by an in-house bookkeeper and were not in a format the SBA required.</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converted two years of financials to accrual basis, normalised owner compensation, prepared a detailed accounts receivable ageing, produced three-year projections with supporting assumptions, and delivered a loan package the lender described as one of the cleanest they had reviewed.</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SBA loan approved in 11 weeks. The acquisition closed on schedule. The business retained TrueLedger for ongoing accounting and annual tax work.</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“I had been using the same bookkeeper for seven years. When I decided to sell the business, my broker told me the books were not presentable. TrueLedger fixed two years of financials in six weeks and we closed the deal. I wish I had made the switch earlier.”</w:t>
            </w:r>
          </w:p>
          <w:p>
            <w:pPr>
              <w:spacing w:after="0" w:before="0"/>
            </w:pPr>
            <w:r>
              <w:rPr>
                <w:rFonts w:ascii="Arial" w:cs="Arial" w:eastAsia="Arial" w:hAnsi="Arial"/>
                <w:b/>
                <w:bCs/>
                <w:color w:val="00796B"/>
                <w:sz w:val="20"/>
                <w:szCs w:val="20"/>
              </w:rPr>
              <w:t xml:space="preserve">— Owner, Industrial Services Business</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Business Owner / Advisory Setting</w:t>
            </w:r>
          </w:p>
          <w:p>
            <w:pPr>
              <w:spacing w:after="0" w:before="0"/>
              <w:jc w:val="center"/>
            </w:pPr>
            <w:r>
              <w:rPr>
                <w:rFonts w:ascii="Arial" w:cs="Arial" w:eastAsia="Arial" w:hAnsi="Arial"/>
                <w:i/>
                <w:iCs/>
                <w:color w:val="555555"/>
                <w:sz w:val="20"/>
                <w:szCs w:val="20"/>
              </w:rPr>
              <w:t xml:space="preserve">Suggested: A professional meeting between a business owner and an advisor across a clean desk — documents visible, relaxed but purposeful atmosphere. Authentic, not staged.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Your Business Deserves Better Than Basic Bookkeeping.</w:t>
            </w:r>
          </w:p>
          <w:p>
            <w:pPr>
              <w:spacing w:after="160" w:before="0"/>
              <w:jc w:val="center"/>
            </w:pPr>
            <w:r>
              <w:rPr>
                <w:rFonts w:ascii="Arial" w:cs="Arial" w:eastAsia="Arial" w:hAnsi="Arial"/>
                <w:color w:val="E0F2F1"/>
                <w:sz w:val="22"/>
                <w:szCs w:val="22"/>
              </w:rPr>
              <w:t xml:space="preserve">Talk to a TrueLedger advisor — we work with SMBs that are ready to grow, raise, or exit.</w:t>
            </w:r>
          </w:p>
          <w:p>
            <w:pPr>
              <w:spacing w:after="0" w:before="0"/>
              <w:jc w:val="center"/>
            </w:pPr>
            <w:r>
              <w:rPr>
                <w:rFonts w:ascii="Arial" w:cs="Arial" w:eastAsia="Arial" w:hAnsi="Arial"/>
                <w:b/>
                <w:bCs/>
                <w:color w:val="00796B"/>
                <w:sz w:val="26"/>
                <w:szCs w:val="26"/>
              </w:rPr>
              <w:t xml:space="preserve">[ Book Your Consultation →  trueledger.com/sme ]</w:t>
            </w:r>
          </w:p>
        </w:tc>
      </w:tr>
    </w:tbl>
    <w:p>
      <w:r>
        <w:br w:type="page"/>
      </w:r>
    </w:p>
    <w:p>
      <w:pPr>
        <w:spacing w:after="80" w:before="400"/>
      </w:pPr>
      <w:r>
        <w:rPr>
          <w:rFonts w:ascii="Arial" w:cs="Arial" w:eastAsia="Arial" w:hAnsi="Arial"/>
          <w:b/>
          <w:bCs/>
          <w:color w:val="00796B"/>
          <w:spacing w:val="120"/>
          <w:sz w:val="18"/>
          <w:szCs w:val="18"/>
        </w:rPr>
        <w:t xml:space="preserve">SECTOR LANDING PAGE</w:t>
      </w:r>
    </w:p>
    <w:p>
      <w:pPr>
        <w:spacing w:after="240" w:before="80"/>
      </w:pPr>
      <w:r>
        <w:rPr>
          <w:rFonts w:ascii="Arial" w:cs="Arial" w:eastAsia="Arial" w:hAnsi="Arial"/>
          <w:b/>
          <w:bCs/>
          <w:color w:val="0F2D52"/>
          <w:sz w:val="52"/>
          <w:szCs w:val="52"/>
        </w:rPr>
        <w:t xml:space="preserve">E-Commerce &amp; Retail Businesses</w:t>
      </w:r>
    </w:p>
    <w:p>
      <w:pPr>
        <w:spacing w:after="120" w:before="80"/>
      </w:pPr>
      <w:r>
        <w:rPr>
          <w:rFonts w:ascii="Arial" w:cs="Arial" w:eastAsia="Arial" w:hAnsi="Arial"/>
          <w:color w:val="555555"/>
          <w:sz w:val="22"/>
          <w:szCs w:val="22"/>
        </w:rPr>
        <w:t xml:space="preserve">E-commerce has compressed the world — you can sell from Sydney, warehouse in Dallas, and deliver to customers in Toronto and Frankfurt without ever meeting any of them. But every market you enter creates a new layer of tax obligation, accounting complexity, and regulatory exposure. TrueLedger helps you scale across borders without leaving a compliance trail behind.</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Hero — E-Commerce / Retail</w:t>
            </w:r>
          </w:p>
          <w:p>
            <w:pPr>
              <w:spacing w:after="0" w:before="0"/>
              <w:jc w:val="center"/>
            </w:pPr>
            <w:r>
              <w:rPr>
                <w:rFonts w:ascii="Arial" w:cs="Arial" w:eastAsia="Arial" w:hAnsi="Arial"/>
                <w:i/>
                <w:iCs/>
                <w:color w:val="555555"/>
                <w:sz w:val="20"/>
                <w:szCs w:val="20"/>
              </w:rPr>
              <w:t xml:space="preserve">Suggested: A clean, product-focused image: neatly packed orders on a fulfilment shelf, a laptop showing a modern e-commerce dashboard, or a product photography setup. Bright, commercial, confident.</w:t>
            </w:r>
          </w:p>
        </w:tc>
      </w:tr>
    </w:tbl>
    <w:p>
      <w:pPr>
        <w:spacing w:after="0" w:before="200"/>
      </w:pPr>
    </w:p>
    <w:p>
      <w:pPr>
        <w:spacing w:after="120" w:before="360"/>
      </w:pPr>
      <w:r>
        <w:rPr>
          <w:rFonts w:ascii="Arial" w:cs="Arial" w:eastAsia="Arial" w:hAnsi="Arial"/>
          <w:b/>
          <w:bCs/>
          <w:color w:val="0F2D52"/>
          <w:sz w:val="32"/>
          <w:szCs w:val="32"/>
        </w:rPr>
        <w:t xml:space="preserve">The Accounting &amp; Tax Challenges E-Commerce Businesses Face</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Multi-Jurisdiction Sales Tax / GST / VAT Compliance</w:t>
      </w:r>
    </w:p>
    <w:p>
      <w:pPr>
        <w:spacing w:after="120" w:before="80"/>
      </w:pPr>
      <w:r>
        <w:rPr>
          <w:rFonts w:ascii="Arial" w:cs="Arial" w:eastAsia="Arial" w:hAnsi="Arial"/>
          <w:color w:val="555555"/>
          <w:sz w:val="22"/>
          <w:szCs w:val="22"/>
        </w:rPr>
        <w:t xml:space="preserve">In the US alone, there are over 12,000 sales tax jurisdictions. Economic nexus thresholds vary by state. Internationally, GST registration in Australia triggers at AUD 75,000; VAT registration in the UK triggers at GBP 90,000. Selling cross-border without a compliance framework means accumulating backdated liability.</w:t>
      </w:r>
    </w:p>
    <w:p>
      <w:pPr>
        <w:spacing w:after="80" w:before="240"/>
      </w:pPr>
      <w:r>
        <w:rPr>
          <w:rFonts w:ascii="Arial" w:cs="Arial" w:eastAsia="Arial" w:hAnsi="Arial"/>
          <w:b/>
          <w:bCs/>
          <w:color w:val="00796B"/>
          <w:sz w:val="24"/>
          <w:szCs w:val="24"/>
        </w:rPr>
        <w:t xml:space="preserve">Inventory Accounting Across Multiple Fulfilment Locations</w:t>
      </w:r>
    </w:p>
    <w:p>
      <w:pPr>
        <w:spacing w:after="120" w:before="80"/>
      </w:pPr>
      <w:r>
        <w:rPr>
          <w:rFonts w:ascii="Arial" w:cs="Arial" w:eastAsia="Arial" w:hAnsi="Arial"/>
          <w:color w:val="555555"/>
          <w:sz w:val="22"/>
          <w:szCs w:val="22"/>
        </w:rPr>
        <w:t xml:space="preserve">Using Amazon FBA, Shopify Fulfillment Network, or third-party 3PLs across multiple states or countries creates inventory that moves — and the accounting must move with it. COGS calculation, inventory valuation, and write-downs for obsolete stock all require disciplined tracking.</w:t>
      </w:r>
    </w:p>
    <w:p>
      <w:pPr>
        <w:spacing w:after="80" w:before="240"/>
      </w:pPr>
      <w:r>
        <w:rPr>
          <w:rFonts w:ascii="Arial" w:cs="Arial" w:eastAsia="Arial" w:hAnsi="Arial"/>
          <w:b/>
          <w:bCs/>
          <w:color w:val="00796B"/>
          <w:sz w:val="24"/>
          <w:szCs w:val="24"/>
        </w:rPr>
        <w:t xml:space="preserve">Marketplace Facilitator Complexity</w:t>
      </w:r>
    </w:p>
    <w:p>
      <w:pPr>
        <w:spacing w:after="120" w:before="80"/>
      </w:pPr>
      <w:r>
        <w:rPr>
          <w:rFonts w:ascii="Arial" w:cs="Arial" w:eastAsia="Arial" w:hAnsi="Arial"/>
          <w:color w:val="555555"/>
          <w:sz w:val="22"/>
          <w:szCs w:val="22"/>
        </w:rPr>
        <w:t xml:space="preserve">When you sell through Amazon, Etsy, Walmart Marketplace, or similar platforms, the platform remits sales tax in many US states on your behalf — but not all. Knowing which states you still owe and which are covered by the facilitator is a moving target as state laws evolve.</w:t>
      </w:r>
    </w:p>
    <w:p>
      <w:pPr>
        <w:spacing w:after="80" w:before="240"/>
      </w:pPr>
      <w:r>
        <w:rPr>
          <w:rFonts w:ascii="Arial" w:cs="Arial" w:eastAsia="Arial" w:hAnsi="Arial"/>
          <w:b/>
          <w:bCs/>
          <w:color w:val="00796B"/>
          <w:sz w:val="24"/>
          <w:szCs w:val="24"/>
        </w:rPr>
        <w:t xml:space="preserve">Return and Refund Accounting</w:t>
      </w:r>
    </w:p>
    <w:p>
      <w:pPr>
        <w:spacing w:after="120" w:before="80"/>
      </w:pPr>
      <w:r>
        <w:rPr>
          <w:rFonts w:ascii="Arial" w:cs="Arial" w:eastAsia="Arial" w:hAnsi="Arial"/>
          <w:color w:val="555555"/>
          <w:sz w:val="22"/>
          <w:szCs w:val="22"/>
        </w:rPr>
        <w:t xml:space="preserve">High-volume e-commerce businesses can see return rates of 15–30%. Accurate revenue recognition under these conditions requires systematic treatment of refund liabilities, restocking fees, and the impact on deferred revenue for subscription or pre-order models.</w:t>
      </w:r>
    </w:p>
    <w:p>
      <w:pPr>
        <w:spacing w:after="80" w:before="240"/>
      </w:pPr>
      <w:r>
        <w:rPr>
          <w:rFonts w:ascii="Arial" w:cs="Arial" w:eastAsia="Arial" w:hAnsi="Arial"/>
          <w:b/>
          <w:bCs/>
          <w:color w:val="00796B"/>
          <w:sz w:val="24"/>
          <w:szCs w:val="24"/>
        </w:rPr>
        <w:t xml:space="preserve">Transfer Pricing for Cross-Border Brands</w:t>
      </w:r>
    </w:p>
    <w:p>
      <w:pPr>
        <w:spacing w:after="120" w:before="80"/>
      </w:pPr>
      <w:r>
        <w:rPr>
          <w:rFonts w:ascii="Arial" w:cs="Arial" w:eastAsia="Arial" w:hAnsi="Arial"/>
          <w:color w:val="555555"/>
          <w:sz w:val="22"/>
          <w:szCs w:val="22"/>
        </w:rPr>
        <w:t xml:space="preserve">If your brand operates through a network of related entities — a Singapore IP HoldCo, a US operating entity, and a distribution entity in the EU — intercompany pricing for inventory, royalties, and management services must be documented and defensible.</w:t>
      </w:r>
    </w:p>
    <w:p>
      <w:pPr>
        <w:spacing w:after="80" w:before="240"/>
      </w:pPr>
      <w:r>
        <w:rPr>
          <w:rFonts w:ascii="Arial" w:cs="Arial" w:eastAsia="Arial" w:hAnsi="Arial"/>
          <w:b/>
          <w:bCs/>
          <w:color w:val="00796B"/>
          <w:sz w:val="24"/>
          <w:szCs w:val="24"/>
        </w:rPr>
        <w:t xml:space="preserve">Customs, Duties, and Landed Cost Accounting</w:t>
      </w:r>
    </w:p>
    <w:p>
      <w:pPr>
        <w:spacing w:after="120" w:before="80"/>
      </w:pPr>
      <w:r>
        <w:rPr>
          <w:rFonts w:ascii="Arial" w:cs="Arial" w:eastAsia="Arial" w:hAnsi="Arial"/>
          <w:color w:val="555555"/>
          <w:sz w:val="22"/>
          <w:szCs w:val="22"/>
        </w:rPr>
        <w:t xml:space="preserve">For businesses manufacturing offshore and importing into the US, EU, or Australia, customs duties are a cost-of-goods item that many e-commerce operators underestimate or misclassify. Landed cost accounting — inclusive of freight, insurance, and duties — is the only way to know your true product margin.</w:t>
      </w:r>
    </w:p>
    <w:p>
      <w:pPr>
        <w:spacing w:after="0" w:before="200"/>
      </w:pPr>
    </w:p>
    <w:p>
      <w:pPr>
        <w:spacing w:after="120" w:before="360"/>
      </w:pPr>
      <w:r>
        <w:rPr>
          <w:rFonts w:ascii="Arial" w:cs="Arial" w:eastAsia="Arial" w:hAnsi="Arial"/>
          <w:b/>
          <w:bCs/>
          <w:color w:val="0F2D52"/>
          <w:sz w:val="32"/>
          <w:szCs w:val="32"/>
        </w:rPr>
        <w:t xml:space="preserve">What We Do for E-Commerce &amp; Retail Businesses</w:t>
      </w:r>
    </w:p>
    <w:p>
      <w:pPr>
        <w:pBdr>
          <w:bottom w:val="single" w:color="00796B" w:sz="8" w:space="1"/>
        </w:pBdr>
        <w:spacing w:after="200" w:before="100"/>
      </w:pPr>
    </w:p>
    <w:p>
      <w:pPr>
        <w:pStyle w:val="ListParagraph"/>
        <w:numPr>
          <w:ilvl w:val="0"/>
          <w:numId w:val="2"/>
        </w:numPr>
        <w:spacing w:after="40" w:before="120"/>
      </w:pPr>
      <w:r>
        <w:rPr>
          <w:rFonts w:ascii="Arial" w:cs="Arial" w:eastAsia="Arial" w:hAnsi="Arial"/>
          <w:b/>
          <w:bCs/>
          <w:color w:val="0F2D52"/>
          <w:sz w:val="22"/>
          <w:szCs w:val="22"/>
        </w:rPr>
        <w:t xml:space="preserve">Multi-Jurisdiction Sales Tax Compliance</w:t>
      </w:r>
    </w:p>
    <w:p>
      <w:pPr>
        <w:spacing w:after="60" w:before="0"/>
        <w:ind w:left="720"/>
      </w:pPr>
      <w:r>
        <w:rPr>
          <w:rFonts w:ascii="Arial" w:cs="Arial" w:eastAsia="Arial" w:hAnsi="Arial"/>
          <w:i/>
          <w:iCs/>
          <w:color w:val="555555"/>
          <w:sz w:val="21"/>
          <w:szCs w:val="21"/>
        </w:rPr>
        <w:t xml:space="preserve">We register, file, and remit sales tax across the US states where you have economic nexus — and navigate the marketplace facilitator rules so you are not double-filing in states where Amazon or Shopify is already remitting on your behalf.</w:t>
      </w:r>
    </w:p>
    <w:p>
      <w:pPr>
        <w:pStyle w:val="ListParagraph"/>
        <w:numPr>
          <w:ilvl w:val="0"/>
          <w:numId w:val="2"/>
        </w:numPr>
        <w:spacing w:after="40" w:before="120"/>
      </w:pPr>
      <w:r>
        <w:rPr>
          <w:rFonts w:ascii="Arial" w:cs="Arial" w:eastAsia="Arial" w:hAnsi="Arial"/>
          <w:b/>
          <w:bCs/>
          <w:color w:val="0F2D52"/>
          <w:sz w:val="22"/>
          <w:szCs w:val="22"/>
        </w:rPr>
        <w:t xml:space="preserve">International GST / VAT Registration &amp; Filing</w:t>
      </w:r>
    </w:p>
    <w:p>
      <w:pPr>
        <w:spacing w:after="60" w:before="0"/>
        <w:ind w:left="720"/>
      </w:pPr>
      <w:r>
        <w:rPr>
          <w:rFonts w:ascii="Arial" w:cs="Arial" w:eastAsia="Arial" w:hAnsi="Arial"/>
          <w:i/>
          <w:iCs/>
          <w:color w:val="555555"/>
          <w:sz w:val="21"/>
          <w:szCs w:val="21"/>
        </w:rPr>
        <w:t xml:space="preserve">We handle GST registration and quarterly BAS filings in Australia, GST/HST registration and returns in Canada, VAT registration and filing in the UK and EU — including the EU One-Stop-Shop (OSS) scheme for digital and physical goods.</w:t>
      </w:r>
    </w:p>
    <w:p>
      <w:pPr>
        <w:pStyle w:val="ListParagraph"/>
        <w:numPr>
          <w:ilvl w:val="0"/>
          <w:numId w:val="2"/>
        </w:numPr>
        <w:spacing w:after="40" w:before="120"/>
      </w:pPr>
      <w:r>
        <w:rPr>
          <w:rFonts w:ascii="Arial" w:cs="Arial" w:eastAsia="Arial" w:hAnsi="Arial"/>
          <w:b/>
          <w:bCs/>
          <w:color w:val="0F2D52"/>
          <w:sz w:val="22"/>
          <w:szCs w:val="22"/>
        </w:rPr>
        <w:t xml:space="preserve">Inventory Accounting Across Fulfilment Locations</w:t>
      </w:r>
    </w:p>
    <w:p>
      <w:pPr>
        <w:spacing w:after="60" w:before="0"/>
        <w:ind w:left="720"/>
      </w:pPr>
      <w:r>
        <w:rPr>
          <w:rFonts w:ascii="Arial" w:cs="Arial" w:eastAsia="Arial" w:hAnsi="Arial"/>
          <w:i/>
          <w:iCs/>
          <w:color w:val="555555"/>
          <w:sz w:val="21"/>
          <w:szCs w:val="21"/>
        </w:rPr>
        <w:t xml:space="preserve">We set up FIFO or weighted average inventory accounting that follows your stock across Amazon FBA, your own warehouse, and 3PL locations — producing accurate COGS and inventory balances regardless of where your product sits.</w:t>
      </w:r>
    </w:p>
    <w:p>
      <w:pPr>
        <w:pStyle w:val="ListParagraph"/>
        <w:numPr>
          <w:ilvl w:val="0"/>
          <w:numId w:val="2"/>
        </w:numPr>
        <w:spacing w:after="40" w:before="120"/>
      </w:pPr>
      <w:r>
        <w:rPr>
          <w:rFonts w:ascii="Arial" w:cs="Arial" w:eastAsia="Arial" w:hAnsi="Arial"/>
          <w:b/>
          <w:bCs/>
          <w:color w:val="0F2D52"/>
          <w:sz w:val="22"/>
          <w:szCs w:val="22"/>
        </w:rPr>
        <w:t xml:space="preserve">Amazon, Shopify &amp; Marketplace Reconciliation</w:t>
      </w:r>
    </w:p>
    <w:p>
      <w:pPr>
        <w:spacing w:after="60" w:before="0"/>
        <w:ind w:left="720"/>
      </w:pPr>
      <w:r>
        <w:rPr>
          <w:rFonts w:ascii="Arial" w:cs="Arial" w:eastAsia="Arial" w:hAnsi="Arial"/>
          <w:i/>
          <w:iCs/>
          <w:color w:val="555555"/>
          <w:sz w:val="21"/>
          <w:szCs w:val="21"/>
        </w:rPr>
        <w:t xml:space="preserve">We reconcile your marketplace payouts — netting out platform fees, FBA fulfilment charges, advertising spend, and return reserves — against your accounting records so revenue and COGS are accurately reflected, not just the net deposit.</w:t>
      </w:r>
    </w:p>
    <w:p>
      <w:pPr>
        <w:pStyle w:val="ListParagraph"/>
        <w:numPr>
          <w:ilvl w:val="0"/>
          <w:numId w:val="2"/>
        </w:numPr>
        <w:spacing w:after="40" w:before="120"/>
      </w:pPr>
      <w:r>
        <w:rPr>
          <w:rFonts w:ascii="Arial" w:cs="Arial" w:eastAsia="Arial" w:hAnsi="Arial"/>
          <w:b/>
          <w:bCs/>
          <w:color w:val="0F2D52"/>
          <w:sz w:val="22"/>
          <w:szCs w:val="22"/>
        </w:rPr>
        <w:t xml:space="preserve">Landed Cost Build-Up &amp; Product Margin Reporting</w:t>
      </w:r>
    </w:p>
    <w:p>
      <w:pPr>
        <w:spacing w:after="60" w:before="0"/>
        <w:ind w:left="720"/>
      </w:pPr>
      <w:r>
        <w:rPr>
          <w:rFonts w:ascii="Arial" w:cs="Arial" w:eastAsia="Arial" w:hAnsi="Arial"/>
          <w:i/>
          <w:iCs/>
          <w:color w:val="555555"/>
          <w:sz w:val="21"/>
          <w:szCs w:val="21"/>
        </w:rPr>
        <w:t xml:space="preserve">We build your landed cost model inclusive of supplier cost, freight, insurance, customs duties, and 3PL receiving fees — so your product margin reflects what it actually costs to get inventory to your customer, not just what you paid the factory.</w:t>
      </w:r>
    </w:p>
    <w:p>
      <w:pPr>
        <w:pStyle w:val="ListParagraph"/>
        <w:numPr>
          <w:ilvl w:val="0"/>
          <w:numId w:val="2"/>
        </w:numPr>
        <w:spacing w:after="40" w:before="120"/>
      </w:pPr>
      <w:r>
        <w:rPr>
          <w:rFonts w:ascii="Arial" w:cs="Arial" w:eastAsia="Arial" w:hAnsi="Arial"/>
          <w:b/>
          <w:bCs/>
          <w:color w:val="0F2D52"/>
          <w:sz w:val="22"/>
          <w:szCs w:val="22"/>
        </w:rPr>
        <w:t xml:space="preserve">Return &amp; Refund Liability Accounting</w:t>
      </w:r>
    </w:p>
    <w:p>
      <w:pPr>
        <w:spacing w:after="60" w:before="0"/>
        <w:ind w:left="720"/>
      </w:pPr>
      <w:r>
        <w:rPr>
          <w:rFonts w:ascii="Arial" w:cs="Arial" w:eastAsia="Arial" w:hAnsi="Arial"/>
          <w:i/>
          <w:iCs/>
          <w:color w:val="555555"/>
          <w:sz w:val="21"/>
          <w:szCs w:val="21"/>
        </w:rPr>
        <w:t xml:space="preserve">We set up a systematic refund reserve and return liability process — so high return volumes do not distort your revenue figures and your gross margin stays accurately stated month to month.</w:t>
      </w:r>
    </w:p>
    <w:p>
      <w:pPr>
        <w:pStyle w:val="ListParagraph"/>
        <w:numPr>
          <w:ilvl w:val="0"/>
          <w:numId w:val="2"/>
        </w:numPr>
        <w:spacing w:after="40" w:before="120"/>
      </w:pPr>
      <w:r>
        <w:rPr>
          <w:rFonts w:ascii="Arial" w:cs="Arial" w:eastAsia="Arial" w:hAnsi="Arial"/>
          <w:b/>
          <w:bCs/>
          <w:color w:val="0F2D52"/>
          <w:sz w:val="22"/>
          <w:szCs w:val="22"/>
        </w:rPr>
        <w:t xml:space="preserve">Transfer Pricing Documentation for Multi-Entity Brands</w:t>
      </w:r>
    </w:p>
    <w:p>
      <w:pPr>
        <w:spacing w:after="60" w:before="0"/>
        <w:ind w:left="720"/>
      </w:pPr>
      <w:r>
        <w:rPr>
          <w:rFonts w:ascii="Arial" w:cs="Arial" w:eastAsia="Arial" w:hAnsi="Arial"/>
          <w:i/>
          <w:iCs/>
          <w:color w:val="555555"/>
          <w:sz w:val="21"/>
          <w:szCs w:val="21"/>
        </w:rPr>
        <w:t xml:space="preserve">We prepare transfer pricing studies and intercompany agreements for inventory purchases, royalty arrangements, and management services between your related entities — documented to withstand scrutiny in the US, Singapore, Australia, or the UK.</w:t>
      </w:r>
    </w:p>
    <w:p>
      <w:pPr>
        <w:pStyle w:val="ListParagraph"/>
        <w:numPr>
          <w:ilvl w:val="0"/>
          <w:numId w:val="2"/>
        </w:numPr>
        <w:spacing w:after="40" w:before="120"/>
      </w:pPr>
      <w:r>
        <w:rPr>
          <w:rFonts w:ascii="Arial" w:cs="Arial" w:eastAsia="Arial" w:hAnsi="Arial"/>
          <w:b/>
          <w:bCs/>
          <w:color w:val="0F2D52"/>
          <w:sz w:val="22"/>
          <w:szCs w:val="22"/>
        </w:rPr>
        <w:t xml:space="preserve">Cross-Border Payment Processor Reconciliation</w:t>
      </w:r>
    </w:p>
    <w:p>
      <w:pPr>
        <w:spacing w:after="60" w:before="0"/>
        <w:ind w:left="720"/>
      </w:pPr>
      <w:r>
        <w:rPr>
          <w:rFonts w:ascii="Arial" w:cs="Arial" w:eastAsia="Arial" w:hAnsi="Arial"/>
          <w:i/>
          <w:iCs/>
          <w:color w:val="555555"/>
          <w:sz w:val="21"/>
          <w:szCs w:val="21"/>
        </w:rPr>
        <w:t xml:space="preserve">We reconcile Stripe, PayPal, Payoneer, and other payment processor statements against your sales records and accounting entries — clearing currency conversion differences, processing fees, and rolling reserves.</w:t>
      </w:r>
    </w:p>
    <w:p>
      <w:pPr>
        <w:pStyle w:val="ListParagraph"/>
        <w:numPr>
          <w:ilvl w:val="0"/>
          <w:numId w:val="2"/>
        </w:numPr>
        <w:spacing w:after="40" w:before="120"/>
      </w:pPr>
      <w:r>
        <w:rPr>
          <w:rFonts w:ascii="Arial" w:cs="Arial" w:eastAsia="Arial" w:hAnsi="Arial"/>
          <w:b/>
          <w:bCs/>
          <w:color w:val="0F2D52"/>
          <w:sz w:val="22"/>
          <w:szCs w:val="22"/>
        </w:rPr>
        <w:t xml:space="preserve">Sales Tax Voluntary Disclosure Agreements (VDA)</w:t>
      </w:r>
    </w:p>
    <w:p>
      <w:pPr>
        <w:spacing w:after="60" w:before="0"/>
        <w:ind w:left="720"/>
      </w:pPr>
      <w:r>
        <w:rPr>
          <w:rFonts w:ascii="Arial" w:cs="Arial" w:eastAsia="Arial" w:hAnsi="Arial"/>
          <w:i/>
          <w:iCs/>
          <w:color w:val="555555"/>
          <w:sz w:val="21"/>
          <w:szCs w:val="21"/>
        </w:rPr>
        <w:t xml:space="preserve">For businesses that have been selling without a sales tax compliance programme, we manage the VDA process in high-exposure states — quantifying historical liability, negotiating penalty abatement, and resolving backdated exposure before it becomes an audit.</w:t>
      </w:r>
    </w:p>
    <w:p>
      <w:pPr>
        <w:pStyle w:val="ListParagraph"/>
        <w:numPr>
          <w:ilvl w:val="0"/>
          <w:numId w:val="2"/>
        </w:numPr>
        <w:spacing w:after="40" w:before="120"/>
      </w:pPr>
      <w:r>
        <w:rPr>
          <w:rFonts w:ascii="Arial" w:cs="Arial" w:eastAsia="Arial" w:hAnsi="Arial"/>
          <w:b/>
          <w:bCs/>
          <w:color w:val="0F2D52"/>
          <w:sz w:val="22"/>
          <w:szCs w:val="22"/>
        </w:rPr>
        <w:t xml:space="preserve">Entity Setup for Cross-Border E-Commerce Operations</w:t>
      </w:r>
    </w:p>
    <w:p>
      <w:pPr>
        <w:spacing w:after="60" w:before="0"/>
        <w:ind w:left="720"/>
      </w:pPr>
      <w:r>
        <w:rPr>
          <w:rFonts w:ascii="Arial" w:cs="Arial" w:eastAsia="Arial" w:hAnsi="Arial"/>
          <w:i/>
          <w:iCs/>
          <w:color w:val="555555"/>
          <w:sz w:val="21"/>
          <w:szCs w:val="21"/>
        </w:rPr>
        <w:t xml:space="preserve">We advise on and implement the right entity structure for cross-border e-commerce — covering where to incorporate, how to hold the brand IP, and how to structure intercompany flows between your selling, fulfilment, and IP entities.</w:t>
      </w:r>
    </w:p>
    <w:p>
      <w:pPr>
        <w:spacing w:after="0" w:before="200"/>
      </w:pPr>
    </w:p>
    <w:p>
      <w:pPr>
        <w:spacing w:after="120" w:before="360"/>
      </w:pPr>
      <w:r>
        <w:rPr>
          <w:rFonts w:ascii="Arial" w:cs="Arial" w:eastAsia="Arial" w:hAnsi="Arial"/>
          <w:b/>
          <w:bCs/>
          <w:color w:val="0F2D52"/>
          <w:sz w:val="32"/>
          <w:szCs w:val="32"/>
        </w:rPr>
        <w:t xml:space="preserve">How TrueLedger Has Served E-Commerce &amp; Retail Clients</w:t>
      </w:r>
    </w:p>
    <w:p>
      <w:pPr>
        <w:pBdr>
          <w:bottom w:val="single" w:color="00796B" w:sz="8" w:space="1"/>
        </w:pBdr>
        <w:spacing w:after="200" w:before="100"/>
      </w:pPr>
    </w:p>
    <w:p>
      <w:pPr>
        <w:spacing w:after="80" w:before="240"/>
      </w:pPr>
      <w:r>
        <w:rPr>
          <w:rFonts w:ascii="Arial" w:cs="Arial" w:eastAsia="Arial" w:hAnsi="Arial"/>
          <w:b/>
          <w:bCs/>
          <w:color w:val="00796B"/>
          <w:sz w:val="24"/>
          <w:szCs w:val="24"/>
        </w:rPr>
        <w:t xml:space="preserve">Case Study: Australian FMCG Beverage Brand — Cross-Border Expansion</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An Australian fast-moving consumer goods company selling premium beverages had entered the US and Canadian markets through distributor relationships. AP/AR management was done manually, and there was no systematic reconciliation between the three-country operations.</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built a centralised AP/AR workflow across Australia, the US, and Canada, set up GST/HST registration and filing in Canada, structured intercompany invoicing between the Australian parent and the US entity, and delivered a unified monthly financial report in AUD with currency-adjusted subsidiary statements.</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Collection cycles shortened by 22 days on average. Intercompany balances — previously unreconciled — were cleared within the first quarter. The CFO gained a single consolidated view of the business for the first time.</w:t>
      </w:r>
    </w:p>
    <w:p>
      <w:pPr>
        <w:spacing w:after="0" w:before="200"/>
      </w:pPr>
    </w:p>
    <w:p>
      <w:pPr>
        <w:spacing w:after="80" w:before="240"/>
      </w:pPr>
      <w:r>
        <w:rPr>
          <w:rFonts w:ascii="Arial" w:cs="Arial" w:eastAsia="Arial" w:hAnsi="Arial"/>
          <w:b/>
          <w:bCs/>
          <w:color w:val="00796B"/>
          <w:sz w:val="24"/>
          <w:szCs w:val="24"/>
        </w:rPr>
        <w:t xml:space="preserve">Case Study: DTC Apparel Brand — Sales Tax Remediation</w:t>
      </w:r>
    </w:p>
    <w:p>
      <w:pPr>
        <w:spacing w:after="80" w:before="80"/>
      </w:pPr>
      <w:r>
        <w:rPr>
          <w:rFonts w:ascii="Arial" w:cs="Arial" w:eastAsia="Arial" w:hAnsi="Arial"/>
          <w:b/>
          <w:bCs/>
          <w:color w:val="0F2D52"/>
          <w:sz w:val="22"/>
          <w:szCs w:val="22"/>
        </w:rPr>
        <w:t xml:space="preserve">Situation: </w:t>
      </w:r>
      <w:r>
        <w:rPr>
          <w:rFonts w:ascii="Arial" w:cs="Arial" w:eastAsia="Arial" w:hAnsi="Arial"/>
          <w:color w:val="555555"/>
          <w:sz w:val="22"/>
          <w:szCs w:val="22"/>
        </w:rPr>
        <w:t xml:space="preserve">A direct-to-consumer apparel brand had been selling online across all 50 US states for three years without a sales tax compliance programme. Post-Wayfair economic nexus thresholds had been crossed in 28 states.</w:t>
      </w:r>
    </w:p>
    <w:p>
      <w:pPr>
        <w:spacing w:after="80" w:before="80"/>
      </w:pPr>
      <w:r>
        <w:rPr>
          <w:rFonts w:ascii="Arial" w:cs="Arial" w:eastAsia="Arial" w:hAnsi="Arial"/>
          <w:b/>
          <w:bCs/>
          <w:color w:val="0F2D52"/>
          <w:sz w:val="22"/>
          <w:szCs w:val="22"/>
        </w:rPr>
        <w:t xml:space="preserve">What We Did: </w:t>
      </w:r>
      <w:r>
        <w:rPr>
          <w:rFonts w:ascii="Arial" w:cs="Arial" w:eastAsia="Arial" w:hAnsi="Arial"/>
          <w:color w:val="555555"/>
          <w:sz w:val="22"/>
          <w:szCs w:val="22"/>
        </w:rPr>
        <w:t xml:space="preserve">TrueLedger conducted a full nexus exposure assessment, quantified the voluntary disclosure liability, managed a VDA process in the 12 highest-exposure states, and built a TaxJar-integrated compliance workflow on top of their Shopify store.</w:t>
      </w:r>
    </w:p>
    <w:p>
      <w:pPr>
        <w:spacing w:after="80" w:before="80"/>
      </w:pPr>
      <w:r>
        <w:rPr>
          <w:rFonts w:ascii="Arial" w:cs="Arial" w:eastAsia="Arial" w:hAnsi="Arial"/>
          <w:b/>
          <w:bCs/>
          <w:color w:val="0F2D52"/>
          <w:sz w:val="22"/>
          <w:szCs w:val="22"/>
        </w:rPr>
        <w:t xml:space="preserve">Result: </w:t>
      </w:r>
      <w:r>
        <w:rPr>
          <w:rFonts w:ascii="Arial" w:cs="Arial" w:eastAsia="Arial" w:hAnsi="Arial"/>
          <w:color w:val="555555"/>
          <w:sz w:val="22"/>
          <w:szCs w:val="22"/>
        </w:rPr>
        <w:t xml:space="preserve">The company resolved its pre-VDA exposure for approximately 40 cents on the dollar through penalty abatement. Sales tax compliance is now fully automated. The founder described it as removing a sword that had been hanging over the business.</w:t>
      </w:r>
    </w:p>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96B" w:sz="20"/>
              <w:bottom w:val="none" w:color="FFFFFF" w:sz="0"/>
              <w:right w:val="none" w:color="FFFFFF" w:sz="0"/>
            </w:tcBorders>
            <w:shd w:fill="E0F2F1" w:val="clear"/>
            <w:tcMar>
              <w:top w:type="dxa" w:w="160"/>
              <w:left w:type="dxa" w:w="280"/>
              <w:bottom w:type="dxa" w:w="160"/>
              <w:right w:type="dxa" w:w="280"/>
            </w:tcMar>
          </w:tcPr>
          <w:p>
            <w:pPr>
              <w:spacing w:after="100" w:before="0"/>
            </w:pPr>
            <w:r>
              <w:rPr>
                <w:rFonts w:ascii="Arial" w:cs="Arial" w:eastAsia="Arial" w:hAnsi="Arial"/>
                <w:i/>
                <w:iCs/>
                <w:color w:val="0F2D52"/>
                <w:sz w:val="22"/>
                <w:szCs w:val="22"/>
              </w:rPr>
              <w:t xml:space="preserve">“We were selling in 35 countries and our books were a mess. TrueLedger not only cleaned everything up — they built us a reporting framework that actually tells us which markets make money and which ones just look busy.”</w:t>
            </w:r>
          </w:p>
          <w:p>
            <w:pPr>
              <w:spacing w:after="0" w:before="0"/>
            </w:pPr>
            <w:r>
              <w:rPr>
                <w:rFonts w:ascii="Arial" w:cs="Arial" w:eastAsia="Arial" w:hAnsi="Arial"/>
                <w:b/>
                <w:bCs/>
                <w:color w:val="00796B"/>
                <w:sz w:val="20"/>
                <w:szCs w:val="20"/>
              </w:rPr>
              <w:t xml:space="preserve">— Co-Founder, Cross-Border E-Commerce Brand</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EEEE" w:val="clear"/>
            <w:tcMar>
              <w:top w:type="dxa" w:w="200"/>
              <w:left w:type="dxa" w:w="280"/>
              <w:bottom w:type="dxa" w:w="200"/>
              <w:right w:type="dxa" w:w="280"/>
            </w:tcMar>
          </w:tcPr>
          <w:p>
            <w:pPr>
              <w:spacing w:after="80" w:before="0"/>
              <w:jc w:val="center"/>
            </w:pPr>
            <w:r>
              <w:rPr>
                <w:rFonts w:ascii="Arial" w:cs="Arial" w:eastAsia="Arial" w:hAnsi="Arial"/>
                <w:b/>
                <w:bCs/>
                <w:color w:val="0F2D52"/>
                <w:sz w:val="22"/>
                <w:szCs w:val="22"/>
              </w:rPr>
              <w:t xml:space="preserve">IMAGE: Fulfilment / Operations</w:t>
            </w:r>
          </w:p>
          <w:p>
            <w:pPr>
              <w:spacing w:after="0" w:before="0"/>
              <w:jc w:val="center"/>
            </w:pPr>
            <w:r>
              <w:rPr>
                <w:rFonts w:ascii="Arial" w:cs="Arial" w:eastAsia="Arial" w:hAnsi="Arial"/>
                <w:i/>
                <w:iCs/>
                <w:color w:val="555555"/>
                <w:sz w:val="20"/>
                <w:szCs w:val="20"/>
              </w:rPr>
              <w:t xml:space="preserve">Suggested: A modern, organised fulfilment centre with neatly stacked products and a team member at a packing station — or a clean flat-lay of products with shipping materials. Commercial and professional in feel.</w:t>
            </w:r>
          </w:p>
        </w:tc>
      </w:tr>
    </w:tbl>
    <w:p>
      <w:pPr>
        <w:spacing w:after="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796B" w:sz="6"/>
              <w:left w:val="single" w:color="00796B" w:sz="6"/>
              <w:bottom w:val="single" w:color="00796B" w:sz="6"/>
              <w:right w:val="single" w:color="00796B" w:sz="6"/>
            </w:tcBorders>
            <w:shd w:fill="0F2D52" w:val="clear"/>
            <w:tcMar>
              <w:top w:type="dxa" w:w="280"/>
              <w:left w:type="dxa" w:w="360"/>
              <w:bottom w:type="dxa" w:w="280"/>
              <w:right w:type="dxa" w:w="360"/>
            </w:tcMar>
          </w:tcPr>
          <w:p>
            <w:pPr>
              <w:spacing w:after="120" w:before="0"/>
              <w:jc w:val="center"/>
            </w:pPr>
            <w:r>
              <w:rPr>
                <w:rFonts w:ascii="Arial" w:cs="Arial" w:eastAsia="Arial" w:hAnsi="Arial"/>
                <w:b/>
                <w:bCs/>
                <w:color w:val="FFFFFF"/>
                <w:sz w:val="36"/>
                <w:szCs w:val="36"/>
              </w:rPr>
              <w:t xml:space="preserve">Sell Everywhere. Comply Everywhere.</w:t>
            </w:r>
          </w:p>
          <w:p>
            <w:pPr>
              <w:spacing w:after="160" w:before="0"/>
              <w:jc w:val="center"/>
            </w:pPr>
            <w:r>
              <w:rPr>
                <w:rFonts w:ascii="Arial" w:cs="Arial" w:eastAsia="Arial" w:hAnsi="Arial"/>
                <w:color w:val="E0F2F1"/>
                <w:sz w:val="22"/>
                <w:szCs w:val="22"/>
              </w:rPr>
              <w:t xml:space="preserve">Talk to TrueLedger about building a cross-border accounting and tax framework for your e-commerce business.</w:t>
            </w:r>
          </w:p>
          <w:p>
            <w:pPr>
              <w:spacing w:after="0" w:before="0"/>
              <w:jc w:val="center"/>
            </w:pPr>
            <w:r>
              <w:rPr>
                <w:rFonts w:ascii="Arial" w:cs="Arial" w:eastAsia="Arial" w:hAnsi="Arial"/>
                <w:b/>
                <w:bCs/>
                <w:color w:val="00796B"/>
                <w:sz w:val="26"/>
                <w:szCs w:val="26"/>
              </w:rPr>
              <w:t xml:space="preserve">[ Book Your Consultation →  trueledger.com/ecommerce ]</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63492A42CCDEE4E8F7FEE28F531F20A" ma:contentTypeVersion="12" ma:contentTypeDescription="Create a new document." ma:contentTypeScope="" ma:versionID="a6a641ea2ccf99252a14ff8d4c444b31">
  <xsd:schema xmlns:xsd="http://www.w3.org/2001/XMLSchema" xmlns:xs="http://www.w3.org/2001/XMLSchema" xmlns:p="http://schemas.microsoft.com/office/2006/metadata/properties" xmlns:ns2="cef30164-a4c3-4162-8a8b-4155e9e518f3" xmlns:ns3="f61d0057-1c10-436f-8bff-9663835855a5" targetNamespace="http://schemas.microsoft.com/office/2006/metadata/properties" ma:root="true" ma:fieldsID="f3fead9e5f2b0a243061ace90f7e11d4" ns2:_="" ns3:_="">
    <xsd:import namespace="cef30164-a4c3-4162-8a8b-4155e9e518f3"/>
    <xsd:import namespace="f61d0057-1c10-436f-8bff-9663835855a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ef30164-a4c3-4162-8a8b-4155e9e518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44c83a3-e3cf-49a6-99e9-9c42588076c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1d0057-1c10-436f-8bff-9663835855a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e519cf9-7ec4-4af9-a7a0-6fe560d6b2d4}" ma:internalName="TaxCatchAll" ma:showField="CatchAllData" ma:web="f61d0057-1c10-436f-8bff-9663835855a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61d0057-1c10-436f-8bff-9663835855a5" xsi:nil="true"/>
    <lcf76f155ced4ddcb4097134ff3c332f xmlns="cef30164-a4c3-4162-8a8b-4155e9e518f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03A20A0-162B-4CF8-8F82-9759891FA279}"/>
</file>

<file path=customXml/itemProps2.xml><?xml version="1.0" encoding="utf-8"?>
<ds:datastoreItem xmlns:ds="http://schemas.openxmlformats.org/officeDocument/2006/customXml" ds:itemID="{57FBCCC5-50EA-4A0A-AE0B-8C968C2984A2}"/>
</file>

<file path=customXml/itemProps3.xml><?xml version="1.0" encoding="utf-8"?>
<ds:datastoreItem xmlns:ds="http://schemas.openxmlformats.org/officeDocument/2006/customXml" ds:itemID="{A7F28CD7-B985-4F6B-89DA-04DC949201DA}"/>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2026-06-23T07:39:37Z</dcterms:created>
  <dcterms:modified xsi:type="dcterms:W3CDTF">2026-06-23T07:39:37Z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0x010100663492A42CCDEE4E8F7FEE28F531F20A</vt:lpwstr>
  </property>
</Properties>
</file>