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0F2D52"/>
          <w:sz w:val="56"/>
          <w:szCs w:val="56"/>
        </w:rPr>
        <w:t xml:space="preserve">TRUELEDGER CONSULTING</w:t>
      </w:r>
    </w:p>
    <w:p>
      <w:pPr>
        <w:spacing w:after="400" w:before="0"/>
        <w:jc w:val="center"/>
      </w:pPr>
      <w:r>
        <w:rPr>
          <w:rFonts w:ascii="Arial" w:cs="Arial" w:eastAsia="Arial" w:hAnsi="Arial"/>
          <w:color w:val="00796B"/>
          <w:sz w:val="32"/>
          <w:szCs w:val="32"/>
        </w:rPr>
        <w:t xml:space="preserve">Sector Landing Pages — Content Layout</w:t>
      </w:r>
    </w:p>
    <w:p>
      <w:pPr>
        <w:pBdr>
          <w:bottom w:val="single" w:color="00796B" w:sz="8" w:space="1"/>
        </w:pBdr>
        <w:spacing w:after="200" w:before="100"/>
      </w:pPr>
    </w:p>
    <w:p>
      <w:pPr>
        <w:spacing w:after="0" w:before="400"/>
      </w:pPr>
    </w:p>
    <w:p>
      <w:pPr>
        <w:spacing w:after="160" w:before="0"/>
        <w:jc w:val="center"/>
      </w:pPr>
      <w:r>
        <w:rPr>
          <w:rFonts w:ascii="Arial" w:cs="Arial" w:eastAsia="Arial" w:hAnsi="Arial"/>
          <w:b/>
          <w:bCs/>
          <w:color w:val="555555"/>
          <w:spacing w:val="80"/>
          <w:sz w:val="22"/>
          <w:szCs w:val="22"/>
        </w:rPr>
        <w:t xml:space="preserve">FOUR SECTORS COVERED IN THIS DOCUMENT</w:t>
      </w:r>
    </w:p>
    <w:p>
      <w:pPr>
        <w:spacing w:after="0" w:before="120"/>
        <w:jc w:val="center"/>
      </w:pPr>
      <w:r>
        <w:rPr>
          <w:rFonts w:ascii="Arial" w:cs="Arial" w:eastAsia="Arial" w:hAnsi="Arial"/>
          <w:b/>
          <w:bCs/>
          <w:color w:val="0F2D52"/>
          <w:sz w:val="26"/>
          <w:szCs w:val="26"/>
        </w:rPr>
        <w:t xml:space="preserve">1.  AI, SaaS &amp; High-Growth Startups</w:t>
      </w:r>
    </w:p>
    <w:p>
      <w:pPr>
        <w:spacing w:after="0" w:before="120"/>
        <w:jc w:val="center"/>
      </w:pPr>
      <w:r>
        <w:rPr>
          <w:rFonts w:ascii="Arial" w:cs="Arial" w:eastAsia="Arial" w:hAnsi="Arial"/>
          <w:b/>
          <w:bCs/>
          <w:color w:val="0F2D52"/>
          <w:sz w:val="26"/>
          <w:szCs w:val="26"/>
        </w:rPr>
        <w:t xml:space="preserve">2.  Hospitality &amp; Restaurant Businesses</w:t>
      </w:r>
    </w:p>
    <w:p>
      <w:pPr>
        <w:spacing w:after="0" w:before="120"/>
        <w:jc w:val="center"/>
      </w:pPr>
      <w:r>
        <w:rPr>
          <w:rFonts w:ascii="Arial" w:cs="Arial" w:eastAsia="Arial" w:hAnsi="Arial"/>
          <w:b/>
          <w:bCs/>
          <w:color w:val="0F2D52"/>
          <w:sz w:val="26"/>
          <w:szCs w:val="26"/>
        </w:rPr>
        <w:t xml:space="preserve">3.  Small &amp; Mid-Size Businesses</w:t>
      </w:r>
    </w:p>
    <w:p>
      <w:pPr>
        <w:spacing w:after="0" w:before="120"/>
        <w:jc w:val="center"/>
      </w:pPr>
      <w:r>
        <w:rPr>
          <w:rFonts w:ascii="Arial" w:cs="Arial" w:eastAsia="Arial" w:hAnsi="Arial"/>
          <w:b/>
          <w:bCs/>
          <w:color w:val="0F2D52"/>
          <w:sz w:val="26"/>
          <w:szCs w:val="26"/>
        </w:rPr>
        <w:t xml:space="preserve">4.  E-Commerce &amp; Retail Businesses</w:t>
      </w:r>
    </w:p>
    <w:p>
      <w:pPr>
        <w:spacing w:after="0" w:before="600"/>
      </w:pPr>
    </w:p>
    <w:p>
      <w:pPr>
        <w:spacing w:after="80" w:before="0"/>
        <w:jc w:val="center"/>
      </w:pPr>
      <w:r>
        <w:rPr>
          <w:rFonts w:ascii="Arial" w:cs="Arial" w:eastAsia="Arial" w:hAnsi="Arial"/>
          <w:color w:val="555555"/>
          <w:sz w:val="20"/>
          <w:szCs w:val="20"/>
        </w:rPr>
        <w:t xml:space="preserve">Each section contains: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Key sectoral challenges (accounting, tax, compliance)</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TrueLedger service offering mapped to sector needs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Real client engagement case studies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Client testimonial block</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Imagery suggestions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Call to Action</w:t>
      </w:r>
    </w:p>
    <w:p>
      <w:pPr>
        <w:spacing w:after="0" w:before="800"/>
      </w:pPr>
    </w:p>
    <w:p>
      <w:pPr>
        <w:spacing w:after="0" w:before="0"/>
        <w:jc w:val="center"/>
      </w:pPr>
      <w:r>
        <w:rPr>
          <w:rFonts w:ascii="Arial" w:cs="Arial" w:eastAsia="Arial" w:hAnsi="Arial"/>
          <w:color w:val="CCCCCC"/>
          <w:sz w:val="18"/>
          <w:szCs w:val="18"/>
        </w:rPr>
        <w:t xml:space="preserve">trueledger.com  |  Prepared June 2026</w:t>
      </w:r>
    </w:p>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AI, SaaS &amp; High-Growth Startups</w:t>
      </w:r>
    </w:p>
    <w:p>
      <w:pPr>
        <w:spacing w:after="120" w:before="80"/>
      </w:pPr>
      <w:r>
        <w:rPr>
          <w:rFonts w:ascii="Arial" w:cs="Arial" w:eastAsia="Arial" w:hAnsi="Arial"/>
          <w:color w:val="555555"/>
          <w:sz w:val="22"/>
          <w:szCs w:val="22"/>
        </w:rPr>
        <w:t xml:space="preserve">You are building at speed. Your equity structure, international team, and product revenue model create tax and compliance complexity most traditional accountants are not equipped to handle. TrueLedger is.</w:t>
      </w:r>
    </w:p>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Hero — AI/SaaS Startup</w:t>
            </w:r>
          </w:p>
          <w:p>
            <w:pPr>
              <w:spacing w:after="0" w:before="0"/>
              <w:jc w:val="center"/>
            </w:pPr>
            <w:r>
              <w:rPr>
                <w:rFonts w:ascii="Arial" w:cs="Arial" w:eastAsia="Arial" w:hAnsi="Arial"/>
                <w:i/>
                <w:iCs/>
                <w:color w:val="555555"/>
                <w:sz w:val="20"/>
                <w:szCs w:val="20"/>
              </w:rPr>
              <w:t xml:space="preserve">Suggested: Abstract tech imagery: a clean workspace with dual screens showing code/dashboards, or a founder presenting to investors in a modern glass office. Cool blue tones. Avoid clichéd lightbulb or robot imagery.</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Founders Face</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Entity Structure for Fundraising</w:t>
      </w:r>
    </w:p>
    <w:p>
      <w:pPr>
        <w:spacing w:after="120" w:before="80"/>
      </w:pPr>
      <w:r>
        <w:rPr>
          <w:rFonts w:ascii="Arial" w:cs="Arial" w:eastAsia="Arial" w:hAnsi="Arial"/>
          <w:color w:val="555555"/>
          <w:sz w:val="22"/>
          <w:szCs w:val="22"/>
        </w:rPr>
        <w:t xml:space="preserve">Choosing the right holding and operating entity structure — Delaware C-Corp, Singapore HoldCo, or a hybrid — before your Series A has significant downstream consequences on investor eligibility, QSBS treatment, and cross-border IP ownership.</w:t>
      </w:r>
    </w:p>
    <w:p>
      <w:pPr>
        <w:spacing w:after="80" w:before="200"/>
      </w:pPr>
      <w:r>
        <w:rPr>
          <w:rFonts w:ascii="Arial" w:cs="Arial" w:eastAsia="Arial" w:hAnsi="Arial"/>
          <w:b/>
          <w:bCs/>
          <w:color w:val="00796B"/>
          <w:sz w:val="24"/>
          <w:szCs w:val="24"/>
        </w:rPr>
        <w:t xml:space="preserve">Revenue Recognition Under ASC 606 / IFRS 15</w:t>
      </w:r>
    </w:p>
    <w:p>
      <w:pPr>
        <w:spacing w:after="120" w:before="80"/>
      </w:pPr>
      <w:r>
        <w:rPr>
          <w:rFonts w:ascii="Arial" w:cs="Arial" w:eastAsia="Arial" w:hAnsi="Arial"/>
          <w:color w:val="555555"/>
          <w:sz w:val="22"/>
          <w:szCs w:val="22"/>
        </w:rPr>
        <w:t xml:space="preserve">Subscription revenue, usage-based pricing, and professional services bundling all require careful deferred revenue treatment. Misclassification is a red flag during due diligence and a material issue at IPO.</w:t>
      </w:r>
    </w:p>
    <w:p>
      <w:pPr>
        <w:spacing w:after="80" w:before="200"/>
      </w:pPr>
      <w:r>
        <w:rPr>
          <w:rFonts w:ascii="Arial" w:cs="Arial" w:eastAsia="Arial" w:hAnsi="Arial"/>
          <w:b/>
          <w:bCs/>
          <w:color w:val="00796B"/>
          <w:sz w:val="24"/>
          <w:szCs w:val="24"/>
        </w:rPr>
        <w:t xml:space="preserve">R&amp;D Tax Credits Across Jurisdictions</w:t>
      </w:r>
    </w:p>
    <w:p>
      <w:pPr>
        <w:spacing w:after="120" w:before="80"/>
      </w:pPr>
      <w:r>
        <w:rPr>
          <w:rFonts w:ascii="Arial" w:cs="Arial" w:eastAsia="Arial" w:hAnsi="Arial"/>
          <w:color w:val="555555"/>
          <w:sz w:val="22"/>
          <w:szCs w:val="22"/>
        </w:rPr>
        <w:t xml:space="preserve">Whether you qualify for the US Section 41 R&amp;D credit, the UK's RDEC scheme, or India's weighted deduction under Section 35(2AB) depends on where your engineers sit, what they are building, and how costs are allocated — across entities.</w:t>
      </w:r>
    </w:p>
    <w:p>
      <w:pPr>
        <w:spacing w:after="80" w:before="200"/>
      </w:pPr>
      <w:r>
        <w:rPr>
          <w:rFonts w:ascii="Arial" w:cs="Arial" w:eastAsia="Arial" w:hAnsi="Arial"/>
          <w:b/>
          <w:bCs/>
          <w:color w:val="00796B"/>
          <w:sz w:val="24"/>
          <w:szCs w:val="24"/>
        </w:rPr>
        <w:t xml:space="preserve">Transfer Pricing on IP and Shared Services</w:t>
      </w:r>
    </w:p>
    <w:p>
      <w:pPr>
        <w:spacing w:after="120" w:before="80"/>
      </w:pPr>
      <w:r>
        <w:rPr>
          <w:rFonts w:ascii="Arial" w:cs="Arial" w:eastAsia="Arial" w:hAnsi="Arial"/>
          <w:color w:val="555555"/>
          <w:sz w:val="22"/>
          <w:szCs w:val="22"/>
        </w:rPr>
        <w:t xml:space="preserve">If your product is built in one country and licensed to customers globally through another entity, transfer pricing documentation is not optional. Getting this wrong at the startup stage creates costly restructuring later.</w:t>
      </w:r>
    </w:p>
    <w:p>
      <w:pPr>
        <w:spacing w:after="80" w:before="200"/>
      </w:pPr>
      <w:r>
        <w:rPr>
          <w:rFonts w:ascii="Arial" w:cs="Arial" w:eastAsia="Arial" w:hAnsi="Arial"/>
          <w:b/>
          <w:bCs/>
          <w:color w:val="00796B"/>
          <w:sz w:val="24"/>
          <w:szCs w:val="24"/>
        </w:rPr>
        <w:t xml:space="preserve">ESOP / Stock Option Tax Complexities</w:t>
      </w:r>
    </w:p>
    <w:p>
      <w:pPr>
        <w:spacing w:after="120" w:before="80"/>
      </w:pPr>
      <w:r>
        <w:rPr>
          <w:rFonts w:ascii="Arial" w:cs="Arial" w:eastAsia="Arial" w:hAnsi="Arial"/>
          <w:color w:val="555555"/>
          <w:sz w:val="22"/>
          <w:szCs w:val="22"/>
        </w:rPr>
        <w:t xml:space="preserve">US ISOs vs NQSOs, Indian ESOP taxation at exercise vs vesting, Singapore ESOP exemptions — each regime has different tax trigger points. Your employees in Mumbai, Austin, and Singapore face different obligations from the same grant.</w:t>
      </w:r>
    </w:p>
    <w:p>
      <w:pPr>
        <w:spacing w:after="80" w:before="200"/>
      </w:pPr>
      <w:r>
        <w:rPr>
          <w:rFonts w:ascii="Arial" w:cs="Arial" w:eastAsia="Arial" w:hAnsi="Arial"/>
          <w:b/>
          <w:bCs/>
          <w:color w:val="00796B"/>
          <w:sz w:val="24"/>
          <w:szCs w:val="24"/>
        </w:rPr>
        <w:t xml:space="preserve">Managing Burn Rate Accounting Integrity</w:t>
      </w:r>
    </w:p>
    <w:p>
      <w:pPr>
        <w:spacing w:after="120" w:before="80"/>
      </w:pPr>
      <w:r>
        <w:rPr>
          <w:rFonts w:ascii="Arial" w:cs="Arial" w:eastAsia="Arial" w:hAnsi="Arial"/>
          <w:color w:val="555555"/>
          <w:sz w:val="22"/>
          <w:szCs w:val="22"/>
        </w:rPr>
        <w:t xml:space="preserve">Board reporting requires clean, consistent management accounts. Investors need GAAP-quality financials with consistent treatment of deferred revenue, capitalized development costs, and accurate headcount cost allocation.</w:t>
      </w:r>
    </w:p>
    <w:p>
      <w:pPr>
        <w:spacing w:after="0" w:before="200"/>
      </w:pPr>
    </w:p>
    <w:p>
      <w:pPr>
        <w:spacing w:after="120" w:before="360"/>
      </w:pPr>
      <w:r>
        <w:rPr>
          <w:rFonts w:ascii="Arial" w:cs="Arial" w:eastAsia="Arial" w:hAnsi="Arial"/>
          <w:b/>
          <w:bCs/>
          <w:color w:val="0F2D52"/>
          <w:sz w:val="32"/>
          <w:szCs w:val="32"/>
        </w:rPr>
        <w:t xml:space="preserve">What TrueLedger Does for AI &amp; SaaS Companies</w:t>
      </w:r>
    </w:p>
    <w:p>
      <w:pPr>
        <w:pBdr>
          <w:bottom w:val="single" w:color="00796B" w:sz="8"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D52" w:val="clear"/>
            <w:tcMar>
              <w:top w:type="dxa" w:w="120"/>
              <w:left w:type="dxa" w:w="160"/>
              <w:bottom w:type="dxa" w:w="120"/>
              <w:right w:type="dxa" w:w="160"/>
            </w:tcMar>
          </w:tcPr>
          <w:p>
            <w:r>
              <w:rPr>
                <w:rFonts w:ascii="Arial" w:cs="Arial" w:eastAsia="Arial" w:hAnsi="Arial"/>
                <w:b/>
                <w:bCs/>
                <w:color w:val="FFFFFF"/>
                <w:sz w:val="22"/>
                <w:szCs w:val="22"/>
              </w:rPr>
              <w:t xml:space="preserve">Service Area</w:t>
            </w:r>
          </w:p>
        </w:tc>
        <w:tc>
          <w:tcPr>
            <w:tcW w:type="dxa" w:w="4680"/>
            <w:tcBorders>
              <w:top w:val="single" w:color="CCCCCC" w:sz="1"/>
              <w:left w:val="single" w:color="CCCCCC" w:sz="1"/>
              <w:bottom w:val="single" w:color="CCCCCC" w:sz="1"/>
              <w:right w:val="single" w:color="CCCCCC" w:sz="1"/>
            </w:tcBorders>
            <w:shd w:fill="00796B" w:val="clear"/>
            <w:tcMar>
              <w:top w:type="dxa" w:w="120"/>
              <w:left w:type="dxa" w:w="160"/>
              <w:bottom w:type="dxa" w:w="120"/>
              <w:right w:type="dxa" w:w="160"/>
            </w:tcMar>
          </w:tcPr>
          <w:p>
            <w:r>
              <w:rPr>
                <w:rFonts w:ascii="Arial" w:cs="Arial" w:eastAsia="Arial" w:hAnsi="Arial"/>
                <w:b/>
                <w:bCs/>
                <w:color w:val="FFFFFF"/>
                <w:sz w:val="22"/>
                <w:szCs w:val="22"/>
              </w:rPr>
              <w:t xml:space="preserve">Delivered By TrueLedger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Entity setup — US C-Corp, Singapore HoldCo, India subsidiary</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Payroll compliance — multi-state US, contractor vs employee 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Revenue recognition policy documentation (ASC 606 / IFRS 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Sales tax / GST / VAT nexus analysis for SaaS subscription 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R&amp;D credit analysis and documentation across jurisdictions</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409A valuations coordination and cap table accounting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Transfer pricing study and intercompany agreements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Cash flow forecasting and runway modelling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ESOP tax advisory — US, India, Singapore, Canada, Australia</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Audit-readiness assessment and Big 4 audit liaison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Monthly close and board-ready management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Annual statutory filings across all active jurisdictions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Investor-ready financial models and data room preparation</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White-glove onboarding for post-incorporation accounting setup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SPAC / M&amp;A due diligence financial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CFO Advisory on an outsourced or fractional basis</w:t>
            </w:r>
          </w:p>
        </w:tc>
      </w:tr>
    </w:tbl>
    <w:p>
      <w:pPr>
        <w:spacing w:after="0" w:before="200"/>
      </w:pPr>
    </w:p>
    <w:p>
      <w:pPr>
        <w:spacing w:after="120" w:before="360"/>
      </w:pPr>
      <w:r>
        <w:rPr>
          <w:rFonts w:ascii="Arial" w:cs="Arial" w:eastAsia="Arial" w:hAnsi="Arial"/>
          <w:b/>
          <w:bCs/>
          <w:color w:val="0F2D52"/>
          <w:sz w:val="32"/>
          <w:szCs w:val="32"/>
        </w:rPr>
        <w:t xml:space="preserve">How TrueLedger Has Served Founders Like You</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Case Study: Defense Tech Startup — India-to-US Restructure</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defense technology startup founded by two IIT engineers had built significant IP in an Indian private limited company. They needed a US C-Corp in Delaware to pursue SBIR grants and institutional VC investment while maintaining Indian operations.</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designed a holding structure with IP licensed from the Indian entity to the US C-Corp under an arm's length arrangement, prepared the transfer pricing documentation, coordinated multi-jurisdiction tax opinions, and set up consolidated reporting across both entities for investor reporting.</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founders closed their Seed round six weeks after entity setup, with clean cap table accounting and a data room that passed Big 4 diligence without rework.</w:t>
      </w:r>
    </w:p>
    <w:p>
      <w:pPr>
        <w:spacing w:after="0" w:before="200"/>
      </w:pPr>
    </w:p>
    <w:p>
      <w:pPr>
        <w:spacing w:after="80" w:before="200"/>
      </w:pPr>
      <w:r>
        <w:rPr>
          <w:rFonts w:ascii="Arial" w:cs="Arial" w:eastAsia="Arial" w:hAnsi="Arial"/>
          <w:b/>
          <w:bCs/>
          <w:color w:val="00796B"/>
          <w:sz w:val="24"/>
          <w:szCs w:val="24"/>
        </w:rPr>
        <w:t xml:space="preserve">Case Study: SaaS Founder — SPAC Transaction Support</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SaaS founder approached TrueLedger during a SPAC merger process. The target company had inconsistent revenue recognition treatment across subscription tiers and lacked board-quality financials.</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restated 24 months of financials under ASC 606, built a clean deferred revenue schedule, reconciled stock-based compensation, and produced investor-grade comparative statements within the SPAC timeline.</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company completed the SPAC process without a restatement flag from the SEC comment letter. The CFO credited TrueLedger's work as critical to keeping the deal on track.</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“We had Big 4 auditors reviewing our books and TrueLedger had already cleaned everything up. The audit took a fraction of the time it would have otherwise. For a Series B company, that kind of financial rigour is not optional — it is expected.”</w:t>
            </w:r>
          </w:p>
          <w:p>
            <w:pPr>
              <w:spacing w:after="0" w:before="0"/>
            </w:pPr>
            <w:r>
              <w:rPr>
                <w:rFonts w:ascii="Arial" w:cs="Arial" w:eastAsia="Arial" w:hAnsi="Arial"/>
                <w:b/>
                <w:bCs/>
                <w:color w:val="00796B"/>
                <w:sz w:val="20"/>
                <w:szCs w:val="20"/>
              </w:rPr>
              <w:t xml:space="preserve">— CEO, SaaS Startup (Identity withheld per NDA)</w:t>
            </w:r>
          </w:p>
        </w:tc>
      </w:tr>
    </w:tbl>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Client Success / Founders</w:t>
            </w:r>
          </w:p>
          <w:p>
            <w:pPr>
              <w:spacing w:after="0" w:before="0"/>
              <w:jc w:val="center"/>
            </w:pPr>
            <w:r>
              <w:rPr>
                <w:rFonts w:ascii="Arial" w:cs="Arial" w:eastAsia="Arial" w:hAnsi="Arial"/>
                <w:i/>
                <w:iCs/>
                <w:color w:val="555555"/>
                <w:sz w:val="20"/>
                <w:szCs w:val="20"/>
              </w:rPr>
              <w:t xml:space="preserve">Suggested: Two or three professionals in a startup setting reviewing financial dashboards on large screens — ideally diverse, modern office, natural light. No stock-photo handshake imagery.</w:t>
            </w:r>
          </w:p>
        </w:tc>
      </w:tr>
    </w:tbl>
    <w:p>
      <w:pPr>
        <w:spacing w:after="0" w:before="200"/>
      </w:pPr>
    </w:p>
    <w:tbl>
      <w:tblPr>
        <w:tblW w:type="dxa" w:w="9360"/>
        <w:tblBorders>
          <w:top w:val="single" w:color="00796B" w:sz="6"/>
          <w:left w:val="single" w:color="00796B" w:sz="6"/>
          <w:bottom w:val="single" w:color="00796B" w:sz="6"/>
          <w:right w:val="single" w:color="00796B" w:sz="6"/>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Ready to Build on a Solid Financial Foundation?</w:t>
            </w:r>
          </w:p>
          <w:p>
            <w:pPr>
              <w:spacing w:after="160" w:before="0"/>
              <w:jc w:val="center"/>
            </w:pPr>
            <w:r>
              <w:rPr>
                <w:rFonts w:ascii="Arial" w:cs="Arial" w:eastAsia="Arial" w:hAnsi="Arial"/>
                <w:color w:val="E0F2F1"/>
                <w:sz w:val="22"/>
                <w:szCs w:val="22"/>
              </w:rPr>
              <w:t xml:space="preserve">Schedule a complimentary 30-minute consultation with TrueLedger's startup advisory team.</w:t>
            </w:r>
          </w:p>
          <w:p>
            <w:pPr>
              <w:spacing w:after="0" w:before="0"/>
              <w:jc w:val="center"/>
            </w:pPr>
            <w:r>
              <w:rPr>
                <w:rFonts w:ascii="Arial" w:cs="Arial" w:eastAsia="Arial" w:hAnsi="Arial"/>
                <w:b/>
                <w:bCs/>
                <w:color w:val="00796B"/>
                <w:sz w:val="26"/>
                <w:szCs w:val="26"/>
              </w:rPr>
              <w:t xml:space="preserve">[ Book Your Consultation →  trueledger.com/startups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Hospitality &amp; Restaurant Businesses</w:t>
      </w:r>
    </w:p>
    <w:p>
      <w:pPr>
        <w:spacing w:after="120" w:before="80"/>
      </w:pPr>
      <w:r>
        <w:rPr>
          <w:rFonts w:ascii="Arial" w:cs="Arial" w:eastAsia="Arial" w:hAnsi="Arial"/>
          <w:color w:val="555555"/>
          <w:sz w:val="22"/>
          <w:szCs w:val="22"/>
        </w:rPr>
        <w:t xml:space="preserve">Running a restaurant — or a group of them — means managing wafer-thin margins, multi-location complexity, seasonal cash flows, and a workforce that spans tipped employees, contract staff, and kitchen teams across states. TrueLedger understands the hospitality P&amp;L in a way most generalist accountants do not.</w:t>
      </w:r>
    </w:p>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Hero — Hospitality / Restaurant</w:t>
            </w:r>
          </w:p>
          <w:p>
            <w:pPr>
              <w:spacing w:after="0" w:before="0"/>
              <w:jc w:val="center"/>
            </w:pPr>
            <w:r>
              <w:rPr>
                <w:rFonts w:ascii="Arial" w:cs="Arial" w:eastAsia="Arial" w:hAnsi="Arial"/>
                <w:i/>
                <w:iCs/>
                <w:color w:val="555555"/>
                <w:sz w:val="20"/>
                <w:szCs w:val="20"/>
              </w:rPr>
              <w:t xml:space="preserve">Suggested: A well-lit, busy restaurant interior: tables in service, a bartender at work, or a beautifully plated dish with a chic dining room in the background. Warm amber/gold tones. Avoid food delivery app or fast-food imagery.</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Restaurant Operators Face</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Multi-Location Financial Consolidation</w:t>
      </w:r>
    </w:p>
    <w:p>
      <w:pPr>
        <w:spacing w:after="120" w:before="80"/>
      </w:pPr>
      <w:r>
        <w:rPr>
          <w:rFonts w:ascii="Arial" w:cs="Arial" w:eastAsia="Arial" w:hAnsi="Arial"/>
          <w:color w:val="555555"/>
          <w:sz w:val="22"/>
          <w:szCs w:val="22"/>
        </w:rPr>
        <w:t xml:space="preserve">Operating three locations feels manageable until each location has its own entity, its own bank account, its own POS system, and its own lease. Getting a consolidated view of the business — location by location and in total — requires more than a spreadsheet.</w:t>
      </w:r>
    </w:p>
    <w:p>
      <w:pPr>
        <w:spacing w:after="80" w:before="200"/>
      </w:pPr>
      <w:r>
        <w:rPr>
          <w:rFonts w:ascii="Arial" w:cs="Arial" w:eastAsia="Arial" w:hAnsi="Arial"/>
          <w:b/>
          <w:bCs/>
          <w:color w:val="00796B"/>
          <w:sz w:val="24"/>
          <w:szCs w:val="24"/>
        </w:rPr>
        <w:t xml:space="preserve">Food &amp; Beverage Cost Variance</w:t>
      </w:r>
    </w:p>
    <w:p>
      <w:pPr>
        <w:spacing w:after="120" w:before="80"/>
      </w:pPr>
      <w:r>
        <w:rPr>
          <w:rFonts w:ascii="Arial" w:cs="Arial" w:eastAsia="Arial" w:hAnsi="Arial"/>
          <w:color w:val="555555"/>
          <w:sz w:val="22"/>
          <w:szCs w:val="22"/>
        </w:rPr>
        <w:t xml:space="preserve">Inventory spoilage, supplier price changes, and kitchen waste can swing your F&amp;B cost percentage by three to five points week-to-week. Without weekly cost-of-goods discipline, you find out at month-end that margins have eroded.</w:t>
      </w:r>
    </w:p>
    <w:p>
      <w:pPr>
        <w:spacing w:after="80" w:before="200"/>
      </w:pPr>
      <w:r>
        <w:rPr>
          <w:rFonts w:ascii="Arial" w:cs="Arial" w:eastAsia="Arial" w:hAnsi="Arial"/>
          <w:b/>
          <w:bCs/>
          <w:color w:val="00796B"/>
          <w:sz w:val="24"/>
          <w:szCs w:val="24"/>
        </w:rPr>
        <w:t xml:space="preserve">Tip Pooling, Tipped Credit, and Payroll Compliance</w:t>
      </w:r>
    </w:p>
    <w:p>
      <w:pPr>
        <w:spacing w:after="120" w:before="80"/>
      </w:pPr>
      <w:r>
        <w:rPr>
          <w:rFonts w:ascii="Arial" w:cs="Arial" w:eastAsia="Arial" w:hAnsi="Arial"/>
          <w:color w:val="555555"/>
          <w:sz w:val="22"/>
          <w:szCs w:val="22"/>
        </w:rPr>
        <w:t xml:space="preserve">US restaurants must navigate FICA tip credit calculations, state-level tip pooling rules, and the DOL's regulations on service charges vs voluntary gratuities. Payroll errors in this space attract audits and substantial back-pay liability.</w:t>
      </w:r>
    </w:p>
    <w:p>
      <w:pPr>
        <w:spacing w:after="80" w:before="200"/>
      </w:pPr>
      <w:r>
        <w:rPr>
          <w:rFonts w:ascii="Arial" w:cs="Arial" w:eastAsia="Arial" w:hAnsi="Arial"/>
          <w:b/>
          <w:bCs/>
          <w:color w:val="00796B"/>
          <w:sz w:val="24"/>
          <w:szCs w:val="24"/>
        </w:rPr>
        <w:t xml:space="preserve">Sales Tax Across Multiple States and Jurisdictions</w:t>
      </w:r>
    </w:p>
    <w:p>
      <w:pPr>
        <w:spacing w:after="120" w:before="80"/>
      </w:pPr>
      <w:r>
        <w:rPr>
          <w:rFonts w:ascii="Arial" w:cs="Arial" w:eastAsia="Arial" w:hAnsi="Arial"/>
          <w:color w:val="555555"/>
          <w:sz w:val="22"/>
          <w:szCs w:val="22"/>
        </w:rPr>
        <w:t xml:space="preserve">If you operate in more than one state — or deliver across state lines — sales tax obligations on food, beverages, and catering are inconsistent jurisdiction by jurisdiction. What is taxable in Texas may be exempt in New York.</w:t>
      </w:r>
    </w:p>
    <w:p>
      <w:pPr>
        <w:spacing w:after="80" w:before="200"/>
      </w:pPr>
      <w:r>
        <w:rPr>
          <w:rFonts w:ascii="Arial" w:cs="Arial" w:eastAsia="Arial" w:hAnsi="Arial"/>
          <w:b/>
          <w:bCs/>
          <w:color w:val="00796B"/>
          <w:sz w:val="24"/>
          <w:szCs w:val="24"/>
        </w:rPr>
        <w:t xml:space="preserve">Working Capital Seasonality</w:t>
      </w:r>
    </w:p>
    <w:p>
      <w:pPr>
        <w:spacing w:after="120" w:before="80"/>
      </w:pPr>
      <w:r>
        <w:rPr>
          <w:rFonts w:ascii="Arial" w:cs="Arial" w:eastAsia="Arial" w:hAnsi="Arial"/>
          <w:color w:val="555555"/>
          <w:sz w:val="22"/>
          <w:szCs w:val="22"/>
        </w:rPr>
        <w:t xml:space="preserve">Hospitality businesses run lean between service peaks. Without rolling cash flow forecasts tied to covers, covers-per-turn, and average check, you are flying blind during the slow season.</w:t>
      </w:r>
    </w:p>
    <w:p>
      <w:pPr>
        <w:spacing w:after="80" w:before="200"/>
      </w:pPr>
      <w:r>
        <w:rPr>
          <w:rFonts w:ascii="Arial" w:cs="Arial" w:eastAsia="Arial" w:hAnsi="Arial"/>
          <w:b/>
          <w:bCs/>
          <w:color w:val="00796B"/>
          <w:sz w:val="24"/>
          <w:szCs w:val="24"/>
        </w:rPr>
        <w:t xml:space="preserve">Entity Structure for Expansion</w:t>
      </w:r>
    </w:p>
    <w:p>
      <w:pPr>
        <w:spacing w:after="120" w:before="80"/>
      </w:pPr>
      <w:r>
        <w:rPr>
          <w:rFonts w:ascii="Arial" w:cs="Arial" w:eastAsia="Arial" w:hAnsi="Arial"/>
          <w:color w:val="555555"/>
          <w:sz w:val="22"/>
          <w:szCs w:val="22"/>
        </w:rPr>
        <w:t xml:space="preserve">Opening a second or third location in a new state requires not just a new lease — it requires a review of your entity structure (LLC vs S-Corp vs C-Corp), inter-company rent or management fee arrangements, and state-level nexus obligations.</w:t>
      </w:r>
    </w:p>
    <w:p>
      <w:pPr>
        <w:spacing w:after="0" w:before="200"/>
      </w:pPr>
    </w:p>
    <w:p>
      <w:pPr>
        <w:spacing w:after="120" w:before="360"/>
      </w:pPr>
      <w:r>
        <w:rPr>
          <w:rFonts w:ascii="Arial" w:cs="Arial" w:eastAsia="Arial" w:hAnsi="Arial"/>
          <w:b/>
          <w:bCs/>
          <w:color w:val="0F2D52"/>
          <w:sz w:val="32"/>
          <w:szCs w:val="32"/>
        </w:rPr>
        <w:t xml:space="preserve">What TrueLedger Does for Hospitality Businesses</w:t>
      </w:r>
    </w:p>
    <w:p>
      <w:pPr>
        <w:pBdr>
          <w:bottom w:val="single" w:color="00796B" w:sz="8"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D52" w:val="clear"/>
            <w:tcMar>
              <w:top w:type="dxa" w:w="120"/>
              <w:left w:type="dxa" w:w="160"/>
              <w:bottom w:type="dxa" w:w="120"/>
              <w:right w:type="dxa" w:w="160"/>
            </w:tcMar>
          </w:tcPr>
          <w:p>
            <w:r>
              <w:rPr>
                <w:rFonts w:ascii="Arial" w:cs="Arial" w:eastAsia="Arial" w:hAnsi="Arial"/>
                <w:b/>
                <w:bCs/>
                <w:color w:val="FFFFFF"/>
                <w:sz w:val="22"/>
                <w:szCs w:val="22"/>
              </w:rPr>
              <w:t xml:space="preserve">Service Area</w:t>
            </w:r>
          </w:p>
        </w:tc>
        <w:tc>
          <w:tcPr>
            <w:tcW w:type="dxa" w:w="4680"/>
            <w:tcBorders>
              <w:top w:val="single" w:color="CCCCCC" w:sz="1"/>
              <w:left w:val="single" w:color="CCCCCC" w:sz="1"/>
              <w:bottom w:val="single" w:color="CCCCCC" w:sz="1"/>
              <w:right w:val="single" w:color="CCCCCC" w:sz="1"/>
            </w:tcBorders>
            <w:shd w:fill="00796B" w:val="clear"/>
            <w:tcMar>
              <w:top w:type="dxa" w:w="120"/>
              <w:left w:type="dxa" w:w="160"/>
              <w:bottom w:type="dxa" w:w="120"/>
              <w:right w:type="dxa" w:w="160"/>
            </w:tcMar>
          </w:tcPr>
          <w:p>
            <w:r>
              <w:rPr>
                <w:rFonts w:ascii="Arial" w:cs="Arial" w:eastAsia="Arial" w:hAnsi="Arial"/>
                <w:b/>
                <w:bCs/>
                <w:color w:val="FFFFFF"/>
                <w:sz w:val="22"/>
                <w:szCs w:val="22"/>
              </w:rPr>
              <w:t xml:space="preserve">Delivered By TrueLedger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Multi-location chart of accounts setup and consolidation</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Monthly close with location-level and consolidated P&amp;L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Weekly / monthly F&amp;B cost tracking and variance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Cash flow forecasting tied to covers and revenue per seat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POS system reconciliation (Toast, Square, Lightspeed, Revel)</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State sales tax compliance and filing (food, beverage, catering)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Tip credit calculation and FICA tip credit filing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Working capital advisory and lender reporting support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Multi-state payroll compliance and sales tax registration</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Section 179 / bonus depreciation planning on equipment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Entity structure review for restaurant group expansion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Year-end tax planning and entity-level tax filings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Franchise fee and royalty accounting</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SBA loan documentation and financial covenant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Lease accounting (ASC 842) for multi-location operators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New state registration and multi-state nexus management</w:t>
            </w:r>
          </w:p>
        </w:tc>
      </w:tr>
    </w:tbl>
    <w:p>
      <w:pPr>
        <w:spacing w:after="0" w:before="200"/>
      </w:pPr>
    </w:p>
    <w:p>
      <w:pPr>
        <w:spacing w:after="120" w:before="360"/>
      </w:pPr>
      <w:r>
        <w:rPr>
          <w:rFonts w:ascii="Arial" w:cs="Arial" w:eastAsia="Arial" w:hAnsi="Arial"/>
          <w:b/>
          <w:bCs/>
          <w:color w:val="0F2D52"/>
          <w:sz w:val="32"/>
          <w:szCs w:val="32"/>
        </w:rPr>
        <w:t xml:space="preserve">How TrueLedger Has Served Restaurant Operators</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Case Study: Multi-State Restaurant Chain Launch</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restaurant group was launching its second and third locations simultaneously — one in Texas and one in Illinois — while managing existing New York operations. Each location had separate investors and different entity structures inherited from early deal-making.</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consolidated the group's chart of accounts across three states, set up inter-company management fee agreements, registered for sales tax nexus in Illinois and Texas, designed a unified payroll workflow including tip credit calculations, and delivered a monthly consolidated P&amp;L alongside individual location statements.</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group's CFO reduced month-end close time from 14 days to 5 days. Investor reporting became routine rather than a quarterly scramble. Sales tax audits in two states were resolved without penalties.</w:t>
      </w:r>
    </w:p>
    <w:p>
      <w:pPr>
        <w:spacing w:after="0" w:before="200"/>
      </w:pPr>
    </w:p>
    <w:p>
      <w:pPr>
        <w:spacing w:after="80" w:before="200"/>
      </w:pPr>
      <w:r>
        <w:rPr>
          <w:rFonts w:ascii="Arial" w:cs="Arial" w:eastAsia="Arial" w:hAnsi="Arial"/>
          <w:b/>
          <w:bCs/>
          <w:color w:val="00796B"/>
          <w:sz w:val="24"/>
          <w:szCs w:val="24"/>
        </w:rPr>
        <w:t xml:space="preserve">Case Study: Catering &amp; Events Business — Cash Flow Restructure</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high-end catering company with annual revenue of approximately USD 4M was experiencing recurring cash crunches between large event bookings, despite strong overall profitability.</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rebuilt their booking-to-cash model, tied deposits and milestone billing to event timelines, introduced rolling 13-week cash flow forecasting, and restructured their working capital facility with their bank using properly prepared management accounts.</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business eliminated overdraft dependency within two quarters. The owner reported having clear visibility into cash for the first time in six years of operation.</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“TrueLedger did not just do our books — they understood what running a restaurant actually looks like. They knew what a covers report meant and why F&amp;B cost percentage is the number I look at first every week.”</w:t>
            </w:r>
          </w:p>
          <w:p>
            <w:pPr>
              <w:spacing w:after="0" w:before="0"/>
            </w:pPr>
            <w:r>
              <w:rPr>
                <w:rFonts w:ascii="Arial" w:cs="Arial" w:eastAsia="Arial" w:hAnsi="Arial"/>
                <w:b/>
                <w:bCs/>
                <w:color w:val="00796B"/>
                <w:sz w:val="20"/>
                <w:szCs w:val="20"/>
              </w:rPr>
              <w:t xml:space="preserve">— Founder, Multi-Location Restaurant Group</w:t>
            </w:r>
          </w:p>
        </w:tc>
      </w:tr>
    </w:tbl>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Operations / Back Office</w:t>
            </w:r>
          </w:p>
          <w:p>
            <w:pPr>
              <w:spacing w:after="0" w:before="0"/>
              <w:jc w:val="center"/>
            </w:pPr>
            <w:r>
              <w:rPr>
                <w:rFonts w:ascii="Arial" w:cs="Arial" w:eastAsia="Arial" w:hAnsi="Arial"/>
                <w:i/>
                <w:iCs/>
                <w:color w:val="555555"/>
                <w:sz w:val="20"/>
                <w:szCs w:val="20"/>
              </w:rPr>
              <w:t xml:space="preserve">Suggested: A restaurant manager reviewing a tablet or laptop with financial data in a professional back-of-house setting. Or an overhead shot of a well-organised kitchen service. Natural, documentary feel — not staged.</w:t>
            </w:r>
          </w:p>
        </w:tc>
      </w:tr>
    </w:tbl>
    <w:p>
      <w:pPr>
        <w:spacing w:after="0" w:before="200"/>
      </w:pPr>
    </w:p>
    <w:tbl>
      <w:tblPr>
        <w:tblW w:type="dxa" w:w="9360"/>
        <w:tblBorders>
          <w:top w:val="single" w:color="00796B" w:sz="6"/>
          <w:left w:val="single" w:color="00796B" w:sz="6"/>
          <w:bottom w:val="single" w:color="00796B" w:sz="6"/>
          <w:right w:val="single" w:color="00796B" w:sz="6"/>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Let's Talk About Your Restaurant's Numbers.</w:t>
            </w:r>
          </w:p>
          <w:p>
            <w:pPr>
              <w:spacing w:after="160" w:before="0"/>
              <w:jc w:val="center"/>
            </w:pPr>
            <w:r>
              <w:rPr>
                <w:rFonts w:ascii="Arial" w:cs="Arial" w:eastAsia="Arial" w:hAnsi="Arial"/>
                <w:color w:val="E0F2F1"/>
                <w:sz w:val="22"/>
                <w:szCs w:val="22"/>
              </w:rPr>
              <w:t xml:space="preserve">Book a free 30-minute session with a TrueLedger hospitality specialist — no generalists.</w:t>
            </w:r>
          </w:p>
          <w:p>
            <w:pPr>
              <w:spacing w:after="0" w:before="0"/>
              <w:jc w:val="center"/>
            </w:pPr>
            <w:r>
              <w:rPr>
                <w:rFonts w:ascii="Arial" w:cs="Arial" w:eastAsia="Arial" w:hAnsi="Arial"/>
                <w:b/>
                <w:bCs/>
                <w:color w:val="00796B"/>
                <w:sz w:val="26"/>
                <w:szCs w:val="26"/>
              </w:rPr>
              <w:t xml:space="preserve">[ Book Your Consultation →  trueledger.com/hospitality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Small &amp; Mid-Size Businesses</w:t>
      </w:r>
    </w:p>
    <w:p>
      <w:pPr>
        <w:spacing w:after="120" w:before="80"/>
      </w:pPr>
      <w:r>
        <w:rPr>
          <w:rFonts w:ascii="Arial" w:cs="Arial" w:eastAsia="Arial" w:hAnsi="Arial"/>
          <w:color w:val="555555"/>
          <w:sz w:val="22"/>
          <w:szCs w:val="22"/>
        </w:rPr>
        <w:t xml:space="preserve">Most SMBs outgrow their bookkeeper before they realise it. At TrueLedger, we provide small and mid-size businesses with the financial infrastructure — accounting, tax, and advisory — that lets owners make decisions with confidence and present to banks, investors, and acquirers without embarrassment.</w:t>
      </w:r>
    </w:p>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Hero — SMB Owner</w:t>
            </w:r>
          </w:p>
          <w:p>
            <w:pPr>
              <w:spacing w:after="0" w:before="0"/>
              <w:jc w:val="center"/>
            </w:pPr>
            <w:r>
              <w:rPr>
                <w:rFonts w:ascii="Arial" w:cs="Arial" w:eastAsia="Arial" w:hAnsi="Arial"/>
                <w:i/>
                <w:iCs/>
                <w:color w:val="555555"/>
                <w:sz w:val="20"/>
                <w:szCs w:val="20"/>
              </w:rPr>
              <w:t xml:space="preserve">Suggested: A business owner — confident, professional, in their own environment (warehouse, retail floor, or office) — reviewing documents or a screen with purpose. Warm, real-world setting. Not a stock-photo handshake or person pointing at a whiteboard.</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SMBs Navigate</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Outgrowing Basic Bookkeeping</w:t>
      </w:r>
    </w:p>
    <w:p>
      <w:pPr>
        <w:spacing w:after="120" w:before="80"/>
      </w:pPr>
      <w:r>
        <w:rPr>
          <w:rFonts w:ascii="Arial" w:cs="Arial" w:eastAsia="Arial" w:hAnsi="Arial"/>
          <w:color w:val="555555"/>
          <w:sz w:val="22"/>
          <w:szCs w:val="22"/>
        </w:rPr>
        <w:t xml:space="preserve">When revenue crosses the USD 1–2M threshold, basic bookkeeping stops being enough. Banks, lenders, and buyers expect GAAP-quality financials, not a QuickBooks export. Most SMBs hit this wall when they need it least — mid-negotiation.</w:t>
      </w:r>
    </w:p>
    <w:p>
      <w:pPr>
        <w:spacing w:after="80" w:before="200"/>
      </w:pPr>
      <w:r>
        <w:rPr>
          <w:rFonts w:ascii="Arial" w:cs="Arial" w:eastAsia="Arial" w:hAnsi="Arial"/>
          <w:b/>
          <w:bCs/>
          <w:color w:val="00796B"/>
          <w:sz w:val="24"/>
          <w:szCs w:val="24"/>
        </w:rPr>
        <w:t xml:space="preserve">Owner Tax Efficiency</w:t>
      </w:r>
    </w:p>
    <w:p>
      <w:pPr>
        <w:spacing w:after="120" w:before="80"/>
      </w:pPr>
      <w:r>
        <w:rPr>
          <w:rFonts w:ascii="Arial" w:cs="Arial" w:eastAsia="Arial" w:hAnsi="Arial"/>
          <w:color w:val="555555"/>
          <w:sz w:val="22"/>
          <w:szCs w:val="22"/>
        </w:rPr>
        <w:t xml:space="preserve">S-Corp election timing, reasonable compensation benchmarks, pass-through deduction eligibility under Section 199A, and retirement account structuring (SEP-IRA, Solo 401k, defined benefit) are decisions that can shift effective tax rates by five to ten percentage points. Most SMB owners are not getting this advice.</w:t>
      </w:r>
    </w:p>
    <w:p>
      <w:pPr>
        <w:spacing w:after="80" w:before="200"/>
      </w:pPr>
      <w:r>
        <w:rPr>
          <w:rFonts w:ascii="Arial" w:cs="Arial" w:eastAsia="Arial" w:hAnsi="Arial"/>
          <w:b/>
          <w:bCs/>
          <w:color w:val="00796B"/>
          <w:sz w:val="24"/>
          <w:szCs w:val="24"/>
        </w:rPr>
        <w:t xml:space="preserve">Multi-State Expansion Complexity</w:t>
      </w:r>
    </w:p>
    <w:p>
      <w:pPr>
        <w:spacing w:after="120" w:before="80"/>
      </w:pPr>
      <w:r>
        <w:rPr>
          <w:rFonts w:ascii="Arial" w:cs="Arial" w:eastAsia="Arial" w:hAnsi="Arial"/>
          <w:color w:val="555555"/>
          <w:sz w:val="22"/>
          <w:szCs w:val="22"/>
        </w:rPr>
        <w:t xml:space="preserve">As soon as an SMB hires a remote employee, opens a satellite office, or starts selling in a new state, they have created nexus and potentially triggered income tax, payroll tax, and sales tax obligations. This is almost always discovered retrospectively — and often expensively.</w:t>
      </w:r>
    </w:p>
    <w:p>
      <w:pPr>
        <w:spacing w:after="80" w:before="200"/>
      </w:pPr>
      <w:r>
        <w:rPr>
          <w:rFonts w:ascii="Arial" w:cs="Arial" w:eastAsia="Arial" w:hAnsi="Arial"/>
          <w:b/>
          <w:bCs/>
          <w:color w:val="00796B"/>
          <w:sz w:val="24"/>
          <w:szCs w:val="24"/>
        </w:rPr>
        <w:t xml:space="preserve">Banking and Lender Readiness</w:t>
      </w:r>
    </w:p>
    <w:p>
      <w:pPr>
        <w:spacing w:after="120" w:before="80"/>
      </w:pPr>
      <w:r>
        <w:rPr>
          <w:rFonts w:ascii="Arial" w:cs="Arial" w:eastAsia="Arial" w:hAnsi="Arial"/>
          <w:color w:val="555555"/>
          <w:sz w:val="22"/>
          <w:szCs w:val="22"/>
        </w:rPr>
        <w:t xml:space="preserve">SBA loans, commercial real estate financing, and working capital lines require clean, current financials presented in a format lenders understand. Disorganised books are not just an inconvenience — they are a deal-stopper.</w:t>
      </w:r>
    </w:p>
    <w:p>
      <w:pPr>
        <w:spacing w:after="80" w:before="200"/>
      </w:pPr>
      <w:r>
        <w:rPr>
          <w:rFonts w:ascii="Arial" w:cs="Arial" w:eastAsia="Arial" w:hAnsi="Arial"/>
          <w:b/>
          <w:bCs/>
          <w:color w:val="00796B"/>
          <w:sz w:val="24"/>
          <w:szCs w:val="24"/>
        </w:rPr>
        <w:t xml:space="preserve">Succession and Exit Planning</w:t>
      </w:r>
    </w:p>
    <w:p>
      <w:pPr>
        <w:spacing w:after="120" w:before="80"/>
      </w:pPr>
      <w:r>
        <w:rPr>
          <w:rFonts w:ascii="Arial" w:cs="Arial" w:eastAsia="Arial" w:hAnsi="Arial"/>
          <w:color w:val="555555"/>
          <w:sz w:val="22"/>
          <w:szCs w:val="22"/>
        </w:rPr>
        <w:t xml:space="preserve">A business sale is the most consequential financial event in an SMB owner's life. The difference between an asset sale and a stock sale, the availability of qualified opportunity zone treatment, and the timing of owner compensation before closing can each have six-figure tax consequences.</w:t>
      </w:r>
    </w:p>
    <w:p>
      <w:pPr>
        <w:spacing w:after="80" w:before="200"/>
      </w:pPr>
      <w:r>
        <w:rPr>
          <w:rFonts w:ascii="Arial" w:cs="Arial" w:eastAsia="Arial" w:hAnsi="Arial"/>
          <w:b/>
          <w:bCs/>
          <w:color w:val="00796B"/>
          <w:sz w:val="24"/>
          <w:szCs w:val="24"/>
        </w:rPr>
        <w:t xml:space="preserve">Cross-Border Complexity for Owner-Operated Businesses</w:t>
      </w:r>
    </w:p>
    <w:p>
      <w:pPr>
        <w:spacing w:after="120" w:before="80"/>
      </w:pPr>
      <w:r>
        <w:rPr>
          <w:rFonts w:ascii="Arial" w:cs="Arial" w:eastAsia="Arial" w:hAnsi="Arial"/>
          <w:color w:val="555555"/>
          <w:sz w:val="22"/>
          <w:szCs w:val="22"/>
        </w:rPr>
        <w:t xml:space="preserve">Many SMB owners in the US are foreign nationals with reporting obligations in their home country — FBAR, FATCA, PFIC rules, or treaty elections — running alongside their US business obligations. These two worlds need coordinating.</w:t>
      </w:r>
    </w:p>
    <w:p>
      <w:pPr>
        <w:spacing w:after="0" w:before="200"/>
      </w:pPr>
    </w:p>
    <w:p>
      <w:pPr>
        <w:spacing w:after="120" w:before="360"/>
      </w:pPr>
      <w:r>
        <w:rPr>
          <w:rFonts w:ascii="Arial" w:cs="Arial" w:eastAsia="Arial" w:hAnsi="Arial"/>
          <w:b/>
          <w:bCs/>
          <w:color w:val="0F2D52"/>
          <w:sz w:val="32"/>
          <w:szCs w:val="32"/>
        </w:rPr>
        <w:t xml:space="preserve">What TrueLedger Does for SMBs</w:t>
      </w:r>
    </w:p>
    <w:p>
      <w:pPr>
        <w:pBdr>
          <w:bottom w:val="single" w:color="00796B" w:sz="8"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D52" w:val="clear"/>
            <w:tcMar>
              <w:top w:type="dxa" w:w="120"/>
              <w:left w:type="dxa" w:w="160"/>
              <w:bottom w:type="dxa" w:w="120"/>
              <w:right w:type="dxa" w:w="160"/>
            </w:tcMar>
          </w:tcPr>
          <w:p>
            <w:r>
              <w:rPr>
                <w:rFonts w:ascii="Arial" w:cs="Arial" w:eastAsia="Arial" w:hAnsi="Arial"/>
                <w:b/>
                <w:bCs/>
                <w:color w:val="FFFFFF"/>
                <w:sz w:val="22"/>
                <w:szCs w:val="22"/>
              </w:rPr>
              <w:t xml:space="preserve">Service Area</w:t>
            </w:r>
          </w:p>
        </w:tc>
        <w:tc>
          <w:tcPr>
            <w:tcW w:type="dxa" w:w="4680"/>
            <w:tcBorders>
              <w:top w:val="single" w:color="CCCCCC" w:sz="1"/>
              <w:left w:val="single" w:color="CCCCCC" w:sz="1"/>
              <w:bottom w:val="single" w:color="CCCCCC" w:sz="1"/>
              <w:right w:val="single" w:color="CCCCCC" w:sz="1"/>
            </w:tcBorders>
            <w:shd w:fill="00796B" w:val="clear"/>
            <w:tcMar>
              <w:top w:type="dxa" w:w="120"/>
              <w:left w:type="dxa" w:w="160"/>
              <w:bottom w:type="dxa" w:w="120"/>
              <w:right w:type="dxa" w:w="160"/>
            </w:tcMar>
          </w:tcPr>
          <w:p>
            <w:r>
              <w:rPr>
                <w:rFonts w:ascii="Arial" w:cs="Arial" w:eastAsia="Arial" w:hAnsi="Arial"/>
                <w:b/>
                <w:bCs/>
                <w:color w:val="FFFFFF"/>
                <w:sz w:val="22"/>
                <w:szCs w:val="22"/>
              </w:rPr>
              <w:t xml:space="preserve">Delivered By TrueLedger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Monthly close and financial reporting (cash and accrual basis)</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Bank and lender package preparation (SBA, commercial, LOC)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Annual tax preparation — federal, state, and local (business +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Cash flow forecasting and working capital advisory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S-Corp election analysis and reasonable compensation benchmarking</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Owner retirement plan structuring (SEP-IRA, Solo 401k, DB plan)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Section 199A pass-through deduction planning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Buy-sell agreement accounting review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Multi-state nexus review and compliance</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Exit readiness — financial normalisation and EBITDA packaging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State income and franchise tax registration and filings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Asset vs stock sale tax modelling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Sales tax / VAT compliance across active states</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Cross-border owner obligations (FBAR, FATCA, treaty elections)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Payroll processing and employer tax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QuickBooks / Xero clean-up and chart of accounts restructure</w:t>
            </w:r>
          </w:p>
        </w:tc>
      </w:tr>
    </w:tbl>
    <w:p>
      <w:pPr>
        <w:spacing w:after="0" w:before="200"/>
      </w:pPr>
    </w:p>
    <w:p>
      <w:pPr>
        <w:spacing w:after="120" w:before="360"/>
      </w:pPr>
      <w:r>
        <w:rPr>
          <w:rFonts w:ascii="Arial" w:cs="Arial" w:eastAsia="Arial" w:hAnsi="Arial"/>
          <w:b/>
          <w:bCs/>
          <w:color w:val="0F2D52"/>
          <w:sz w:val="32"/>
          <w:szCs w:val="32"/>
        </w:rPr>
        <w:t xml:space="preserve">How TrueLedger Has Served SMB Owners</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Case Study: Professional Services Firm — Owner Tax Restructure</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two-partner consulting firm was operating as a general partnership and paying income taxes at the highest marginal rate with no retirement planning in place. Combined federal and state effective tax rate was approaching 48%.</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restructured the business as an S-Corporation, established reasonable compensation benchmarks for both partners, set up defined benefit plans, and modelled the impact of the Section 199A deduction on their taxable income.</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Combined effective tax rate reduced to approximately 32% in the first full year. The partners recovered the cost of restructuring within the first four months of the plan's operation.</w:t>
      </w:r>
    </w:p>
    <w:p>
      <w:pPr>
        <w:spacing w:after="0" w:before="200"/>
      </w:pPr>
    </w:p>
    <w:p>
      <w:pPr>
        <w:spacing w:after="80" w:before="200"/>
      </w:pPr>
      <w:r>
        <w:rPr>
          <w:rFonts w:ascii="Arial" w:cs="Arial" w:eastAsia="Arial" w:hAnsi="Arial"/>
          <w:b/>
          <w:bCs/>
          <w:color w:val="00796B"/>
          <w:sz w:val="24"/>
          <w:szCs w:val="24"/>
        </w:rPr>
        <w:t xml:space="preserve">Case Study: Manufacturing SMB — Lender Package Preparation</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mid-size manufacturing business sought an SBA 7(a) loan to acquire a competitor. Their books were maintained on a cash basis by an in-house bookkeeper and were not presented in a format the SBA preferred.</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converted two years of financials to accrual basis, normalised owner compensation, prepared a detailed accounts receivable aging, produced three-year projections with supporting assumptions, and delivered a loan package the lender described as one of the cleanest they had reviewed.</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SBA loan approved in 11 weeks. The acquisition closed on schedule. The business retained TrueLedger for ongoing accounting and annual tax work.</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“I had been using the same bookkeeper for seven years. When I decided to sell the business, my broker told me the books were not presentable. TrueLedger fixed two years of financials in six weeks and we closed the deal. I wish I had made the switch earlier.”</w:t>
            </w:r>
          </w:p>
          <w:p>
            <w:pPr>
              <w:spacing w:after="0" w:before="0"/>
            </w:pPr>
            <w:r>
              <w:rPr>
                <w:rFonts w:ascii="Arial" w:cs="Arial" w:eastAsia="Arial" w:hAnsi="Arial"/>
                <w:b/>
                <w:bCs/>
                <w:color w:val="00796B"/>
                <w:sz w:val="20"/>
                <w:szCs w:val="20"/>
              </w:rPr>
              <w:t xml:space="preserve">— Owner, Industrial Services Business</w:t>
            </w:r>
          </w:p>
        </w:tc>
      </w:tr>
    </w:tbl>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Business Owner / Advisory Setting</w:t>
            </w:r>
          </w:p>
          <w:p>
            <w:pPr>
              <w:spacing w:after="0" w:before="0"/>
              <w:jc w:val="center"/>
            </w:pPr>
            <w:r>
              <w:rPr>
                <w:rFonts w:ascii="Arial" w:cs="Arial" w:eastAsia="Arial" w:hAnsi="Arial"/>
                <w:i/>
                <w:iCs/>
                <w:color w:val="555555"/>
                <w:sz w:val="20"/>
                <w:szCs w:val="20"/>
              </w:rPr>
              <w:t xml:space="preserve">Suggested: A professional meeting between a business owner and an advisor across a clean desk — documents visible, relaxed but purposeful atmosphere. Could be in a modern office or a well-lit co-working space. Authentic, not staged.</w:t>
            </w:r>
          </w:p>
        </w:tc>
      </w:tr>
    </w:tbl>
    <w:p>
      <w:pPr>
        <w:spacing w:after="0" w:before="200"/>
      </w:pPr>
    </w:p>
    <w:tbl>
      <w:tblPr>
        <w:tblW w:type="dxa" w:w="9360"/>
        <w:tblBorders>
          <w:top w:val="single" w:color="00796B" w:sz="6"/>
          <w:left w:val="single" w:color="00796B" w:sz="6"/>
          <w:bottom w:val="single" w:color="00796B" w:sz="6"/>
          <w:right w:val="single" w:color="00796B" w:sz="6"/>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Your Business Deserves Better Than Basic Bookkeeping.</w:t>
            </w:r>
          </w:p>
          <w:p>
            <w:pPr>
              <w:spacing w:after="160" w:before="0"/>
              <w:jc w:val="center"/>
            </w:pPr>
            <w:r>
              <w:rPr>
                <w:rFonts w:ascii="Arial" w:cs="Arial" w:eastAsia="Arial" w:hAnsi="Arial"/>
                <w:color w:val="E0F2F1"/>
                <w:sz w:val="22"/>
                <w:szCs w:val="22"/>
              </w:rPr>
              <w:t xml:space="preserve">Talk to a TrueLedger advisor — we specialise in SMBs that are ready to grow, raise, or exit.</w:t>
            </w:r>
          </w:p>
          <w:p>
            <w:pPr>
              <w:spacing w:after="0" w:before="0"/>
              <w:jc w:val="center"/>
            </w:pPr>
            <w:r>
              <w:rPr>
                <w:rFonts w:ascii="Arial" w:cs="Arial" w:eastAsia="Arial" w:hAnsi="Arial"/>
                <w:b/>
                <w:bCs/>
                <w:color w:val="00796B"/>
                <w:sz w:val="26"/>
                <w:szCs w:val="26"/>
              </w:rPr>
              <w:t xml:space="preserve">[ Book Your Consultation →  trueledger.com/sme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E-Commerce &amp; Retail Businesses</w:t>
      </w:r>
    </w:p>
    <w:p>
      <w:pPr>
        <w:spacing w:after="120" w:before="80"/>
      </w:pPr>
      <w:r>
        <w:rPr>
          <w:rFonts w:ascii="Arial" w:cs="Arial" w:eastAsia="Arial" w:hAnsi="Arial"/>
          <w:color w:val="555555"/>
          <w:sz w:val="22"/>
          <w:szCs w:val="22"/>
        </w:rPr>
        <w:t xml:space="preserve">E-commerce has compressed the world — you can sell from Sydney, warehouse in Dallas, and deliver to customers in Toronto and Frankfurt without ever meeting any of them. But every market you enter creates a new layer of tax obligation, accounting complexity, and regulatory exposure. TrueLedger helps you scale across borders without leaving a compliance trail behind.</w:t>
      </w:r>
    </w:p>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Hero — E-Commerce / Retail</w:t>
            </w:r>
          </w:p>
          <w:p>
            <w:pPr>
              <w:spacing w:after="0" w:before="0"/>
              <w:jc w:val="center"/>
            </w:pPr>
            <w:r>
              <w:rPr>
                <w:rFonts w:ascii="Arial" w:cs="Arial" w:eastAsia="Arial" w:hAnsi="Arial"/>
                <w:i/>
                <w:iCs/>
                <w:color w:val="555555"/>
                <w:sz w:val="20"/>
                <w:szCs w:val="20"/>
              </w:rPr>
              <w:t xml:space="preserve">Suggested: A clean, product-focused image: neatly packed orders on a fulfilment shelf, a laptop showing a modern e-commerce dashboard, or a product photography setup. Bright, commercial, confident. Avoid generic cardboard boxes or shopping cart icons.</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E-Commerce Businesses Face</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Multi-Jurisdiction Sales Tax / GST / VAT Compliance</w:t>
      </w:r>
    </w:p>
    <w:p>
      <w:pPr>
        <w:spacing w:after="120" w:before="80"/>
      </w:pPr>
      <w:r>
        <w:rPr>
          <w:rFonts w:ascii="Arial" w:cs="Arial" w:eastAsia="Arial" w:hAnsi="Arial"/>
          <w:color w:val="555555"/>
          <w:sz w:val="22"/>
          <w:szCs w:val="22"/>
        </w:rPr>
        <w:t xml:space="preserve">In the US alone, there are over 12,000 sales tax jurisdictions. Economic nexus thresholds vary by state. Internationally, GST registration in Australia triggers at AUD 75,000 in revenue; VAT registration in the UK triggers at GBP 90,000. Selling cross-border without a compliance framework means accumulating backdated liability.</w:t>
      </w:r>
    </w:p>
    <w:p>
      <w:pPr>
        <w:spacing w:after="80" w:before="200"/>
      </w:pPr>
      <w:r>
        <w:rPr>
          <w:rFonts w:ascii="Arial" w:cs="Arial" w:eastAsia="Arial" w:hAnsi="Arial"/>
          <w:b/>
          <w:bCs/>
          <w:color w:val="00796B"/>
          <w:sz w:val="24"/>
          <w:szCs w:val="24"/>
        </w:rPr>
        <w:t xml:space="preserve">Inventory Accounting Across Multiple Fulfillment Locations</w:t>
      </w:r>
    </w:p>
    <w:p>
      <w:pPr>
        <w:spacing w:after="120" w:before="80"/>
      </w:pPr>
      <w:r>
        <w:rPr>
          <w:rFonts w:ascii="Arial" w:cs="Arial" w:eastAsia="Arial" w:hAnsi="Arial"/>
          <w:color w:val="555555"/>
          <w:sz w:val="22"/>
          <w:szCs w:val="22"/>
        </w:rPr>
        <w:t xml:space="preserve">Using Amazon FBA, Shopify Fulfillment Network, or third-party 3PLs across multiple states or countries creates inventory that moves — and the accounting must move with it. COGS calculation, inventory valuation (FIFO vs weighted average), and write-downs for obsolete stock all require disciplined tracking.</w:t>
      </w:r>
    </w:p>
    <w:p>
      <w:pPr>
        <w:spacing w:after="80" w:before="200"/>
      </w:pPr>
      <w:r>
        <w:rPr>
          <w:rFonts w:ascii="Arial" w:cs="Arial" w:eastAsia="Arial" w:hAnsi="Arial"/>
          <w:b/>
          <w:bCs/>
          <w:color w:val="00796B"/>
          <w:sz w:val="24"/>
          <w:szCs w:val="24"/>
        </w:rPr>
        <w:t xml:space="preserve">Marketplace Facilitator Complexity</w:t>
      </w:r>
    </w:p>
    <w:p>
      <w:pPr>
        <w:spacing w:after="120" w:before="80"/>
      </w:pPr>
      <w:r>
        <w:rPr>
          <w:rFonts w:ascii="Arial" w:cs="Arial" w:eastAsia="Arial" w:hAnsi="Arial"/>
          <w:color w:val="555555"/>
          <w:sz w:val="22"/>
          <w:szCs w:val="22"/>
        </w:rPr>
        <w:t xml:space="preserve">When you sell through Amazon, Etsy, Walmart Marketplace, or similar platforms, the platform remits sales tax in many US states on your behalf — but not all. Knowing which states you still owe and which are covered by the facilitator is a moving target as state laws evolve.</w:t>
      </w:r>
    </w:p>
    <w:p>
      <w:pPr>
        <w:spacing w:after="80" w:before="200"/>
      </w:pPr>
      <w:r>
        <w:rPr>
          <w:rFonts w:ascii="Arial" w:cs="Arial" w:eastAsia="Arial" w:hAnsi="Arial"/>
          <w:b/>
          <w:bCs/>
          <w:color w:val="00796B"/>
          <w:sz w:val="24"/>
          <w:szCs w:val="24"/>
        </w:rPr>
        <w:t xml:space="preserve">Return and Refund Accounting</w:t>
      </w:r>
    </w:p>
    <w:p>
      <w:pPr>
        <w:spacing w:after="120" w:before="80"/>
      </w:pPr>
      <w:r>
        <w:rPr>
          <w:rFonts w:ascii="Arial" w:cs="Arial" w:eastAsia="Arial" w:hAnsi="Arial"/>
          <w:color w:val="555555"/>
          <w:sz w:val="22"/>
          <w:szCs w:val="22"/>
        </w:rPr>
        <w:t xml:space="preserve">High-volume e-commerce businesses can see return rates of 15–30%. Accurate revenue recognition under these conditions requires systematic treatment of refund liabilities, restocking fees, and the impact on deferred revenue for subscription or pre-order models.</w:t>
      </w:r>
    </w:p>
    <w:p>
      <w:pPr>
        <w:spacing w:after="80" w:before="200"/>
      </w:pPr>
      <w:r>
        <w:rPr>
          <w:rFonts w:ascii="Arial" w:cs="Arial" w:eastAsia="Arial" w:hAnsi="Arial"/>
          <w:b/>
          <w:bCs/>
          <w:color w:val="00796B"/>
          <w:sz w:val="24"/>
          <w:szCs w:val="24"/>
        </w:rPr>
        <w:t xml:space="preserve">Transfer Pricing for Cross-Border Brands</w:t>
      </w:r>
    </w:p>
    <w:p>
      <w:pPr>
        <w:spacing w:after="120" w:before="80"/>
      </w:pPr>
      <w:r>
        <w:rPr>
          <w:rFonts w:ascii="Arial" w:cs="Arial" w:eastAsia="Arial" w:hAnsi="Arial"/>
          <w:color w:val="555555"/>
          <w:sz w:val="22"/>
          <w:szCs w:val="22"/>
        </w:rPr>
        <w:t xml:space="preserve">If your brand sells globally through a network of related entities — a Singapore IP HoldCo, a US operating entity, and a distribution entity in the EU — intercompany pricing for inventory, royalties, and management services must be documented and defensible.</w:t>
      </w:r>
    </w:p>
    <w:p>
      <w:pPr>
        <w:spacing w:after="80" w:before="200"/>
      </w:pPr>
      <w:r>
        <w:rPr>
          <w:rFonts w:ascii="Arial" w:cs="Arial" w:eastAsia="Arial" w:hAnsi="Arial"/>
          <w:b/>
          <w:bCs/>
          <w:color w:val="00796B"/>
          <w:sz w:val="24"/>
          <w:szCs w:val="24"/>
        </w:rPr>
        <w:t xml:space="preserve">Customs, Duties, and Landed Cost Accounting</w:t>
      </w:r>
    </w:p>
    <w:p>
      <w:pPr>
        <w:spacing w:after="120" w:before="80"/>
      </w:pPr>
      <w:r>
        <w:rPr>
          <w:rFonts w:ascii="Arial" w:cs="Arial" w:eastAsia="Arial" w:hAnsi="Arial"/>
          <w:color w:val="555555"/>
          <w:sz w:val="22"/>
          <w:szCs w:val="22"/>
        </w:rPr>
        <w:t xml:space="preserve">For businesses manufacturing offshore and importing into the US, EU, or Australia, customs duties are a cost-of-goods item that many e-commerce operators underestimate or misclassify. Landed cost accounting — inclusive of freight, insurance, and duties — is the only way to know your true product margin.</w:t>
      </w:r>
    </w:p>
    <w:p>
      <w:pPr>
        <w:spacing w:after="0" w:before="200"/>
      </w:pPr>
    </w:p>
    <w:p>
      <w:pPr>
        <w:spacing w:after="120" w:before="360"/>
      </w:pPr>
      <w:r>
        <w:rPr>
          <w:rFonts w:ascii="Arial" w:cs="Arial" w:eastAsia="Arial" w:hAnsi="Arial"/>
          <w:b/>
          <w:bCs/>
          <w:color w:val="0F2D52"/>
          <w:sz w:val="32"/>
          <w:szCs w:val="32"/>
        </w:rPr>
        <w:t xml:space="preserve">What TrueLedger Does for E-Commerce &amp; Retail Businesses</w:t>
      </w:r>
    </w:p>
    <w:p>
      <w:pPr>
        <w:pBdr>
          <w:bottom w:val="single" w:color="00796B" w:sz="8"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D52" w:val="clear"/>
            <w:tcMar>
              <w:top w:type="dxa" w:w="120"/>
              <w:left w:type="dxa" w:w="160"/>
              <w:bottom w:type="dxa" w:w="120"/>
              <w:right w:type="dxa" w:w="160"/>
            </w:tcMar>
          </w:tcPr>
          <w:p>
            <w:r>
              <w:rPr>
                <w:rFonts w:ascii="Arial" w:cs="Arial" w:eastAsia="Arial" w:hAnsi="Arial"/>
                <w:b/>
                <w:bCs/>
                <w:color w:val="FFFFFF"/>
                <w:sz w:val="22"/>
                <w:szCs w:val="22"/>
              </w:rPr>
              <w:t xml:space="preserve">Service Area</w:t>
            </w:r>
          </w:p>
        </w:tc>
        <w:tc>
          <w:tcPr>
            <w:tcW w:type="dxa" w:w="4680"/>
            <w:tcBorders>
              <w:top w:val="single" w:color="CCCCCC" w:sz="1"/>
              <w:left w:val="single" w:color="CCCCCC" w:sz="1"/>
              <w:bottom w:val="single" w:color="CCCCCC" w:sz="1"/>
              <w:right w:val="single" w:color="CCCCCC" w:sz="1"/>
            </w:tcBorders>
            <w:shd w:fill="00796B" w:val="clear"/>
            <w:tcMar>
              <w:top w:type="dxa" w:w="120"/>
              <w:left w:type="dxa" w:w="160"/>
              <w:bottom w:type="dxa" w:w="120"/>
              <w:right w:type="dxa" w:w="160"/>
            </w:tcMar>
          </w:tcPr>
          <w:p>
            <w:r>
              <w:rPr>
                <w:rFonts w:ascii="Arial" w:cs="Arial" w:eastAsia="Arial" w:hAnsi="Arial"/>
                <w:b/>
                <w:bCs/>
                <w:color w:val="FFFFFF"/>
                <w:sz w:val="22"/>
                <w:szCs w:val="22"/>
              </w:rPr>
              <w:t xml:space="preserve">Delivered By TrueLedger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Multi-jurisdiction sales tax registration and compliance (US, Canada, Australia, UK, EU)</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Monthly close with SKU-level or category-level margin reporting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GST / VAT registration, filing, and reconciliation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Transfer pricing documentation for cross-border brand structures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Inventory accounting — FIFO, weighted average, periodic vs perpetual</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Entity setup for cross-border e-commerce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Amazon FBA, Shopify, and marketplace reconciliation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Customs duty classification advisory and import duty modelling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COGS and landed cost build-up (freight, duties, insurance)</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Working capital and inventory financing package preparation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Marketplace facilitator nexus analysis by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Annual income tax filings across all active jurisdictions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21"/>
                <w:szCs w:val="21"/>
              </w:rPr>
              <w:t xml:space="preserve">Refund and return liability accounting</w:t>
            </w:r>
          </w:p>
        </w:tc>
        <w:tc>
          <w:tcPr>
            <w:tcW w:type="dxa" w:w="4680"/>
            <w:tcBorders>
              <w:top w:val="single" w:color="CCCCCC" w:sz="1"/>
              <w:left w:val="single" w:color="CCCCCC" w:sz="1"/>
              <w:bottom w:val="single" w:color="CCCCCC" w:sz="1"/>
              <w:right w:val="single" w:color="CCCCCC" w:sz="1"/>
            </w:tcBorders>
            <w:shd w:fill="E0F2F1" w:val="clear"/>
            <w:tcMar>
              <w:top w:type="dxa" w:w="80"/>
              <w:left w:type="dxa" w:w="160"/>
              <w:bottom w:type="dxa" w:w="80"/>
              <w:right w:type="dxa" w:w="160"/>
            </w:tcMar>
          </w:tcPr>
          <w:p>
            <w:r>
              <w:rPr>
                <w:rFonts w:ascii="Arial" w:cs="Arial" w:eastAsia="Arial" w:hAnsi="Arial"/>
                <w:color w:val="555555"/>
                <w:sz w:val="21"/>
                <w:szCs w:val="21"/>
              </w:rPr>
              <w:t xml:space="preserve">Cross-border payment processor reconciliation (Stripe, PayPal, Payoneer)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Subscription revenue deferred recognition under ASC 606 / IFRS 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1"/>
                <w:szCs w:val="21"/>
              </w:rPr>
              <w:t xml:space="preserve">Due diligence support for acquisition of e-commerce brands</w:t>
            </w:r>
          </w:p>
        </w:tc>
      </w:tr>
    </w:tbl>
    <w:p>
      <w:pPr>
        <w:spacing w:after="0" w:before="200"/>
      </w:pPr>
    </w:p>
    <w:p>
      <w:pPr>
        <w:spacing w:after="120" w:before="360"/>
      </w:pPr>
      <w:r>
        <w:rPr>
          <w:rFonts w:ascii="Arial" w:cs="Arial" w:eastAsia="Arial" w:hAnsi="Arial"/>
          <w:b/>
          <w:bCs/>
          <w:color w:val="0F2D52"/>
          <w:sz w:val="32"/>
          <w:szCs w:val="32"/>
        </w:rPr>
        <w:t xml:space="preserve">How TrueLedger Has Served E-Commerce &amp; Retail Clients</w:t>
      </w:r>
    </w:p>
    <w:p>
      <w:pPr>
        <w:pBdr>
          <w:bottom w:val="single" w:color="00796B" w:sz="8" w:space="1"/>
        </w:pBdr>
        <w:spacing w:after="200" w:before="100"/>
      </w:pPr>
    </w:p>
    <w:p>
      <w:pPr>
        <w:spacing w:after="80" w:before="200"/>
      </w:pPr>
      <w:r>
        <w:rPr>
          <w:rFonts w:ascii="Arial" w:cs="Arial" w:eastAsia="Arial" w:hAnsi="Arial"/>
          <w:b/>
          <w:bCs/>
          <w:color w:val="00796B"/>
          <w:sz w:val="24"/>
          <w:szCs w:val="24"/>
        </w:rPr>
        <w:t xml:space="preserve">Case Study: Australian FMCG Beverage Brand — Cross-Border Expansion</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An Australian fast-moving consumer goods company selling premium beverages had entered the US and Canadian markets through distributor relationships. AP/AR management was done manually, and there was no systematic reconciliation between the three-country operations.</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built a centralised AP/AR workflow across Australia, the US, and Canada, set up GST/HST registration and filing in Canada, structured intercompany invoicing between the Australian parent and the US entity, and delivered a unified monthly financial report in AUD with currency-adjusted subsidiary statements.</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Collection cycles shortened by 22 days on average. Intercompany balances — previously unreconciled — were cleared within the first quarter. The CFO now has a single consolidated view of the business for the first time.</w:t>
      </w:r>
    </w:p>
    <w:p>
      <w:pPr>
        <w:spacing w:after="0" w:before="200"/>
      </w:pPr>
    </w:p>
    <w:p>
      <w:pPr>
        <w:spacing w:after="80" w:before="200"/>
      </w:pPr>
      <w:r>
        <w:rPr>
          <w:rFonts w:ascii="Arial" w:cs="Arial" w:eastAsia="Arial" w:hAnsi="Arial"/>
          <w:b/>
          <w:bCs/>
          <w:color w:val="00796B"/>
          <w:sz w:val="24"/>
          <w:szCs w:val="24"/>
        </w:rPr>
        <w:t xml:space="preserve">Case Study: DTC Apparel Brand — Sales Tax Remediation</w:t>
      </w:r>
    </w:p>
    <w:p>
      <w:pPr>
        <w:spacing w:after="60" w:before="6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direct-to-consumer apparel brand had been selling online across all 50 US states for three years without a sales tax compliance programme in place. Post-Wayfair economic nexus thresholds had been crossed in 28 states.</w:t>
      </w:r>
    </w:p>
    <w:p>
      <w:pPr>
        <w:spacing w:after="60" w:before="6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conducted a full nexus exposure assessment, quantified the voluntary disclosure liability, managed a Voluntary Disclosure Agreement (VDA) process in the 12 highest-exposure states, and built a Taxjar-integrated compliance workflow on top of their Shopify store.</w:t>
      </w:r>
    </w:p>
    <w:p>
      <w:pPr>
        <w:spacing w:after="60" w:before="6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company resolved its pre-VDA exposure for approximately 40 cents on the dollar through penalty abatement. Going forward, sales tax compliance is fully automated. The founder described it as removing a sword that had been hanging over the business.</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“We were selling in 35 countries and our books were a mess. TrueLedger not only cleaned everything up — they built us a reporting framework that actually tells us which markets make money and which ones just look busy.”</w:t>
            </w:r>
          </w:p>
          <w:p>
            <w:pPr>
              <w:spacing w:after="0" w:before="0"/>
            </w:pPr>
            <w:r>
              <w:rPr>
                <w:rFonts w:ascii="Arial" w:cs="Arial" w:eastAsia="Arial" w:hAnsi="Arial"/>
                <w:b/>
                <w:bCs/>
                <w:color w:val="00796B"/>
                <w:sz w:val="20"/>
                <w:szCs w:val="20"/>
              </w:rPr>
              <w:t xml:space="preserve">— Co-Founder, Cross-Border E-Commerce Brand</w:t>
            </w:r>
          </w:p>
        </w:tc>
      </w:tr>
    </w:tbl>
    <w:p>
      <w:pPr>
        <w:spacing w:after="0"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  IMAGE PLACEHOLDER: Fulfilment / Operations</w:t>
            </w:r>
          </w:p>
          <w:p>
            <w:pPr>
              <w:spacing w:after="0" w:before="0"/>
              <w:jc w:val="center"/>
            </w:pPr>
            <w:r>
              <w:rPr>
                <w:rFonts w:ascii="Arial" w:cs="Arial" w:eastAsia="Arial" w:hAnsi="Arial"/>
                <w:i/>
                <w:iCs/>
                <w:color w:val="555555"/>
                <w:sz w:val="20"/>
                <w:szCs w:val="20"/>
              </w:rPr>
              <w:t xml:space="preserve">Suggested: A modern, organised fulfilment centre with neatly stacked products and a team member at a packing station — or a clean flat-lay of products with shipping materials. Commercial and professional in feel, not a cluttered garage.</w:t>
            </w:r>
          </w:p>
        </w:tc>
      </w:tr>
    </w:tbl>
    <w:p>
      <w:pPr>
        <w:spacing w:after="0" w:before="200"/>
      </w:pPr>
    </w:p>
    <w:tbl>
      <w:tblPr>
        <w:tblW w:type="dxa" w:w="9360"/>
        <w:tblBorders>
          <w:top w:val="single" w:color="00796B" w:sz="6"/>
          <w:left w:val="single" w:color="00796B" w:sz="6"/>
          <w:bottom w:val="single" w:color="00796B" w:sz="6"/>
          <w:right w:val="single" w:color="00796B" w:sz="6"/>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Sell Everywhere. Comply Everywhere.</w:t>
            </w:r>
          </w:p>
          <w:p>
            <w:pPr>
              <w:spacing w:after="160" w:before="0"/>
              <w:jc w:val="center"/>
            </w:pPr>
            <w:r>
              <w:rPr>
                <w:rFonts w:ascii="Arial" w:cs="Arial" w:eastAsia="Arial" w:hAnsi="Arial"/>
                <w:color w:val="E0F2F1"/>
                <w:sz w:val="22"/>
                <w:szCs w:val="22"/>
              </w:rPr>
              <w:t xml:space="preserve">Talk to TrueLedger about building a cross-border accounting and tax framework for your e-commerce business.</w:t>
            </w:r>
          </w:p>
          <w:p>
            <w:pPr>
              <w:spacing w:after="0" w:before="0"/>
              <w:jc w:val="center"/>
            </w:pPr>
            <w:r>
              <w:rPr>
                <w:rFonts w:ascii="Arial" w:cs="Arial" w:eastAsia="Arial" w:hAnsi="Arial"/>
                <w:b/>
                <w:bCs/>
                <w:color w:val="00796B"/>
                <w:sz w:val="26"/>
                <w:szCs w:val="26"/>
              </w:rPr>
              <w:t xml:space="preserve">[ Book Your Consultation →  trueledger.com/ecommerce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610F83-5477-4CA7-836C-7F5895A7AF68}"/>
</file>

<file path=customXml/itemProps2.xml><?xml version="1.0" encoding="utf-8"?>
<ds:datastoreItem xmlns:ds="http://schemas.openxmlformats.org/officeDocument/2006/customXml" ds:itemID="{4BDD10CF-B169-4FAC-8F71-5296A93FC302}"/>
</file>

<file path=customXml/itemProps3.xml><?xml version="1.0" encoding="utf-8"?>
<ds:datastoreItem xmlns:ds="http://schemas.openxmlformats.org/officeDocument/2006/customXml" ds:itemID="{8E12AC06-33FF-4CA6-9A97-F4587224FEE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2026-06-23T07:06:45Z</dcterms:created>
  <dcterms:modified xsi:type="dcterms:W3CDTF">2026-06-23T07:06:45Z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ies>
</file>