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color w:val="1E3A8A"/>
          <w:sz w:val="36"/>
          <w:szCs w:val="36"/>
        </w:rPr>
        <w:t xml:space="preserve">6S AuditPro System Documentation</w:t>
      </w:r>
    </w:p>
    <w:p>
      <w:pPr>
        <w:spacing w:after="200" w:before="0"/>
        <w:jc w:val="center"/>
      </w:pPr>
      <w:r>
        <w:rPr>
          <w:rFonts w:ascii="Calibri" w:cs="Calibri" w:eastAsia="Calibri" w:hAnsi="Calibri"/>
          <w:i/>
          <w:iCs/>
          <w:color w:val="0284C7"/>
          <w:sz w:val="24"/>
          <w:szCs w:val="24"/>
        </w:rPr>
        <w:t xml:space="preserve">Audit Scoring Logic, % Calculation, &amp; Rating Bands (1S to 6S)</w:t>
      </w:r>
    </w:p>
    <w:p>
      <w:pPr>
        <w:spacing w:after="400" w:before="0"/>
        <w:jc w:val="center"/>
      </w:pPr>
      <w:r>
        <w:rPr>
          <w:rFonts w:ascii="Calibri" w:cs="Calibri" w:eastAsia="Calibri" w:hAnsi="Calibri"/>
          <w:color w:val="4B5563"/>
          <w:sz w:val="18"/>
          <w:szCs w:val="18"/>
        </w:rPr>
        <w:t xml:space="preserve">Platform: 6S-audit-software (OnePWS)  |  Reference Codebase: v4.0.0</w:t>
      </w:r>
    </w:p>
    <w:p>
      <w:pPr>
        <w:pStyle w:val="Heading1"/>
        <w:spacing w:after="120" w:before="360"/>
      </w:pPr>
      <w:r>
        <w:rPr>
          <w:rFonts w:ascii="Calibri" w:cs="Calibri" w:eastAsia="Calibri" w:hAnsi="Calibri"/>
          <w:b/>
          <w:bCs/>
          <w:color w:val="1E3A8A"/>
          <w:sz w:val="28"/>
          <w:szCs w:val="28"/>
        </w:rPr>
        <w:t xml:space="preserve">1. Executive Summary</w:t>
      </w:r>
    </w:p>
    <w:p>
      <w:pPr>
        <w:spacing w:after="100" w:before="60"/>
        <w:jc w:val="left"/>
      </w:pPr>
      <w:r>
        <w:rPr>
          <w:rFonts w:ascii="Calibri" w:cs="Calibri" w:eastAsia="Calibri" w:hAnsi="Calibri"/>
          <w:b w:val="false"/>
          <w:bCs w:val="false"/>
          <w:i w:val="false"/>
          <w:iCs w:val="false"/>
          <w:color w:val="1F2937"/>
          <w:sz w:val="22"/>
          <w:szCs w:val="22"/>
        </w:rPr>
        <w:t xml:space="preserve">This document provides a comprehensive technical and functional breakdown of how the 6S AuditPro portal calculates audit scores, handles category evaluations, manages departmental ownership of findings, and assigns 1S to 6S ratings based on calculated percentage scores.</w:t>
      </w:r>
    </w:p>
    <w:p>
      <w:pPr>
        <w:spacing w:after="100" w:before="60"/>
        <w:jc w:val="left"/>
      </w:pPr>
      <w:r>
        <w:rPr>
          <w:rFonts w:ascii="Calibri" w:cs="Calibri" w:eastAsia="Calibri" w:hAnsi="Calibri"/>
          <w:b w:val="false"/>
          <w:bCs w:val="false"/>
          <w:i w:val="false"/>
          <w:iCs w:val="false"/>
          <w:color w:val="1F2937"/>
          <w:sz w:val="22"/>
          <w:szCs w:val="22"/>
        </w:rPr>
        <w:t xml:space="preserve">The system evaluates workplace organization and safety across up to seven standard pillars (1S Sort through 6S Safety, plus an optional 7S Environment). The final audit score is calculated as a mathematical percentage of compliant ('Adequate') checklist items relative to all applicable items, strictly excluding non-applicable ('N/A') checkpoints.</w:t>
      </w:r>
    </w:p>
    <w:p>
      <w:pPr>
        <w:pStyle w:val="Heading1"/>
        <w:spacing w:after="120" w:before="360"/>
      </w:pPr>
      <w:r>
        <w:rPr>
          <w:rFonts w:ascii="Calibri" w:cs="Calibri" w:eastAsia="Calibri" w:hAnsi="Calibri"/>
          <w:b/>
          <w:bCs/>
          <w:color w:val="1E3A8A"/>
          <w:sz w:val="28"/>
          <w:szCs w:val="28"/>
        </w:rPr>
        <w:t xml:space="preserve">2. Core Audit Score Calculation Logic</w:t>
      </w:r>
    </w:p>
    <w:p>
      <w:pPr>
        <w:spacing w:after="100" w:before="60"/>
        <w:jc w:val="left"/>
      </w:pPr>
      <w:r>
        <w:rPr>
          <w:rFonts w:ascii="Calibri" w:cs="Calibri" w:eastAsia="Calibri" w:hAnsi="Calibri"/>
          <w:b w:val="false"/>
          <w:bCs w:val="false"/>
          <w:i w:val="false"/>
          <w:iCs w:val="false"/>
          <w:color w:val="1F2937"/>
          <w:sz w:val="22"/>
          <w:szCs w:val="22"/>
        </w:rPr>
        <w:t xml:space="preserve">Every audit checklist is composed of standardized or ad-hoc questions mapped to 6S pillars. Auditors record one of three possible responses for each checklist item:</w:t>
      </w:r>
    </w:p>
    <w:p>
      <w:pPr>
        <w:pStyle w:val="ListParagraph"/>
        <w:numPr>
          <w:ilvl w:val="0"/>
          <w:numId w:val="1"/>
        </w:numPr>
        <w:spacing w:after="60" w:before="40"/>
      </w:pPr>
      <w:r>
        <w:rPr>
          <w:rFonts w:ascii="Calibri" w:cs="Calibri" w:eastAsia="Calibri" w:hAnsi="Calibri"/>
          <w:b/>
          <w:bCs/>
          <w:color w:val="1F2937"/>
          <w:sz w:val="22"/>
          <w:szCs w:val="22"/>
        </w:rPr>
        <w:t xml:space="preserve">1. Adequate: </w:t>
      </w:r>
      <w:r>
        <w:rPr>
          <w:rFonts w:ascii="Calibri" w:cs="Calibri" w:eastAsia="Calibri" w:hAnsi="Calibri"/>
          <w:color w:val="1F2937"/>
          <w:sz w:val="22"/>
          <w:szCs w:val="22"/>
        </w:rPr>
        <w:t xml:space="preserve">The item meets standard requirements. Contributes +1 to Adequate count and counts as successful compliance.</w:t>
      </w:r>
    </w:p>
    <w:p>
      <w:pPr>
        <w:pStyle w:val="ListParagraph"/>
        <w:numPr>
          <w:ilvl w:val="0"/>
          <w:numId w:val="1"/>
        </w:numPr>
        <w:spacing w:after="60" w:before="40"/>
      </w:pPr>
      <w:r>
        <w:rPr>
          <w:rFonts w:ascii="Calibri" w:cs="Calibri" w:eastAsia="Calibri" w:hAnsi="Calibri"/>
          <w:b/>
          <w:bCs/>
          <w:color w:val="1F2937"/>
          <w:sz w:val="22"/>
          <w:szCs w:val="22"/>
        </w:rPr>
        <w:t xml:space="preserve">2. Not Adequate: </w:t>
      </w:r>
      <w:r>
        <w:rPr>
          <w:rFonts w:ascii="Calibri" w:cs="Calibri" w:eastAsia="Calibri" w:hAnsi="Calibri"/>
          <w:color w:val="1F2937"/>
          <w:sz w:val="22"/>
          <w:szCs w:val="22"/>
        </w:rPr>
        <w:t xml:space="preserve">The item violates 6S standards. Generates a formal Finding requiring CAPA (Corrective and Preventive Action). Contributes +1 to Not Adequate count.</w:t>
      </w:r>
    </w:p>
    <w:p>
      <w:pPr>
        <w:pStyle w:val="ListParagraph"/>
        <w:numPr>
          <w:ilvl w:val="0"/>
          <w:numId w:val="1"/>
        </w:numPr>
        <w:spacing w:after="60" w:before="40"/>
      </w:pPr>
      <w:r>
        <w:rPr>
          <w:rFonts w:ascii="Calibri" w:cs="Calibri" w:eastAsia="Calibri" w:hAnsi="Calibri"/>
          <w:b/>
          <w:bCs/>
          <w:color w:val="1F2937"/>
          <w:sz w:val="22"/>
          <w:szCs w:val="22"/>
        </w:rPr>
        <w:t xml:space="preserve">3. N/A (Not Applicable): </w:t>
      </w:r>
      <w:r>
        <w:rPr>
          <w:rFonts w:ascii="Calibri" w:cs="Calibri" w:eastAsia="Calibri" w:hAnsi="Calibri"/>
          <w:color w:val="1F2937"/>
          <w:sz w:val="22"/>
          <w:szCs w:val="22"/>
        </w:rPr>
        <w:t xml:space="preserve">The checkpoint is not applicable to the audited area or equipment. Strictly excluded from both numerator and denominator so the score is never penalized.</w:t>
      </w:r>
    </w:p>
    <w:p>
      <w:pPr>
        <w:pStyle w:val="Heading2"/>
        <w:spacing w:after="100" w:before="240"/>
      </w:pPr>
      <w:r>
        <w:rPr>
          <w:rFonts w:ascii="Calibri" w:cs="Calibri" w:eastAsia="Calibri" w:hAnsi="Calibri"/>
          <w:b/>
          <w:bCs/>
          <w:color w:val="0284C7"/>
          <w:sz w:val="24"/>
          <w:szCs w:val="24"/>
        </w:rPr>
        <w:t xml:space="preserve">2.1 Mathematical Formulas</w:t>
      </w:r>
    </w:p>
    <w:p>
      <w:pPr>
        <w:spacing w:after="100" w:before="60"/>
        <w:jc w:val="left"/>
      </w:pPr>
      <w:r>
        <w:rPr>
          <w:rFonts w:ascii="Calibri" w:cs="Calibri" w:eastAsia="Calibri" w:hAnsi="Calibri"/>
          <w:b w:val="false"/>
          <w:bCs w:val="false"/>
          <w:i w:val="false"/>
          <w:iCs w:val="false"/>
          <w:color w:val="1F2937"/>
          <w:sz w:val="22"/>
          <w:szCs w:val="22"/>
        </w:rPr>
        <w:t xml:space="preserve">The portal computes the overall audit percentage using the following canonical formulas:</w:t>
      </w:r>
    </w:p>
    <w:p>
      <w:pPr>
        <w:spacing w:after="20" w:before="20"/>
      </w:pPr>
      <w:r>
        <w:rPr>
          <w:rFonts w:ascii="Consolas" w:cs="Consolas" w:eastAsia="Consolas" w:hAnsi="Consolas"/>
          <w:color w:val="0F172A"/>
          <w:sz w:val="19"/>
          <w:szCs w:val="19"/>
        </w:rPr>
        <w:t xml:space="preserve">Applicable Items  = Adequate Count + Owned Not Adequate Count</w:t>
      </w:r>
    </w:p>
    <w:p>
      <w:pPr>
        <w:spacing w:after="20" w:before="20"/>
      </w:pPr>
      <w:r>
        <w:rPr>
          <w:rFonts w:ascii="Consolas" w:cs="Consolas" w:eastAsia="Consolas" w:hAnsi="Consolas"/>
          <w:color w:val="0F172A"/>
          <w:sz w:val="19"/>
          <w:szCs w:val="19"/>
        </w:rPr>
        <w:t xml:space="preserve">Total Score (%)   = round( (Adequate Count / Applicable Items) * 100 )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Note: If Applicable Items == 0, Total Score is defined as 0% (or un-scored).</w:t>
      </w:r>
    </w:p>
    <w:p>
      <w:pPr>
        <w:pStyle w:val="Heading2"/>
        <w:spacing w:after="100" w:before="240"/>
      </w:pPr>
      <w:r>
        <w:rPr>
          <w:rFonts w:ascii="Calibri" w:cs="Calibri" w:eastAsia="Calibri" w:hAnsi="Calibri"/>
          <w:b/>
          <w:bCs/>
          <w:color w:val="0284C7"/>
          <w:sz w:val="24"/>
          <w:szCs w:val="24"/>
        </w:rPr>
        <w:t xml:space="preserve">2.2 Department Ownership &amp; Cross-Department Finding Transfers</w:t>
      </w:r>
    </w:p>
    <w:p>
      <w:pPr>
        <w:spacing w:after="100" w:before="60"/>
        <w:jc w:val="left"/>
      </w:pPr>
      <w:r>
        <w:rPr>
          <w:rFonts w:ascii="Calibri" w:cs="Calibri" w:eastAsia="Calibri" w:hAnsi="Calibri"/>
          <w:b w:val="false"/>
          <w:bCs w:val="false"/>
          <w:i w:val="false"/>
          <w:iCs w:val="false"/>
          <w:color w:val="1F2937"/>
          <w:sz w:val="22"/>
          <w:szCs w:val="22"/>
        </w:rPr>
        <w:t xml:space="preserve">A critical feature in the 6S AuditPro scoring engine is Departmental Action Ownership. When an audit is executed in Department A:</w:t>
      </w:r>
    </w:p>
    <w:p>
      <w:pPr>
        <w:pStyle w:val="ListParagraph"/>
        <w:numPr>
          <w:ilvl w:val="0"/>
          <w:numId w:val="1"/>
        </w:numPr>
        <w:spacing w:after="60" w:before="40"/>
      </w:pPr>
      <w:r>
        <w:rPr>
          <w:rFonts w:ascii="Calibri" w:cs="Calibri" w:eastAsia="Calibri" w:hAnsi="Calibri"/>
          <w:b/>
          <w:bCs/>
          <w:color w:val="1F2937"/>
          <w:sz w:val="22"/>
          <w:szCs w:val="22"/>
        </w:rPr>
        <w:t xml:space="preserve">Local Ownership: </w:t>
      </w:r>
      <w:r>
        <w:rPr>
          <w:rFonts w:ascii="Calibri" w:cs="Calibri" w:eastAsia="Calibri" w:hAnsi="Calibri"/>
          <w:color w:val="1F2937"/>
          <w:sz w:val="22"/>
          <w:szCs w:val="22"/>
        </w:rPr>
        <w:t xml:space="preserve">If a finding found in Department A is owned by Department A, it penalizes Department A's score.</w:t>
      </w:r>
    </w:p>
    <w:p>
      <w:pPr>
        <w:pStyle w:val="ListParagraph"/>
        <w:numPr>
          <w:ilvl w:val="0"/>
          <w:numId w:val="1"/>
        </w:numPr>
        <w:spacing w:after="60" w:before="40"/>
      </w:pPr>
      <w:r>
        <w:rPr>
          <w:rFonts w:ascii="Calibri" w:cs="Calibri" w:eastAsia="Calibri" w:hAnsi="Calibri"/>
          <w:b/>
          <w:bCs/>
          <w:color w:val="1F2937"/>
          <w:sz w:val="22"/>
          <w:szCs w:val="22"/>
        </w:rPr>
        <w:t xml:space="preserve">Transferred-Out Finding: </w:t>
      </w:r>
      <w:r>
        <w:rPr>
          <w:rFonts w:ascii="Calibri" w:cs="Calibri" w:eastAsia="Calibri" w:hAnsi="Calibri"/>
          <w:color w:val="1F2937"/>
          <w:sz w:val="22"/>
          <w:szCs w:val="22"/>
        </w:rPr>
        <w:t xml:space="preserve">If a non-adequate condition found in Department A is actually caused by or assigned to Department B (e.g., a facility maintenance issue), the finding can be transferred to Department B. Once transferred, it is removed from Department A's owned count and instead penalizes Department B's audit score.</w:t>
      </w:r>
    </w:p>
    <w:p>
      <w:pPr>
        <w:pStyle w:val="ListParagraph"/>
        <w:numPr>
          <w:ilvl w:val="0"/>
          <w:numId w:val="1"/>
        </w:numPr>
        <w:spacing w:after="60" w:before="40"/>
      </w:pPr>
      <w:r>
        <w:rPr>
          <w:rFonts w:ascii="Calibri" w:cs="Calibri" w:eastAsia="Calibri" w:hAnsi="Calibri"/>
          <w:b/>
          <w:bCs/>
          <w:color w:val="1F2937"/>
          <w:sz w:val="22"/>
          <w:szCs w:val="22"/>
        </w:rPr>
        <w:t xml:space="preserve">Transferred-In Finding: </w:t>
      </w:r>
      <w:r>
        <w:rPr>
          <w:rFonts w:ascii="Calibri" w:cs="Calibri" w:eastAsia="Calibri" w:hAnsi="Calibri"/>
          <w:color w:val="1F2937"/>
          <w:sz w:val="22"/>
          <w:szCs w:val="22"/>
        </w:rPr>
        <w:t xml:space="preserve">If another department transfers a finding to Department A, that finding is added to Department A's owned non-adequate count.</w:t>
      </w:r>
    </w:p>
    <w:p>
      <w:pPr>
        <w:pStyle w:val="Heading1"/>
        <w:spacing w:after="120" w:before="360"/>
      </w:pPr>
      <w:r>
        <w:rPr>
          <w:rFonts w:ascii="Calibri" w:cs="Calibri" w:eastAsia="Calibri" w:hAnsi="Calibri"/>
          <w:b/>
          <w:bCs/>
          <w:color w:val="1E3A8A"/>
          <w:sz w:val="28"/>
          <w:szCs w:val="28"/>
        </w:rPr>
        <w:t xml:space="preserve">3. Score Range to Rating (1S to 6S) Mapping</w:t>
      </w:r>
    </w:p>
    <w:p>
      <w:pPr>
        <w:spacing w:after="100" w:before="60"/>
        <w:jc w:val="left"/>
      </w:pPr>
      <w:r>
        <w:rPr>
          <w:rFonts w:ascii="Calibri" w:cs="Calibri" w:eastAsia="Calibri" w:hAnsi="Calibri"/>
          <w:b w:val="false"/>
          <w:bCs w:val="false"/>
          <w:i w:val="false"/>
          <w:iCs w:val="false"/>
          <w:color w:val="1F2937"/>
          <w:sz w:val="22"/>
          <w:szCs w:val="22"/>
        </w:rPr>
        <w:t xml:space="preserve">The portal translates the calculated percentage score into 6S Rating levels. This logic is defined in two complementary places in the codebase:</w:t>
      </w:r>
    </w:p>
    <w:p>
      <w:pPr>
        <w:pStyle w:val="ListParagraph"/>
        <w:numPr>
          <w:ilvl w:val="0"/>
          <w:numId w:val="1"/>
        </w:numPr>
        <w:spacing w:after="60" w:before="40"/>
      </w:pPr>
      <w:r>
        <w:rPr>
          <w:rFonts w:ascii="Calibri" w:cs="Calibri" w:eastAsia="Calibri" w:hAnsi="Calibri"/>
          <w:b/>
          <w:bCs/>
          <w:color w:val="1F2937"/>
          <w:sz w:val="22"/>
          <w:szCs w:val="22"/>
        </w:rPr>
        <w:t xml:space="preserve">• Dashboard Engine: </w:t>
      </w:r>
      <w:r>
        <w:rPr>
          <w:rFonts w:ascii="Calibri" w:cs="Calibri" w:eastAsia="Calibri" w:hAnsi="Calibri"/>
          <w:color w:val="1F2937"/>
          <w:sz w:val="22"/>
          <w:szCs w:val="22"/>
        </w:rPr>
        <w:t xml:space="preserve">Function `scoreLabel(score)` in `lib/audit-scoring.ts` (used on Dashboard &amp; Analytics).</w:t>
      </w:r>
    </w:p>
    <w:p>
      <w:pPr>
        <w:pStyle w:val="ListParagraph"/>
        <w:numPr>
          <w:ilvl w:val="0"/>
          <w:numId w:val="1"/>
        </w:numPr>
        <w:spacing w:after="60" w:before="40"/>
      </w:pPr>
      <w:r>
        <w:rPr>
          <w:rFonts w:ascii="Calibri" w:cs="Calibri" w:eastAsia="Calibri" w:hAnsi="Calibri"/>
          <w:b/>
          <w:bCs/>
          <w:color w:val="1F2937"/>
          <w:sz w:val="22"/>
          <w:szCs w:val="22"/>
        </w:rPr>
        <w:t xml:space="preserve">• PDF Report Engine: </w:t>
      </w:r>
      <w:r>
        <w:rPr>
          <w:rFonts w:ascii="Calibri" w:cs="Calibri" w:eastAsia="Calibri" w:hAnsi="Calibri"/>
          <w:color w:val="1F2937"/>
          <w:sz w:val="22"/>
          <w:szCs w:val="22"/>
        </w:rPr>
        <w:t xml:space="preserve">Function `ratingFor(score)` in `lib/audit-pdf.ts` (used in downloadable PDF Audit Reports &amp; Category tables).</w:t>
      </w:r>
    </w:p>
    <w:p>
      <w:pPr>
        <w:spacing w:after="100" w:before="60"/>
        <w:jc w:val="left"/>
      </w:pPr>
      <w:r>
        <w:rPr>
          <w:rFonts w:ascii="Calibri" w:cs="Calibri" w:eastAsia="Calibri" w:hAnsi="Calibri"/>
          <w:b w:val="false"/>
          <w:bCs w:val="false"/>
          <w:i w:val="false"/>
          <w:iCs w:val="false"/>
          <w:color w:val="1F2937"/>
          <w:sz w:val="22"/>
          <w:szCs w:val="22"/>
        </w:rPr>
        <w:t xml:space="preserve">The following table details the exact percentage bands, rating codes, descriptions, and compliance status: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25"/>
        <w:gridCol w:w="1264"/>
        <w:gridCol w:w="1986"/>
        <w:gridCol w:w="1986"/>
        <w:gridCol w:w="2166"/>
      </w:tblGrid>
      <w:tr>
        <w:tc>
          <w:tcPr>
            <w:tcW w:type="pct" w:w="90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Score Range (%)</w:t>
            </w:r>
          </w:p>
        </w:tc>
        <w:tc>
          <w:tcPr>
            <w:tcW w:type="pct" w:w="70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Rating Code</w:t>
            </w:r>
          </w:p>
        </w:tc>
        <w:tc>
          <w:tcPr>
            <w:tcW w:type="pct" w:w="110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Dashboard Label</w:t>
            </w:r>
          </w:p>
        </w:tc>
        <w:tc>
          <w:tcPr>
            <w:tcW w:type="pct" w:w="110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PDF Report Rating</w:t>
            </w:r>
          </w:p>
        </w:tc>
        <w:tc>
          <w:tcPr>
            <w:tcW w:type="pct" w:w="120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Compliance Status</w:t>
            </w:r>
          </w:p>
        </w:tc>
      </w:tr>
      <w:tr>
        <w:tc>
          <w:tcPr>
            <w:tcW w:type="pct" w:w="90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91% – 100%
(≥ 90% in PDF)</w:t>
            </w:r>
          </w:p>
        </w:tc>
        <w:tc>
          <w:tcPr>
            <w:tcW w:type="pct" w:w="700"/>
            <w:shd w:fill="DCFCE7" w:val="clear"/>
            <w:tcMar>
              <w:top w:type="dxa" w:w="120"/>
              <w:left w:type="dxa" w:w="140"/>
              <w:bottom w:type="dxa" w:w="120"/>
              <w:right w:type="dxa" w:w="140"/>
            </w:tcMar>
          </w:tcPr>
          <w:p>
            <w:pPr>
              <w:jc w:val="center"/>
            </w:pPr>
            <w:r>
              <w:rPr>
                <w:rFonts w:ascii="Calibri" w:cs="Calibri" w:eastAsia="Calibri" w:hAnsi="Calibri"/>
                <w:b/>
                <w:bCs/>
                <w:color w:val="15803D"/>
                <w:sz w:val="20"/>
                <w:szCs w:val="20"/>
              </w:rPr>
              <w:t xml:space="preserve">6S</w:t>
            </w:r>
          </w:p>
        </w:tc>
        <w:tc>
          <w:tcPr>
            <w:tcW w:type="pct" w:w="11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Safety + Sustain</w:t>
            </w:r>
          </w:p>
        </w:tc>
        <w:tc>
          <w:tcPr>
            <w:tcW w:type="pct" w:w="1100"/>
            <w:shd w:fill="FFFFFF"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Excellent</w:t>
            </w:r>
          </w:p>
        </w:tc>
        <w:tc>
          <w:tcPr>
            <w:tcW w:type="pct" w:w="1200"/>
            <w:shd w:fill="DCFCE7" w:val="clear"/>
            <w:tcMar>
              <w:top w:type="dxa" w:w="120"/>
              <w:left w:type="dxa" w:w="140"/>
              <w:bottom w:type="dxa" w:w="120"/>
              <w:right w:type="dxa" w:w="140"/>
            </w:tcMar>
          </w:tcPr>
          <w:p>
            <w:pPr>
              <w:jc w:val="center"/>
            </w:pPr>
            <w:r>
              <w:rPr>
                <w:rFonts w:ascii="Calibri" w:cs="Calibri" w:eastAsia="Calibri" w:hAnsi="Calibri"/>
                <w:b/>
                <w:bCs/>
                <w:color w:val="15803D"/>
                <w:sz w:val="20"/>
                <w:szCs w:val="20"/>
              </w:rPr>
              <w:t xml:space="preserve">SATISFACTORY / OK (Compliant)</w:t>
            </w:r>
          </w:p>
        </w:tc>
      </w:tr>
      <w:tr>
        <w:tc>
          <w:tcPr>
            <w:tcW w:type="pct" w:w="900"/>
            <w:shd w:fill="F9FAFB" w:val="clear"/>
            <w:tcMar>
              <w:top w:type="dxa" w:w="120"/>
              <w:left w:type="dxa" w:w="140"/>
              <w:bottom w:type="dxa" w:w="120"/>
              <w:right w:type="dxa" w:w="140"/>
            </w:tcMar>
          </w:tcPr>
          <w:p>
            <w:pPr>
              <w:jc w:val="center"/>
            </w:pPr>
            <w:r>
              <w:rPr>
                <w:rFonts w:ascii="Calibri" w:cs="Calibri" w:eastAsia="Calibri" w:hAnsi="Calibri"/>
                <w:b w:val="false"/>
                <w:bCs w:val="false"/>
                <w:color w:val="1F2937"/>
                <w:sz w:val="20"/>
                <w:szCs w:val="20"/>
              </w:rPr>
              <w:t xml:space="preserve">81% – 90%
(80% – 89% in PDF)</w:t>
            </w:r>
          </w:p>
        </w:tc>
        <w:tc>
          <w:tcPr>
            <w:tcW w:type="pct" w:w="700"/>
            <w:shd w:fill="FEF3C7" w:val="clear"/>
            <w:tcMar>
              <w:top w:type="dxa" w:w="120"/>
              <w:left w:type="dxa" w:w="140"/>
              <w:bottom w:type="dxa" w:w="120"/>
              <w:right w:type="dxa" w:w="140"/>
            </w:tcMar>
          </w:tcPr>
          <w:p>
            <w:pPr>
              <w:jc w:val="center"/>
            </w:pPr>
            <w:r>
              <w:rPr>
                <w:rFonts w:ascii="Calibri" w:cs="Calibri" w:eastAsia="Calibri" w:hAnsi="Calibri"/>
                <w:b/>
                <w:bCs/>
                <w:color w:val="92400E"/>
                <w:sz w:val="20"/>
                <w:szCs w:val="20"/>
              </w:rPr>
              <w:t xml:space="preserve">5S</w:t>
            </w:r>
          </w:p>
        </w:tc>
        <w:tc>
          <w:tcPr>
            <w:tcW w:type="pct" w:w="11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Sustain</w:t>
            </w:r>
          </w:p>
        </w:tc>
        <w:tc>
          <w:tcPr>
            <w:tcW w:type="pct" w:w="11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Very Good</w:t>
            </w:r>
          </w:p>
        </w:tc>
        <w:tc>
          <w:tcPr>
            <w:tcW w:type="pct" w:w="1200"/>
            <w:shd w:fill="F9FAFB" w:val="clear"/>
            <w:tcMar>
              <w:top w:type="dxa" w:w="120"/>
              <w:left w:type="dxa" w:w="140"/>
              <w:bottom w:type="dxa" w:w="120"/>
              <w:right w:type="dxa" w:w="140"/>
            </w:tcMar>
          </w:tcPr>
          <w:p>
            <w:pPr>
              <w:jc w:val="center"/>
            </w:pPr>
            <w:r>
              <w:rPr>
                <w:rFonts w:ascii="Calibri" w:cs="Calibri" w:eastAsia="Calibri" w:hAnsi="Calibri"/>
                <w:b w:val="false"/>
                <w:bCs w:val="false"/>
                <w:color w:val="92400E"/>
                <w:sz w:val="20"/>
                <w:szCs w:val="20"/>
              </w:rPr>
              <w:t xml:space="preserve">Needs Improvement</w:t>
            </w:r>
          </w:p>
        </w:tc>
      </w:tr>
      <w:tr>
        <w:tc>
          <w:tcPr>
            <w:tcW w:type="pct" w:w="900"/>
            <w:shd w:fill="FFFFFF" w:val="clear"/>
            <w:tcMar>
              <w:top w:type="dxa" w:w="120"/>
              <w:left w:type="dxa" w:w="140"/>
              <w:bottom w:type="dxa" w:w="120"/>
              <w:right w:type="dxa" w:w="140"/>
            </w:tcMar>
          </w:tcPr>
          <w:p>
            <w:pPr>
              <w:jc w:val="center"/>
            </w:pPr>
            <w:r>
              <w:rPr>
                <w:rFonts w:ascii="Calibri" w:cs="Calibri" w:eastAsia="Calibri" w:hAnsi="Calibri"/>
                <w:b w:val="false"/>
                <w:bCs w:val="false"/>
                <w:color w:val="1F2937"/>
                <w:sz w:val="20"/>
                <w:szCs w:val="20"/>
              </w:rPr>
              <w:t xml:space="preserve">71% – 80%
(70% – 79% in PDF)</w:t>
            </w:r>
          </w:p>
        </w:tc>
        <w:tc>
          <w:tcPr>
            <w:tcW w:type="pct" w:w="70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4S</w:t>
            </w:r>
          </w:p>
        </w:tc>
        <w:tc>
          <w:tcPr>
            <w:tcW w:type="pct" w:w="11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Standardize</w:t>
            </w:r>
          </w:p>
        </w:tc>
        <w:tc>
          <w:tcPr>
            <w:tcW w:type="pct" w:w="11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Good</w:t>
            </w:r>
          </w:p>
        </w:tc>
        <w:tc>
          <w:tcPr>
            <w:tcW w:type="pct" w:w="1200"/>
            <w:shd w:fill="FFFFFF" w:val="clear"/>
            <w:tcMar>
              <w:top w:type="dxa" w:w="120"/>
              <w:left w:type="dxa" w:w="140"/>
              <w:bottom w:type="dxa" w:w="120"/>
              <w:right w:type="dxa" w:w="140"/>
            </w:tcMar>
          </w:tcPr>
          <w:p>
            <w:pPr>
              <w:jc w:val="center"/>
            </w:pPr>
            <w:r>
              <w:rPr>
                <w:rFonts w:ascii="Calibri" w:cs="Calibri" w:eastAsia="Calibri" w:hAnsi="Calibri"/>
                <w:b w:val="false"/>
                <w:bCs w:val="false"/>
                <w:color w:val="92400E"/>
                <w:sz w:val="20"/>
                <w:szCs w:val="20"/>
              </w:rPr>
              <w:t xml:space="preserve">Needs Improvement</w:t>
            </w:r>
          </w:p>
        </w:tc>
      </w:tr>
      <w:tr>
        <w:tc>
          <w:tcPr>
            <w:tcW w:type="pct" w:w="900"/>
            <w:shd w:fill="F9FAFB" w:val="clear"/>
            <w:tcMar>
              <w:top w:type="dxa" w:w="120"/>
              <w:left w:type="dxa" w:w="140"/>
              <w:bottom w:type="dxa" w:w="120"/>
              <w:right w:type="dxa" w:w="140"/>
            </w:tcMar>
          </w:tcPr>
          <w:p>
            <w:pPr>
              <w:jc w:val="center"/>
            </w:pPr>
            <w:r>
              <w:rPr>
                <w:rFonts w:ascii="Calibri" w:cs="Calibri" w:eastAsia="Calibri" w:hAnsi="Calibri"/>
                <w:b w:val="false"/>
                <w:bCs w:val="false"/>
                <w:color w:val="1F2937"/>
                <w:sz w:val="20"/>
                <w:szCs w:val="20"/>
              </w:rPr>
              <w:t xml:space="preserve">51% – 70%
(50% – 69% in PDF)</w:t>
            </w:r>
          </w:p>
        </w:tc>
        <w:tc>
          <w:tcPr>
            <w:tcW w:type="pct" w:w="70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3S</w:t>
            </w:r>
          </w:p>
        </w:tc>
        <w:tc>
          <w:tcPr>
            <w:tcW w:type="pct" w:w="11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Shine</w:t>
            </w:r>
          </w:p>
        </w:tc>
        <w:tc>
          <w:tcPr>
            <w:tcW w:type="pct" w:w="11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Fair</w:t>
            </w:r>
          </w:p>
        </w:tc>
        <w:tc>
          <w:tcPr>
            <w:tcW w:type="pct" w:w="1200"/>
            <w:shd w:fill="F9FAFB" w:val="clear"/>
            <w:tcMar>
              <w:top w:type="dxa" w:w="120"/>
              <w:left w:type="dxa" w:w="140"/>
              <w:bottom w:type="dxa" w:w="120"/>
              <w:right w:type="dxa" w:w="140"/>
            </w:tcMar>
          </w:tcPr>
          <w:p>
            <w:pPr>
              <w:jc w:val="center"/>
            </w:pPr>
            <w:r>
              <w:rPr>
                <w:rFonts w:ascii="Calibri" w:cs="Calibri" w:eastAsia="Calibri" w:hAnsi="Calibri"/>
                <w:b w:val="false"/>
                <w:bCs w:val="false"/>
                <w:color w:val="B91C1C"/>
                <w:sz w:val="20"/>
                <w:szCs w:val="20"/>
              </w:rPr>
              <w:t xml:space="preserve">Needs Improvement</w:t>
            </w:r>
          </w:p>
        </w:tc>
      </w:tr>
      <w:tr>
        <w:tc>
          <w:tcPr>
            <w:tcW w:type="pct" w:w="900"/>
            <w:shd w:fill="FFFFFF" w:val="clear"/>
            <w:tcMar>
              <w:top w:type="dxa" w:w="120"/>
              <w:left w:type="dxa" w:w="140"/>
              <w:bottom w:type="dxa" w:w="120"/>
              <w:right w:type="dxa" w:w="140"/>
            </w:tcMar>
          </w:tcPr>
          <w:p>
            <w:pPr>
              <w:jc w:val="center"/>
            </w:pPr>
            <w:r>
              <w:rPr>
                <w:rFonts w:ascii="Calibri" w:cs="Calibri" w:eastAsia="Calibri" w:hAnsi="Calibri"/>
                <w:b w:val="false"/>
                <w:bCs w:val="false"/>
                <w:color w:val="1F2937"/>
                <w:sz w:val="20"/>
                <w:szCs w:val="20"/>
              </w:rPr>
              <w:t xml:space="preserve">31% – 50%
(30% – 49% in PDF)</w:t>
            </w:r>
          </w:p>
        </w:tc>
        <w:tc>
          <w:tcPr>
            <w:tcW w:type="pct" w:w="70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2S</w:t>
            </w:r>
          </w:p>
        </w:tc>
        <w:tc>
          <w:tcPr>
            <w:tcW w:type="pct" w:w="11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Set in Order</w:t>
            </w:r>
          </w:p>
        </w:tc>
        <w:tc>
          <w:tcPr>
            <w:tcW w:type="pct" w:w="11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Poor</w:t>
            </w:r>
          </w:p>
        </w:tc>
        <w:tc>
          <w:tcPr>
            <w:tcW w:type="pct" w:w="1200"/>
            <w:shd w:fill="FFFFFF" w:val="clear"/>
            <w:tcMar>
              <w:top w:type="dxa" w:w="120"/>
              <w:left w:type="dxa" w:w="140"/>
              <w:bottom w:type="dxa" w:w="120"/>
              <w:right w:type="dxa" w:w="140"/>
            </w:tcMar>
          </w:tcPr>
          <w:p>
            <w:pPr>
              <w:jc w:val="center"/>
            </w:pPr>
            <w:r>
              <w:rPr>
                <w:rFonts w:ascii="Calibri" w:cs="Calibri" w:eastAsia="Calibri" w:hAnsi="Calibri"/>
                <w:b w:val="false"/>
                <w:bCs w:val="false"/>
                <w:color w:val="B91C1C"/>
                <w:sz w:val="20"/>
                <w:szCs w:val="20"/>
              </w:rPr>
              <w:t xml:space="preserve">Needs Improvement</w:t>
            </w:r>
          </w:p>
        </w:tc>
      </w:tr>
      <w:tr>
        <w:tc>
          <w:tcPr>
            <w:tcW w:type="pct" w:w="900"/>
            <w:shd w:fill="F9FAFB" w:val="clear"/>
            <w:tcMar>
              <w:top w:type="dxa" w:w="120"/>
              <w:left w:type="dxa" w:w="140"/>
              <w:bottom w:type="dxa" w:w="120"/>
              <w:right w:type="dxa" w:w="140"/>
            </w:tcMar>
          </w:tcPr>
          <w:p>
            <w:pPr>
              <w:jc w:val="center"/>
            </w:pPr>
            <w:r>
              <w:rPr>
                <w:rFonts w:ascii="Calibri" w:cs="Calibri" w:eastAsia="Calibri" w:hAnsi="Calibri"/>
                <w:b w:val="false"/>
                <w:bCs w:val="false"/>
                <w:color w:val="1F2937"/>
                <w:sz w:val="20"/>
                <w:szCs w:val="20"/>
              </w:rPr>
              <w:t xml:space="preserve">0% – 30%
(&lt; 30% in PDF)</w:t>
            </w:r>
          </w:p>
        </w:tc>
        <w:tc>
          <w:tcPr>
            <w:tcW w:type="pct" w:w="700"/>
            <w:shd w:fill="FEE2E2" w:val="clear"/>
            <w:tcMar>
              <w:top w:type="dxa" w:w="120"/>
              <w:left w:type="dxa" w:w="140"/>
              <w:bottom w:type="dxa" w:w="120"/>
              <w:right w:type="dxa" w:w="140"/>
            </w:tcMar>
          </w:tcPr>
          <w:p>
            <w:pPr>
              <w:jc w:val="center"/>
            </w:pPr>
            <w:r>
              <w:rPr>
                <w:rFonts w:ascii="Calibri" w:cs="Calibri" w:eastAsia="Calibri" w:hAnsi="Calibri"/>
                <w:b/>
                <w:bCs/>
                <w:color w:val="B91C1C"/>
                <w:sz w:val="20"/>
                <w:szCs w:val="20"/>
              </w:rPr>
              <w:t xml:space="preserve">1S</w:t>
            </w:r>
          </w:p>
        </w:tc>
        <w:tc>
          <w:tcPr>
            <w:tcW w:type="pct" w:w="11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Sort Only</w:t>
            </w:r>
          </w:p>
        </w:tc>
        <w:tc>
          <w:tcPr>
            <w:tcW w:type="pct" w:w="1100"/>
            <w:shd w:fill="F9FAFB" w:val="clear"/>
            <w:tcMar>
              <w:top w:type="dxa" w:w="120"/>
              <w:left w:type="dxa" w:w="140"/>
              <w:bottom w:type="dxa" w:w="120"/>
              <w:right w:type="dxa" w:w="140"/>
            </w:tcMar>
          </w:tcPr>
          <w:p>
            <w:pPr>
              <w:jc w:val="left"/>
            </w:pPr>
            <w:r>
              <w:rPr>
                <w:rFonts w:ascii="Calibri" w:cs="Calibri" w:eastAsia="Calibri" w:hAnsi="Calibri"/>
                <w:b/>
                <w:bCs/>
                <w:color w:val="B91C1C"/>
                <w:sz w:val="20"/>
                <w:szCs w:val="20"/>
              </w:rPr>
              <w:t xml:space="preserve">Critical</w:t>
            </w:r>
          </w:p>
        </w:tc>
        <w:tc>
          <w:tcPr>
            <w:tcW w:type="pct" w:w="1200"/>
            <w:shd w:fill="FEE2E2" w:val="clear"/>
            <w:tcMar>
              <w:top w:type="dxa" w:w="120"/>
              <w:left w:type="dxa" w:w="140"/>
              <w:bottom w:type="dxa" w:w="120"/>
              <w:right w:type="dxa" w:w="140"/>
            </w:tcMar>
          </w:tcPr>
          <w:p>
            <w:pPr>
              <w:jc w:val="center"/>
            </w:pPr>
            <w:r>
              <w:rPr>
                <w:rFonts w:ascii="Calibri" w:cs="Calibri" w:eastAsia="Calibri" w:hAnsi="Calibri"/>
                <w:b/>
                <w:bCs/>
                <w:color w:val="B91C1C"/>
                <w:sz w:val="20"/>
                <w:szCs w:val="20"/>
              </w:rPr>
              <w:t xml:space="preserve">Needs Improvement</w:t>
            </w:r>
          </w:p>
        </w:tc>
      </w:tr>
    </w:tbl>
    <w:p>
      <w:pPr>
        <w:pStyle w:val="Heading1"/>
        <w:spacing w:after="120" w:before="360"/>
      </w:pPr>
      <w:r>
        <w:rPr>
          <w:rFonts w:ascii="Calibri" w:cs="Calibri" w:eastAsia="Calibri" w:hAnsi="Calibri"/>
          <w:b/>
          <w:bCs/>
          <w:color w:val="1E3A8A"/>
          <w:sz w:val="28"/>
          <w:szCs w:val="28"/>
        </w:rPr>
        <w:t xml:space="preserve">4. Compliance Benchmark (90% Threshold)</w:t>
      </w:r>
    </w:p>
    <w:p>
      <w:pPr>
        <w:spacing w:after="100" w:before="60"/>
        <w:jc w:val="left"/>
      </w:pPr>
      <w:r>
        <w:rPr>
          <w:rFonts w:ascii="Calibri" w:cs="Calibri" w:eastAsia="Calibri" w:hAnsi="Calibri"/>
          <w:b w:val="false"/>
          <w:bCs w:val="false"/>
          <w:i w:val="false"/>
          <w:iCs w:val="false"/>
          <w:color w:val="1F2937"/>
          <w:sz w:val="22"/>
          <w:szCs w:val="22"/>
        </w:rPr>
        <w:t xml:space="preserve">The platform enforces a company-wide benchmark constant:</w:t>
      </w:r>
    </w:p>
    <w:p>
      <w:pPr>
        <w:pStyle w:val="ListParagraph"/>
        <w:numPr>
          <w:ilvl w:val="0"/>
          <w:numId w:val="1"/>
        </w:numPr>
        <w:spacing w:after="60" w:before="40"/>
      </w:pPr>
      <w:r>
        <w:rPr>
          <w:rFonts w:ascii="Calibri" w:cs="Calibri" w:eastAsia="Calibri" w:hAnsi="Calibri"/>
          <w:b/>
          <w:bCs/>
          <w:color w:val="1F2937"/>
          <w:sz w:val="22"/>
          <w:szCs w:val="22"/>
        </w:rPr>
        <w:t xml:space="preserve">Benchmark Constant: </w:t>
      </w:r>
      <w:r>
        <w:rPr>
          <w:rFonts w:ascii="Calibri" w:cs="Calibri" w:eastAsia="Calibri" w:hAnsi="Calibri"/>
          <w:color w:val="1F2937"/>
          <w:sz w:val="22"/>
          <w:szCs w:val="22"/>
        </w:rPr>
        <w:t xml:space="preserve">Defined as `COMPLIANCE_TARGET = 90` in `DashboardClient.tsx` and PDF generation templates.</w:t>
      </w:r>
    </w:p>
    <w:p>
      <w:pPr>
        <w:pStyle w:val="ListParagraph"/>
        <w:numPr>
          <w:ilvl w:val="0"/>
          <w:numId w:val="1"/>
        </w:numPr>
        <w:spacing w:after="60" w:before="40"/>
      </w:pPr>
      <w:r>
        <w:rPr>
          <w:rFonts w:ascii="Calibri" w:cs="Calibri" w:eastAsia="Calibri" w:hAnsi="Calibri"/>
          <w:b/>
          <w:bCs/>
          <w:color w:val="1F2937"/>
          <w:sz w:val="22"/>
          <w:szCs w:val="22"/>
        </w:rPr>
        <w:t xml:space="preserve">Satisfactory (≥ 90%): </w:t>
      </w:r>
      <w:r>
        <w:rPr>
          <w:rFonts w:ascii="Calibri" w:cs="Calibri" w:eastAsia="Calibri" w:hAnsi="Calibri"/>
          <w:color w:val="1F2937"/>
          <w:sz w:val="22"/>
          <w:szCs w:val="22"/>
        </w:rPr>
        <w:t xml:space="preserve">Any department or individual audit scoring 90% or greater is flagged as 'SATISFACTORY' (Compliant, Green indicator).</w:t>
      </w:r>
    </w:p>
    <w:p>
      <w:pPr>
        <w:pStyle w:val="ListParagraph"/>
        <w:numPr>
          <w:ilvl w:val="0"/>
          <w:numId w:val="1"/>
        </w:numPr>
        <w:spacing w:after="60" w:before="40"/>
      </w:pPr>
      <w:r>
        <w:rPr>
          <w:rFonts w:ascii="Calibri" w:cs="Calibri" w:eastAsia="Calibri" w:hAnsi="Calibri"/>
          <w:b/>
          <w:bCs/>
          <w:color w:val="1F2937"/>
          <w:sz w:val="22"/>
          <w:szCs w:val="22"/>
        </w:rPr>
        <w:t xml:space="preserve">Needs Improvement (&lt; 90%): </w:t>
      </w:r>
      <w:r>
        <w:rPr>
          <w:rFonts w:ascii="Calibri" w:cs="Calibri" w:eastAsia="Calibri" w:hAnsi="Calibri"/>
          <w:color w:val="1F2937"/>
          <w:sz w:val="22"/>
          <w:szCs w:val="22"/>
        </w:rPr>
        <w:t xml:space="preserve">Any audit scoring below 90% is classified as 'NEEDS IMPROVEMENT' (Non-compliant, Red/Amber indicator). This requires timely submission of CAPA actions.</w:t>
      </w:r>
    </w:p>
    <w:p>
      <w:pPr>
        <w:pStyle w:val="Heading1"/>
        <w:spacing w:after="120" w:before="360"/>
      </w:pPr>
      <w:r>
        <w:rPr>
          <w:rFonts w:ascii="Calibri" w:cs="Calibri" w:eastAsia="Calibri" w:hAnsi="Calibri"/>
          <w:b/>
          <w:bCs/>
          <w:color w:val="1E3A8A"/>
          <w:sz w:val="28"/>
          <w:szCs w:val="28"/>
        </w:rPr>
        <w:t xml:space="preserve">5. Category / Pillar-Level Breakdown</w:t>
      </w:r>
    </w:p>
    <w:p>
      <w:pPr>
        <w:spacing w:after="100" w:before="60"/>
        <w:jc w:val="left"/>
      </w:pPr>
      <w:r>
        <w:rPr>
          <w:rFonts w:ascii="Calibri" w:cs="Calibri" w:eastAsia="Calibri" w:hAnsi="Calibri"/>
          <w:b w:val="false"/>
          <w:bCs w:val="false"/>
          <w:i w:val="false"/>
          <w:iCs w:val="false"/>
          <w:color w:val="1F2937"/>
          <w:sz w:val="22"/>
          <w:szCs w:val="22"/>
        </w:rPr>
        <w:t xml:space="preserve">In addition to the overall score, scores are calculated independently for each 6S pillar: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1805"/>
        <w:gridCol w:w="2257"/>
        <w:gridCol w:w="3610"/>
      </w:tblGrid>
      <w:tr>
        <w:tc>
          <w:tcPr>
            <w:tcW w:type="pct" w:w="750"/>
            <w:shd w:fill="1E3A8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Pillar Code</w:t>
            </w:r>
          </w:p>
        </w:tc>
        <w:tc>
          <w:tcPr>
            <w:tcW w:type="pct" w:w="100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Japanese Term</w:t>
            </w:r>
          </w:p>
        </w:tc>
        <w:tc>
          <w:tcPr>
            <w:tcW w:type="pct" w:w="125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English Name</w:t>
            </w:r>
          </w:p>
        </w:tc>
        <w:tc>
          <w:tcPr>
            <w:tcW w:type="pct" w:w="200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Evaluation Focus</w:t>
            </w:r>
          </w:p>
        </w:tc>
      </w:tr>
      <w:tr>
        <w:tc>
          <w:tcPr>
            <w:tcW w:type="pct" w:w="75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1S</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Seiri</w:t>
            </w:r>
          </w:p>
        </w:tc>
        <w:tc>
          <w:tcPr>
            <w:tcW w:type="pct" w:w="1250"/>
            <w:shd w:fill="FFFFFF"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SORT</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Red tag control, removal of unwanted/obsolete items.</w:t>
            </w:r>
          </w:p>
        </w:tc>
      </w:tr>
      <w:tr>
        <w:tc>
          <w:tcPr>
            <w:tcW w:type="pct" w:w="750"/>
            <w:shd w:fill="F9FAFB"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2S</w:t>
            </w:r>
          </w:p>
        </w:tc>
        <w:tc>
          <w:tcPr>
            <w:tcW w:type="pct" w:w="10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Seiton</w:t>
            </w:r>
          </w:p>
        </w:tc>
        <w:tc>
          <w:tcPr>
            <w:tcW w:type="pct" w:w="1250"/>
            <w:shd w:fill="F9FAFB"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SET IN ORDER</w:t>
            </w:r>
          </w:p>
        </w:tc>
        <w:tc>
          <w:tcPr>
            <w:tcW w:type="pct" w:w="20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Designated locations, clear labelling, aisle demarcation.</w:t>
            </w:r>
          </w:p>
        </w:tc>
      </w:tr>
      <w:tr>
        <w:tc>
          <w:tcPr>
            <w:tcW w:type="pct" w:w="75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3S</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Seiso</w:t>
            </w:r>
          </w:p>
        </w:tc>
        <w:tc>
          <w:tcPr>
            <w:tcW w:type="pct" w:w="1250"/>
            <w:shd w:fill="FFFFFF"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SHINE</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Cleanliness of machines, floors, leakage/dust prevention.</w:t>
            </w:r>
          </w:p>
        </w:tc>
      </w:tr>
      <w:tr>
        <w:tc>
          <w:tcPr>
            <w:tcW w:type="pct" w:w="750"/>
            <w:shd w:fill="F9FAFB"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4S</w:t>
            </w:r>
          </w:p>
        </w:tc>
        <w:tc>
          <w:tcPr>
            <w:tcW w:type="pct" w:w="10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Seiketsu</w:t>
            </w:r>
          </w:p>
        </w:tc>
        <w:tc>
          <w:tcPr>
            <w:tcW w:type="pct" w:w="1250"/>
            <w:shd w:fill="F9FAFB"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STANDARDIZE</w:t>
            </w:r>
          </w:p>
        </w:tc>
        <w:tc>
          <w:tcPr>
            <w:tcW w:type="pct" w:w="20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Visual standards, SOPs, cleaning schedules and ownership.</w:t>
            </w:r>
          </w:p>
        </w:tc>
      </w:tr>
      <w:tr>
        <w:tc>
          <w:tcPr>
            <w:tcW w:type="pct" w:w="75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5S</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Shitsuke</w:t>
            </w:r>
          </w:p>
        </w:tc>
        <w:tc>
          <w:tcPr>
            <w:tcW w:type="pct" w:w="1250"/>
            <w:shd w:fill="FFFFFF"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SUSTAIN</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Audit discipline, habit formation, verifying past CAPA.</w:t>
            </w:r>
          </w:p>
        </w:tc>
      </w:tr>
      <w:tr>
        <w:tc>
          <w:tcPr>
            <w:tcW w:type="pct" w:w="750"/>
            <w:shd w:fill="F9FAFB"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6S</w:t>
            </w:r>
          </w:p>
        </w:tc>
        <w:tc>
          <w:tcPr>
            <w:tcW w:type="pct" w:w="10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Safety</w:t>
            </w:r>
          </w:p>
        </w:tc>
        <w:tc>
          <w:tcPr>
            <w:tcW w:type="pct" w:w="1250"/>
            <w:shd w:fill="F9FAFB"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SAFETY</w:t>
            </w:r>
          </w:p>
        </w:tc>
        <w:tc>
          <w:tcPr>
            <w:tcW w:type="pct" w:w="20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PPE, machine guarding, fire/electrical safety, hazard control.</w:t>
            </w:r>
          </w:p>
        </w:tc>
      </w:tr>
      <w:tr>
        <w:tc>
          <w:tcPr>
            <w:tcW w:type="pct" w:w="750"/>
            <w:shd w:fill="FFFFFF" w:val="clear"/>
            <w:tcMar>
              <w:top w:type="dxa" w:w="120"/>
              <w:left w:type="dxa" w:w="140"/>
              <w:bottom w:type="dxa" w:w="120"/>
              <w:right w:type="dxa" w:w="140"/>
            </w:tcMar>
          </w:tcPr>
          <w:p>
            <w:pPr>
              <w:jc w:val="center"/>
            </w:pPr>
            <w:r>
              <w:rPr>
                <w:rFonts w:ascii="Calibri" w:cs="Calibri" w:eastAsia="Calibri" w:hAnsi="Calibri"/>
                <w:b/>
                <w:bCs/>
                <w:color w:val="1F2937"/>
                <w:sz w:val="20"/>
                <w:szCs w:val="20"/>
              </w:rPr>
              <w:t xml:space="preserve">7S</w:t>
            </w:r>
          </w:p>
        </w:tc>
        <w:tc>
          <w:tcPr>
            <w:tcW w:type="pct" w:w="1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Environment</w:t>
            </w:r>
          </w:p>
        </w:tc>
        <w:tc>
          <w:tcPr>
            <w:tcW w:type="pct" w:w="1250"/>
            <w:shd w:fill="FFFFFF"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ENVIRONMENT (Optional)</w:t>
            </w:r>
          </w:p>
        </w:tc>
        <w:tc>
          <w:tcPr>
            <w:tcW w:type="pct" w:w="20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Waste segregation, spill prevention, chemical handling.</w:t>
            </w:r>
          </w:p>
        </w:tc>
      </w:tr>
    </w:tbl>
    <w:p>
      <w:pPr>
        <w:spacing w:after="100" w:before="60"/>
        <w:jc w:val="left"/>
      </w:pPr>
      <w:r>
        <w:rPr>
          <w:rFonts w:ascii="Calibri" w:cs="Calibri" w:eastAsia="Calibri" w:hAnsi="Calibri"/>
          <w:b w:val="false"/>
          <w:bCs w:val="false"/>
          <w:i w:val="false"/>
          <w:iCs w:val="false"/>
          <w:color w:val="1F2937"/>
          <w:sz w:val="22"/>
          <w:szCs w:val="22"/>
        </w:rPr>
        <w:t xml:space="preserve">Category Formula:</w:t>
      </w:r>
    </w:p>
    <w:p>
      <w:pPr>
        <w:spacing w:after="20" w:before="20"/>
      </w:pPr>
      <w:r>
        <w:rPr>
          <w:rFonts w:ascii="Consolas" w:cs="Consolas" w:eastAsia="Consolas" w:hAnsi="Consolas"/>
          <w:color w:val="0F172A"/>
          <w:sz w:val="19"/>
          <w:szCs w:val="19"/>
        </w:rPr>
        <w:t xml:space="preserve">Category Score (%) = round( (Category Adequate Count / Category Applicable Items) * 100 )</w:t>
      </w:r>
    </w:p>
    <w:p>
      <w:pPr>
        <w:pStyle w:val="Heading1"/>
        <w:spacing w:after="120" w:before="360"/>
      </w:pPr>
      <w:r>
        <w:rPr>
          <w:rFonts w:ascii="Calibri" w:cs="Calibri" w:eastAsia="Calibri" w:hAnsi="Calibri"/>
          <w:b/>
          <w:bCs/>
          <w:color w:val="1E3A8A"/>
          <w:sz w:val="28"/>
          <w:szCs w:val="28"/>
        </w:rPr>
        <w:t xml:space="preserve">6. Monthly Aggregation &amp; Pooling Logic</w:t>
      </w:r>
    </w:p>
    <w:p>
      <w:pPr>
        <w:spacing w:after="100" w:before="60"/>
        <w:jc w:val="left"/>
      </w:pPr>
      <w:r>
        <w:rPr>
          <w:rFonts w:ascii="Calibri" w:cs="Calibri" w:eastAsia="Calibri" w:hAnsi="Calibri"/>
          <w:b w:val="false"/>
          <w:bCs w:val="false"/>
          <w:i w:val="false"/>
          <w:iCs w:val="false"/>
          <w:color w:val="1F2937"/>
          <w:sz w:val="22"/>
          <w:szCs w:val="22"/>
        </w:rPr>
        <w:t xml:space="preserve">A major architectural strength of the 6S AuditPro system is how it merges multiple audits (e.g., a Standard monthly audit + mid-month Ad-hoc audits) for the same department:</w:t>
      </w:r>
    </w:p>
    <w:p>
      <w:pPr>
        <w:pStyle w:val="ListParagraph"/>
        <w:numPr>
          <w:ilvl w:val="0"/>
          <w:numId w:val="1"/>
        </w:numPr>
        <w:spacing w:after="60" w:before="40"/>
      </w:pPr>
      <w:r>
        <w:rPr>
          <w:rFonts w:ascii="Calibri" w:cs="Calibri" w:eastAsia="Calibri" w:hAnsi="Calibri"/>
          <w:b/>
          <w:bCs/>
          <w:color w:val="1F2937"/>
          <w:sz w:val="22"/>
          <w:szCs w:val="22"/>
        </w:rPr>
        <w:t xml:space="preserve">Why Not Average Percentages? </w:t>
      </w:r>
      <w:r>
        <w:rPr>
          <w:rFonts w:ascii="Calibri" w:cs="Calibri" w:eastAsia="Calibri" w:hAnsi="Calibri"/>
          <w:color w:val="1F2937"/>
          <w:sz w:val="22"/>
          <w:szCs w:val="22"/>
        </w:rPr>
        <w:t xml:space="preserve">A simple mathematical average of audit percentages is strictly avoided. For example, averaging a 2-question ad-hoc audit (score 50%) with a 50-question standard audit (score 90%) would result in (50 + 90)/2 = 70%, which severely misrepresents actual operational compliance.</w:t>
      </w:r>
    </w:p>
    <w:p>
      <w:pPr>
        <w:pStyle w:val="ListParagraph"/>
        <w:numPr>
          <w:ilvl w:val="0"/>
          <w:numId w:val="1"/>
        </w:numPr>
        <w:spacing w:after="60" w:before="40"/>
      </w:pPr>
      <w:r>
        <w:rPr>
          <w:rFonts w:ascii="Calibri" w:cs="Calibri" w:eastAsia="Calibri" w:hAnsi="Calibri"/>
          <w:b/>
          <w:bCs/>
          <w:color w:val="1F2937"/>
          <w:sz w:val="22"/>
          <w:szCs w:val="22"/>
        </w:rPr>
        <w:t xml:space="preserve">Pooled Raw Count Principle: </w:t>
      </w:r>
      <w:r>
        <w:rPr>
          <w:rFonts w:ascii="Calibri" w:cs="Calibri" w:eastAsia="Calibri" w:hAnsi="Calibri"/>
          <w:color w:val="1F2937"/>
          <w:sz w:val="22"/>
          <w:szCs w:val="22"/>
        </w:rPr>
        <w:t xml:space="preserve">The function `mergeAuditScores()` in `lib/audit-scoring.ts` aggregates all raw checklist counts before computing the percentage:</w:t>
      </w:r>
    </w:p>
    <w:p>
      <w:pPr>
        <w:spacing w:after="20" w:before="20"/>
      </w:pPr>
      <w:r>
        <w:rPr>
          <w:rFonts w:ascii="Consolas" w:cs="Consolas" w:eastAsia="Consolas" w:hAnsi="Consolas"/>
          <w:color w:val="0F172A"/>
          <w:sz w:val="19"/>
          <w:szCs w:val="19"/>
        </w:rPr>
        <w:t xml:space="preserve">Pooled Adequate   = Sum of adequateCount across all audits in month</w:t>
      </w:r>
    </w:p>
    <w:p>
      <w:pPr>
        <w:spacing w:after="20" w:before="20"/>
      </w:pPr>
      <w:r>
        <w:rPr>
          <w:rFonts w:ascii="Consolas" w:cs="Consolas" w:eastAsia="Consolas" w:hAnsi="Consolas"/>
          <w:color w:val="0F172A"/>
          <w:sz w:val="19"/>
          <w:szCs w:val="19"/>
        </w:rPr>
        <w:t xml:space="preserve">Pooled Applicable = Sum of applicableCount across all audits in month</w:t>
      </w:r>
    </w:p>
    <w:p>
      <w:pPr>
        <w:spacing w:after="20" w:before="20"/>
      </w:pPr>
      <w:r>
        <w:rPr>
          <w:rFonts w:ascii="Consolas" w:cs="Consolas" w:eastAsia="Consolas" w:hAnsi="Consolas"/>
          <w:color w:val="0F172A"/>
          <w:sz w:val="19"/>
          <w:szCs w:val="19"/>
        </w:rPr>
        <w:t xml:space="preserve">Monthly Merged %  = round( (Pooled Adequate / Pooled Applicable) * 100 )</w:t>
      </w:r>
    </w:p>
    <w:p>
      <w:pPr>
        <w:pStyle w:val="Heading1"/>
        <w:spacing w:after="120" w:before="360"/>
      </w:pPr>
      <w:r>
        <w:rPr>
          <w:rFonts w:ascii="Calibri" w:cs="Calibri" w:eastAsia="Calibri" w:hAnsi="Calibri"/>
          <w:b/>
          <w:bCs/>
          <w:color w:val="1E3A8A"/>
          <w:sz w:val="28"/>
          <w:szCs w:val="28"/>
        </w:rPr>
        <w:t xml:space="preserve">7. Code Implementation &amp; File Map</w:t>
      </w:r>
    </w:p>
    <w:p>
      <w:pPr>
        <w:spacing w:after="100" w:before="60"/>
        <w:jc w:val="left"/>
      </w:pPr>
      <w:r>
        <w:rPr>
          <w:rFonts w:ascii="Calibri" w:cs="Calibri" w:eastAsia="Calibri" w:hAnsi="Calibri"/>
          <w:b w:val="false"/>
          <w:bCs w:val="false"/>
          <w:i w:val="false"/>
          <w:iCs w:val="false"/>
          <w:color w:val="1F2937"/>
          <w:sz w:val="22"/>
          <w:szCs w:val="22"/>
        </w:rPr>
        <w:t xml:space="preserve">The following table maps the scoring functionality to specific files in the codebase: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159"/>
        <w:gridCol w:w="3159"/>
        <w:gridCol w:w="2708"/>
      </w:tblGrid>
      <w:tr>
        <w:tc>
          <w:tcPr>
            <w:tcW w:type="pct" w:w="175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File Path</w:t>
            </w:r>
          </w:p>
        </w:tc>
        <w:tc>
          <w:tcPr>
            <w:tcW w:type="pct" w:w="175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Key Functions / Symbols</w:t>
            </w:r>
          </w:p>
        </w:tc>
        <w:tc>
          <w:tcPr>
            <w:tcW w:type="pct" w:w="1500"/>
            <w:shd w:fill="1E3A8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Description</w:t>
            </w:r>
          </w:p>
        </w:tc>
      </w:tr>
      <w:tr>
        <w:tc>
          <w:tcPr>
            <w:tcW w:type="pct" w:w="1750"/>
            <w:shd w:fill="FFFFFF"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lib/audit-scoring.ts</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calculateDepartmentAuditScore()
scoreLabel()
mergeAuditScores()</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Core scoring engine, 1S-6S labels, transfer logic, and monthly aggregation.</w:t>
            </w:r>
          </w:p>
        </w:tc>
      </w:tr>
      <w:tr>
        <w:tc>
          <w:tcPr>
            <w:tcW w:type="pct" w:w="1750"/>
            <w:shd w:fill="F9FAFB"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lib/audit-pdf.ts</w:t>
            </w:r>
          </w:p>
        </w:tc>
        <w:tc>
          <w:tcPr>
            <w:tcW w:type="pct" w:w="175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ratingFor()
scoreBandColor()
barColor()</w:t>
            </w:r>
          </w:p>
        </w:tc>
        <w:tc>
          <w:tcPr>
            <w:tcW w:type="pct" w:w="15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PDF generation, score card badges, category bar charts, and status.</w:t>
            </w:r>
          </w:p>
        </w:tc>
      </w:tr>
      <w:tr>
        <w:tc>
          <w:tcPr>
            <w:tcW w:type="pct" w:w="1750"/>
            <w:shd w:fill="FFFFFF"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lib/status-styles.ts</w:t>
            </w:r>
          </w:p>
        </w:tc>
        <w:tc>
          <w:tcPr>
            <w:tcW w:type="pct" w:w="175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scoreBadgeStyle()</w:t>
            </w:r>
          </w:p>
        </w:tc>
        <w:tc>
          <w:tcPr>
            <w:tcW w:type="pct" w:w="1500"/>
            <w:shd w:fill="FFFFFF"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UI badge color mapping based on percentage thresholds.</w:t>
            </w:r>
          </w:p>
        </w:tc>
      </w:tr>
      <w:tr>
        <w:tc>
          <w:tcPr>
            <w:tcW w:type="pct" w:w="1750"/>
            <w:shd w:fill="F9FAFB" w:val="clear"/>
            <w:tcMar>
              <w:top w:type="dxa" w:w="120"/>
              <w:left w:type="dxa" w:w="140"/>
              <w:bottom w:type="dxa" w:w="120"/>
              <w:right w:type="dxa" w:w="140"/>
            </w:tcMar>
          </w:tcPr>
          <w:p>
            <w:pPr>
              <w:jc w:val="left"/>
            </w:pPr>
            <w:r>
              <w:rPr>
                <w:rFonts w:ascii="Calibri" w:cs="Calibri" w:eastAsia="Calibri" w:hAnsi="Calibri"/>
                <w:b/>
                <w:bCs/>
                <w:color w:val="1F2937"/>
                <w:sz w:val="20"/>
                <w:szCs w:val="20"/>
              </w:rPr>
              <w:t xml:space="preserve">scripts/audit-scoring-tests.ts</w:t>
            </w:r>
          </w:p>
        </w:tc>
        <w:tc>
          <w:tcPr>
            <w:tcW w:type="pct" w:w="175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Unit Test Suite</w:t>
            </w:r>
          </w:p>
        </w:tc>
        <w:tc>
          <w:tcPr>
            <w:tcW w:type="pct" w:w="1500"/>
            <w:shd w:fill="F9FAFB" w:val="clear"/>
            <w:tcMar>
              <w:top w:type="dxa" w:w="120"/>
              <w:left w:type="dxa" w:w="140"/>
              <w:bottom w:type="dxa" w:w="120"/>
              <w:right w:type="dxa" w:w="140"/>
            </w:tcMar>
          </w:tcPr>
          <w:p>
            <w:pPr>
              <w:jc w:val="left"/>
            </w:pPr>
            <w:r>
              <w:rPr>
                <w:rFonts w:ascii="Calibri" w:cs="Calibri" w:eastAsia="Calibri" w:hAnsi="Calibri"/>
                <w:b w:val="false"/>
                <w:bCs w:val="false"/>
                <w:color w:val="1F2937"/>
                <w:sz w:val="20"/>
                <w:szCs w:val="20"/>
              </w:rPr>
              <w:t xml:space="preserve">Verification tests validating transfers, weighting, and boundary scores.</w:t>
            </w:r>
          </w:p>
        </w:tc>
      </w:tr>
    </w:tbl>
    <w:p>
      <w:pPr>
        <w:spacing w:before="400"/>
        <w:jc w:val="center"/>
      </w:pPr>
      <w:r>
        <w:rPr>
          <w:rFonts w:ascii="Calibri" w:cs="Calibri" w:eastAsia="Calibri" w:hAnsi="Calibri"/>
          <w:i/>
          <w:iCs/>
          <w:color w:val="4B5563"/>
          <w:sz w:val="20"/>
          <w:szCs w:val="20"/>
        </w:rPr>
        <w:t xml:space="preserve">--- End of Document ---</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2026-10-14T06:15:41.743Z</dcterms:created>
  <dcterms:modified xsi:type="dcterms:W3CDTF">2026-10-14T06:15:41.744Z</dcterms:modified>
</cp:coreProperties>
</file>

<file path=docProps/custom.xml><?xml version="1.0" encoding="utf-8"?>
<Properties xmlns="http://schemas.openxmlformats.org/officeDocument/2006/custom-properties" xmlns:vt="http://schemas.openxmlformats.org/officeDocument/2006/docPropsVTypes"/>
</file>