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6"/>
        </w:rPr>
        <w:t>PLAYWRIGHT AI STUDIO</w:t>
      </w:r>
    </w:p>
    <w:p>
      <w:pPr>
        <w:jc w:val="center"/>
      </w:pPr>
      <w:r>
        <w:rPr>
          <w:color w:val="595959"/>
          <w:sz w:val="28"/>
        </w:rPr>
        <w:t>Technical Design Document</w:t>
      </w:r>
    </w:p>
    <w:p>
      <w:pPr>
        <w:spacing w:after="120"/>
      </w:pPr>
      <w:r>
        <w:t>Date: June 8, 2026</w:t>
      </w:r>
    </w:p>
    <w:p>
      <w:pPr>
        <w:spacing w:after="240"/>
      </w:pPr>
      <w:r>
        <w:t>Version: 1.0</w:t>
      </w:r>
    </w:p>
    <w:p>
      <w:pPr>
        <w:pStyle w:val="Heading1"/>
      </w:pPr>
      <w:r>
        <w:rPr>
          <w:color w:val="1F4E78"/>
        </w:rPr>
        <w:t>1. Executive Summary</w:t>
      </w:r>
    </w:p>
    <w:p>
      <w:r>
        <w:t>Playwright AI Studio is an AI-powered test synthesis and auto-healing platform that combines Azure OpenAI (GPT-4o), Python FastAPI backend, and Playwright for automated browser testing. The platform enables developers to describe test cases in plain English, synthesize complete TypeScript Playwright test scripts with AI assistance, and automatically heal failing tests through vision-assisted analysis and correction.</w:t>
      </w:r>
    </w:p>
    <w:p>
      <w:pPr>
        <w:pStyle w:val="Heading1"/>
      </w:pPr>
      <w:r>
        <w:rPr>
          <w:color w:val="1F4E78"/>
        </w:rPr>
        <w:t>2. Architecture Overview</w:t>
      </w:r>
    </w:p>
    <w:p>
      <w:pPr>
        <w:pStyle w:val="Heading2"/>
      </w:pPr>
      <w:r>
        <w:rPr>
          <w:color w:val="2E75B6"/>
        </w:rPr>
        <w:t>2.1 High-Level Architecture</w:t>
      </w:r>
    </w:p>
    <w:p>
      <w:r>
        <w:t>The system consists of three primary layers:</w:t>
      </w:r>
    </w:p>
    <w:tbl>
      <w:tblPr>
        <w:tblStyle w:val="LightGrid-Accent1"/>
        <w:tblW w:type="auto" w:w="0"/>
        <w:tblLayout w:type="fixed"/>
        <w:tblLook w:firstColumn="1" w:firstRow="1" w:lastColumn="0" w:lastRow="0" w:noHBand="0" w:noVBand="1" w:val="04A0"/>
      </w:tblPr>
      <w:tblGrid>
        <w:gridCol w:w="4320"/>
        <w:gridCol w:w="4320"/>
      </w:tblGrid>
      <w:tr>
        <w:tc>
          <w:tcPr>
            <w:tcW w:type="dxa" w:w="4320"/>
            <w:shd w:fill="2E75B6"/>
          </w:tcPr>
          <w:p>
            <w:r>
              <w:rPr>
                <w:b/>
                <w:color w:val="FFFFFF"/>
              </w:rPr>
              <w:t>Layer</w:t>
            </w:r>
          </w:p>
        </w:tc>
        <w:tc>
          <w:tcPr>
            <w:tcW w:type="dxa" w:w="4320"/>
            <w:shd w:fill="2E75B6"/>
          </w:tcPr>
          <w:p>
            <w:r>
              <w:rPr>
                <w:b/>
                <w:color w:val="FFFFFF"/>
              </w:rPr>
              <w:t>Description</w:t>
            </w:r>
          </w:p>
        </w:tc>
      </w:tr>
      <w:tr>
        <w:tc>
          <w:tcPr>
            <w:tcW w:type="dxa" w:w="4320"/>
            <w:tcBorders>
              <w:top w:val="single" w:sz="4" w:space="0" w:color="CCCCCC"/>
              <w:left w:val="single" w:sz="4" w:space="0" w:color="CCCCCC"/>
              <w:bottom w:val="single" w:sz="4" w:space="0" w:color="CCCCCC"/>
              <w:right w:val="single" w:sz="4" w:space="0" w:color="CCCCCC"/>
            </w:tcBorders>
          </w:tcPr>
          <w:p>
            <w:r>
              <w:t>Frontend</w:t>
            </w:r>
          </w:p>
        </w:tc>
        <w:tc>
          <w:tcPr>
            <w:tcW w:type="dxa" w:w="4320"/>
            <w:tcBorders>
              <w:top w:val="single" w:sz="4" w:space="0" w:color="CCCCCC"/>
              <w:left w:val="single" w:sz="4" w:space="0" w:color="CCCCCC"/>
              <w:bottom w:val="single" w:sz="4" w:space="0" w:color="CCCCCC"/>
              <w:right w:val="single" w:sz="4" w:space="0" w:color="CCCCCC"/>
            </w:tcBorders>
          </w:tcPr>
          <w:p>
            <w:r>
              <w:t>Single-file HTML UI served at localhost:8000. No build step required. Supports test synthesis, healing workflow, golden file management, and run history visualization.</w:t>
            </w:r>
          </w:p>
        </w:tc>
      </w:tr>
      <w:tr>
        <w:tc>
          <w:tcPr>
            <w:tcW w:type="dxa" w:w="4320"/>
            <w:tcBorders>
              <w:top w:val="single" w:sz="4" w:space="0" w:color="CCCCCC"/>
              <w:left w:val="single" w:sz="4" w:space="0" w:color="CCCCCC"/>
              <w:bottom w:val="single" w:sz="4" w:space="0" w:color="CCCCCC"/>
              <w:right w:val="single" w:sz="4" w:space="0" w:color="CCCCCC"/>
            </w:tcBorders>
          </w:tcPr>
          <w:p>
            <w:r>
              <w:t>Backend</w:t>
            </w:r>
          </w:p>
        </w:tc>
        <w:tc>
          <w:tcPr>
            <w:tcW w:type="dxa" w:w="4320"/>
            <w:tcBorders>
              <w:top w:val="single" w:sz="4" w:space="0" w:color="CCCCCC"/>
              <w:left w:val="single" w:sz="4" w:space="0" w:color="CCCCCC"/>
              <w:bottom w:val="single" w:sz="4" w:space="0" w:color="CCCCCC"/>
              <w:right w:val="single" w:sz="4" w:space="0" w:color="CCCCCC"/>
            </w:tcBorders>
          </w:tcPr>
          <w:p>
            <w:r>
              <w:t>FastAPI server (Python 3.11+). Manages golden file persistence, Playwright test orchestration, LLM service integration, healing engine, and CI integration via GitHub Actions.</w:t>
            </w:r>
          </w:p>
        </w:tc>
      </w:tr>
      <w:tr>
        <w:tc>
          <w:tcPr>
            <w:tcW w:type="dxa" w:w="4320"/>
            <w:tcBorders>
              <w:top w:val="single" w:sz="4" w:space="0" w:color="CCCCCC"/>
              <w:left w:val="single" w:sz="4" w:space="0" w:color="CCCCCC"/>
              <w:bottom w:val="single" w:sz="4" w:space="0" w:color="CCCCCC"/>
              <w:right w:val="single" w:sz="4" w:space="0" w:color="CCCCCC"/>
            </w:tcBorders>
          </w:tcPr>
          <w:p>
            <w:r>
              <w:t>Test Runner</w:t>
            </w:r>
          </w:p>
        </w:tc>
        <w:tc>
          <w:tcPr>
            <w:tcW w:type="dxa" w:w="4320"/>
            <w:tcBorders>
              <w:top w:val="single" w:sz="4" w:space="0" w:color="CCCCCC"/>
              <w:left w:val="single" w:sz="4" w:space="0" w:color="CCCCCC"/>
              <w:bottom w:val="single" w:sz="4" w:space="0" w:color="CCCCCC"/>
              <w:right w:val="single" w:sz="4" w:space="0" w:color="CCCCCC"/>
            </w:tcBorders>
          </w:tcPr>
          <w:p>
            <w:r>
              <w:t>Playwright (Node.js 20+, TypeScript). Executes test scripts locally (validation) and in CI. Generates HTML reports, JSON results, JUnit XML, videos, traces, and screenshots.</w:t>
            </w:r>
          </w:p>
        </w:tc>
      </w:tr>
    </w:tbl>
    <w:p>
      <w:pPr>
        <w:pStyle w:val="Heading2"/>
      </w:pPr>
      <w:r>
        <w:rPr>
          <w:color w:val="2E75B6"/>
        </w:rPr>
        <w:t>2.2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shd w:fill="D5E8F0"/>
          </w:tcPr>
          <w:p>
            <w:r>
              <w:rPr>
                <w:b/>
              </w:rPr>
              <w:t>Component</w:t>
            </w:r>
          </w:p>
        </w:tc>
        <w:tc>
          <w:tcPr>
            <w:tcW w:type="dxa" w:w="2880"/>
            <w:shd w:fill="D5E8F0"/>
          </w:tcPr>
          <w:p>
            <w:r>
              <w:rPr>
                <w:b/>
              </w:rPr>
              <w:t>Technology</w:t>
            </w:r>
          </w:p>
        </w:tc>
        <w:tc>
          <w:tcPr>
            <w:tcW w:type="dxa" w:w="2880"/>
            <w:shd w:fill="D5E8F0"/>
          </w:tcPr>
          <w:p>
            <w:r>
              <w:rPr>
                <w:b/>
              </w:rPr>
              <w:t>Version/Notes</w:t>
            </w:r>
          </w:p>
        </w:tc>
      </w:tr>
      <w:tr>
        <w:tc>
          <w:tcPr>
            <w:tcW w:type="dxa" w:w="2880"/>
            <w:tcBorders>
              <w:top w:val="single" w:sz="4" w:space="0" w:color="CCCCCC"/>
              <w:left w:val="single" w:sz="4" w:space="0" w:color="CCCCCC"/>
              <w:bottom w:val="single" w:sz="4" w:space="0" w:color="CCCCCC"/>
              <w:right w:val="single" w:sz="4" w:space="0" w:color="CCCCCC"/>
            </w:tcBorders>
          </w:tcPr>
          <w:p>
            <w:r>
              <w:t>Backend</w:t>
            </w:r>
          </w:p>
        </w:tc>
        <w:tc>
          <w:tcPr>
            <w:tcW w:type="dxa" w:w="2880"/>
            <w:tcBorders>
              <w:top w:val="single" w:sz="4" w:space="0" w:color="CCCCCC"/>
              <w:left w:val="single" w:sz="4" w:space="0" w:color="CCCCCC"/>
              <w:bottom w:val="single" w:sz="4" w:space="0" w:color="CCCCCC"/>
              <w:right w:val="single" w:sz="4" w:space="0" w:color="CCCCCC"/>
            </w:tcBorders>
          </w:tcPr>
          <w:p>
            <w:r>
              <w:t>FastAPI</w:t>
            </w:r>
          </w:p>
        </w:tc>
        <w:tc>
          <w:tcPr>
            <w:tcW w:type="dxa" w:w="2880"/>
            <w:tcBorders>
              <w:top w:val="single" w:sz="4" w:space="0" w:color="CCCCCC"/>
              <w:left w:val="single" w:sz="4" w:space="0" w:color="CCCCCC"/>
              <w:bottom w:val="single" w:sz="4" w:space="0" w:color="CCCCCC"/>
              <w:right w:val="single" w:sz="4" w:space="0" w:color="CCCCCC"/>
            </w:tcBorders>
          </w:tcPr>
          <w:p>
            <w:r>
              <w:t>Python 3.11+. REST API with async support.</w:t>
            </w:r>
          </w:p>
        </w:tc>
      </w:tr>
      <w:tr>
        <w:tc>
          <w:tcPr>
            <w:tcW w:type="dxa" w:w="2880"/>
            <w:tcBorders>
              <w:top w:val="single" w:sz="4" w:space="0" w:color="CCCCCC"/>
              <w:left w:val="single" w:sz="4" w:space="0" w:color="CCCCCC"/>
              <w:bottom w:val="single" w:sz="4" w:space="0" w:color="CCCCCC"/>
              <w:right w:val="single" w:sz="4" w:space="0" w:color="CCCCCC"/>
            </w:tcBorders>
          </w:tcPr>
          <w:p>
            <w:r>
              <w:t>LLM</w:t>
            </w:r>
          </w:p>
        </w:tc>
        <w:tc>
          <w:tcPr>
            <w:tcW w:type="dxa" w:w="2880"/>
            <w:tcBorders>
              <w:top w:val="single" w:sz="4" w:space="0" w:color="CCCCCC"/>
              <w:left w:val="single" w:sz="4" w:space="0" w:color="CCCCCC"/>
              <w:bottom w:val="single" w:sz="4" w:space="0" w:color="CCCCCC"/>
              <w:right w:val="single" w:sz="4" w:space="0" w:color="CCCCCC"/>
            </w:tcBorders>
          </w:tcPr>
          <w:p>
            <w:r>
              <w:t>Azure OpenAI</w:t>
            </w:r>
          </w:p>
        </w:tc>
        <w:tc>
          <w:tcPr>
            <w:tcW w:type="dxa" w:w="2880"/>
            <w:tcBorders>
              <w:top w:val="single" w:sz="4" w:space="0" w:color="CCCCCC"/>
              <w:left w:val="single" w:sz="4" w:space="0" w:color="CCCCCC"/>
              <w:bottom w:val="single" w:sz="4" w:space="0" w:color="CCCCCC"/>
              <w:right w:val="single" w:sz="4" w:space="0" w:color="CCCCCC"/>
            </w:tcBorders>
          </w:tcPr>
          <w:p>
            <w:r>
              <w:t>GPT-4o deployment for synthesis and healing.</w:t>
            </w:r>
          </w:p>
        </w:tc>
      </w:tr>
      <w:tr>
        <w:tc>
          <w:tcPr>
            <w:tcW w:type="dxa" w:w="2880"/>
            <w:tcBorders>
              <w:top w:val="single" w:sz="4" w:space="0" w:color="CCCCCC"/>
              <w:left w:val="single" w:sz="4" w:space="0" w:color="CCCCCC"/>
              <w:bottom w:val="single" w:sz="4" w:space="0" w:color="CCCCCC"/>
              <w:right w:val="single" w:sz="4" w:space="0" w:color="CCCCCC"/>
            </w:tcBorders>
          </w:tcPr>
          <w:p>
            <w:r>
              <w:t>Test Framework</w:t>
            </w:r>
          </w:p>
        </w:tc>
        <w:tc>
          <w:tcPr>
            <w:tcW w:type="dxa" w:w="2880"/>
            <w:tcBorders>
              <w:top w:val="single" w:sz="4" w:space="0" w:color="CCCCCC"/>
              <w:left w:val="single" w:sz="4" w:space="0" w:color="CCCCCC"/>
              <w:bottom w:val="single" w:sz="4" w:space="0" w:color="CCCCCC"/>
              <w:right w:val="single" w:sz="4" w:space="0" w:color="CCCCCC"/>
            </w:tcBorders>
          </w:tcPr>
          <w:p>
            <w:r>
              <w:t>Playwright</w:t>
            </w:r>
          </w:p>
        </w:tc>
        <w:tc>
          <w:tcPr>
            <w:tcW w:type="dxa" w:w="2880"/>
            <w:tcBorders>
              <w:top w:val="single" w:sz="4" w:space="0" w:color="CCCCCC"/>
              <w:left w:val="single" w:sz="4" w:space="0" w:color="CCCCCC"/>
              <w:bottom w:val="single" w:sz="4" w:space="0" w:color="CCCCCC"/>
              <w:right w:val="single" w:sz="4" w:space="0" w:color="CCCCCC"/>
            </w:tcBorders>
          </w:tcPr>
          <w:p>
            <w:r>
              <w:t>v1.48.0. Supports Chromium, Firefox, WebKit.</w:t>
            </w:r>
          </w:p>
        </w:tc>
      </w:tr>
      <w:tr>
        <w:tc>
          <w:tcPr>
            <w:tcW w:type="dxa" w:w="2880"/>
            <w:tcBorders>
              <w:top w:val="single" w:sz="4" w:space="0" w:color="CCCCCC"/>
              <w:left w:val="single" w:sz="4" w:space="0" w:color="CCCCCC"/>
              <w:bottom w:val="single" w:sz="4" w:space="0" w:color="CCCCCC"/>
              <w:right w:val="single" w:sz="4" w:space="0" w:color="CCCCCC"/>
            </w:tcBorders>
          </w:tcPr>
          <w:p>
            <w:r>
              <w:t>Test Scripts</w:t>
            </w:r>
          </w:p>
        </w:tc>
        <w:tc>
          <w:tcPr>
            <w:tcW w:type="dxa" w:w="2880"/>
            <w:tcBorders>
              <w:top w:val="single" w:sz="4" w:space="0" w:color="CCCCCC"/>
              <w:left w:val="single" w:sz="4" w:space="0" w:color="CCCCCC"/>
              <w:bottom w:val="single" w:sz="4" w:space="0" w:color="CCCCCC"/>
              <w:right w:val="single" w:sz="4" w:space="0" w:color="CCCCCC"/>
            </w:tcBorders>
          </w:tcPr>
          <w:p>
            <w:r>
              <w:t>TypeScript</w:t>
            </w:r>
          </w:p>
        </w:tc>
        <w:tc>
          <w:tcPr>
            <w:tcW w:type="dxa" w:w="2880"/>
            <w:tcBorders>
              <w:top w:val="single" w:sz="4" w:space="0" w:color="CCCCCC"/>
              <w:left w:val="single" w:sz="4" w:space="0" w:color="CCCCCC"/>
              <w:bottom w:val="single" w:sz="4" w:space="0" w:color="CCCCCC"/>
              <w:right w:val="single" w:sz="4" w:space="0" w:color="CCCCCC"/>
            </w:tcBorders>
          </w:tcPr>
          <w:p>
            <w:r>
              <w:t>Synthesized scripts compiled to .spec.ts files.</w:t>
            </w:r>
          </w:p>
        </w:tc>
      </w:tr>
      <w:tr>
        <w:tc>
          <w:tcPr>
            <w:tcW w:type="dxa" w:w="2880"/>
            <w:tcBorders>
              <w:top w:val="single" w:sz="4" w:space="0" w:color="CCCCCC"/>
              <w:left w:val="single" w:sz="4" w:space="0" w:color="CCCCCC"/>
              <w:bottom w:val="single" w:sz="4" w:space="0" w:color="CCCCCC"/>
              <w:right w:val="single" w:sz="4" w:space="0" w:color="CCCCCC"/>
            </w:tcBorders>
          </w:tcPr>
          <w:p>
            <w:r>
              <w:t>CI/CD</w:t>
            </w:r>
          </w:p>
        </w:tc>
        <w:tc>
          <w:tcPr>
            <w:tcW w:type="dxa" w:w="2880"/>
            <w:tcBorders>
              <w:top w:val="single" w:sz="4" w:space="0" w:color="CCCCCC"/>
              <w:left w:val="single" w:sz="4" w:space="0" w:color="CCCCCC"/>
              <w:bottom w:val="single" w:sz="4" w:space="0" w:color="CCCCCC"/>
              <w:right w:val="single" w:sz="4" w:space="0" w:color="CCCCCC"/>
            </w:tcBorders>
          </w:tcPr>
          <w:p>
            <w:r>
              <w:t>GitHub Actions</w:t>
            </w:r>
          </w:p>
        </w:tc>
        <w:tc>
          <w:tcPr>
            <w:tcW w:type="dxa" w:w="2880"/>
            <w:tcBorders>
              <w:top w:val="single" w:sz="4" w:space="0" w:color="CCCCCC"/>
              <w:left w:val="single" w:sz="4" w:space="0" w:color="CCCCCC"/>
              <w:bottom w:val="single" w:sz="4" w:space="0" w:color="CCCCCC"/>
              <w:right w:val="single" w:sz="4" w:space="0" w:color="CCCCCC"/>
            </w:tcBorders>
          </w:tcPr>
          <w:p>
            <w:r>
              <w:t>Three-job workflow: prepare, test, report.</w:t>
            </w:r>
          </w:p>
        </w:tc>
      </w:tr>
    </w:tbl>
    <w:p>
      <w:pPr>
        <w:pStyle w:val="Heading1"/>
      </w:pPr>
      <w:r>
        <w:rPr>
          <w:color w:val="1F4E78"/>
        </w:rPr>
        <w:t>3. Data Flow and Core Workflows</w:t>
      </w:r>
    </w:p>
    <w:p>
      <w:pPr>
        <w:pStyle w:val="Heading2"/>
      </w:pPr>
      <w:r>
        <w:rPr>
          <w:color w:val="2E75B6"/>
        </w:rPr>
        <w:t>3.1 Synthesis Workflow</w:t>
      </w:r>
    </w:p>
    <w:p>
      <w:pPr>
        <w:pStyle w:val="ListBullet"/>
      </w:pPr>
      <w:r>
        <w:t>User provides plain English test description (e.g., "Search GitHub, click first repo, verify page loads")</w:t>
      </w:r>
    </w:p>
    <w:p>
      <w:pPr>
        <w:pStyle w:val="ListBullet"/>
      </w:pPr>
      <w:r>
        <w:t>Backend sends to Azure OpenAI (GPT-4o) with custom synthesis prompt including selector strategies</w:t>
      </w:r>
    </w:p>
    <w:p>
      <w:pPr>
        <w:pStyle w:val="ListBullet"/>
      </w:pPr>
      <w:r>
        <w:t>LLM generates complete TypeScript Playwright test script with error handling and retries</w:t>
      </w:r>
    </w:p>
    <w:p>
      <w:pPr>
        <w:pStyle w:val="ListBullet"/>
      </w:pPr>
      <w:r>
        <w:t>Backend validates script by running locally (validate-test.js) with LOCAL_VALIDATION=true</w:t>
      </w:r>
    </w:p>
    <w:p>
      <w:pPr>
        <w:pStyle w:val="ListBullet"/>
      </w:pPr>
      <w:r>
        <w:t>If validation fails, vision-healing loop triggers automatically</w:t>
      </w:r>
    </w:p>
    <w:p>
      <w:pPr>
        <w:pStyle w:val="ListBullet"/>
      </w:pPr>
      <w:r>
        <w:t>On success, user saves as immutable Golden file (JSON with code, metadata, heal count)</w:t>
      </w:r>
    </w:p>
    <w:p>
      <w:pPr>
        <w:pStyle w:val="Heading2"/>
      </w:pPr>
      <w:r>
        <w:rPr>
          <w:color w:val="2E75B6"/>
        </w:rPr>
        <w:t>3.2 Auto-Heal Workflow</w:t>
      </w:r>
    </w:p>
    <w:p>
      <w:pPr>
        <w:pStyle w:val="ListBullet"/>
      </w:pPr>
      <w:r>
        <w:t>Golden file accumulates test run failures from CI or manual runs</w:t>
      </w:r>
    </w:p>
    <w:p>
      <w:pPr>
        <w:pStyle w:val="ListBullet"/>
      </w:pPr>
      <w:r>
        <w:t>User selects golden for healing. Backend analyzes error signatures (timeout, selector not found, etc.)</w:t>
      </w:r>
    </w:p>
    <w:p>
      <w:pPr>
        <w:pStyle w:val="ListBullet"/>
      </w:pPr>
      <w:r>
        <w:t>Healing engine generates targeted prompt with error context and historical healing attempts</w:t>
      </w:r>
    </w:p>
    <w:p>
      <w:pPr>
        <w:pStyle w:val="ListBullet"/>
      </w:pPr>
      <w:r>
        <w:t>LLM returns healed code with [AI-HEAL] inline comments showing specific changes</w:t>
      </w:r>
    </w:p>
    <w:p>
      <w:pPr>
        <w:pStyle w:val="ListBullet"/>
      </w:pPr>
      <w:r>
        <w:t>Vision analysis: if screenshots available, LLM compares failure vs. healed code visually</w:t>
      </w:r>
    </w:p>
    <w:p>
      <w:pPr>
        <w:pStyle w:val="ListBullet"/>
      </w:pPr>
      <w:r>
        <w:t>User reviews changes and approves to promote as new golden</w:t>
      </w:r>
    </w:p>
    <w:p>
      <w:pPr>
        <w:pStyle w:val="ListBullet"/>
      </w:pPr>
      <w:r>
        <w:t>Golden file updated with new code, heal count incremented, timestamp recorded</w:t>
      </w:r>
    </w:p>
    <w:p>
      <w:pPr>
        <w:pStyle w:val="Heading2"/>
      </w:pPr>
      <w:r>
        <w:rPr>
          <w:color w:val="2E75B6"/>
        </w:rPr>
        <w:t>3.3 CI/CD Execution</w:t>
      </w:r>
    </w:p>
    <w:p>
      <w:pPr>
        <w:pStyle w:val="ListBullet"/>
      </w:pPr>
      <w:r>
        <w:t>GitHub Actions triggered on push, PR, or schedule (nightly at 2 UTC)</w:t>
      </w:r>
    </w:p>
    <w:p>
      <w:pPr>
        <w:pStyle w:val="ListBullet"/>
      </w:pPr>
      <w:r>
        <w:t>Job 1 – prepare-goldens: reads studio/golden/*.json, exports code field to tests/*.spec.ts</w:t>
      </w:r>
    </w:p>
    <w:p>
      <w:pPr>
        <w:pStyle w:val="ListBullet"/>
      </w:pPr>
      <w:r>
        <w:t>Job 2 – playwright-test: npm ci, playwright install, npx playwright test</w:t>
      </w:r>
    </w:p>
    <w:p>
      <w:pPr>
        <w:pStyle w:val="ListBullet"/>
      </w:pPr>
      <w:r>
        <w:t>Job 3 – report-runs: parses results.json, POSTs to /api/runs endpoint (optional, gated by variable)</w:t>
      </w:r>
    </w:p>
    <w:p>
      <w:pPr>
        <w:pStyle w:val="ListBullet"/>
      </w:pPr>
      <w:r>
        <w:t>Artifacts uploaded: playwright-report (HTML + video/trace), results.json, junit.xml</w:t>
      </w:r>
    </w:p>
    <w:p>
      <w:pPr>
        <w:pStyle w:val="Heading1"/>
      </w:pPr>
      <w:r>
        <w:rPr>
          <w:color w:val="1F4E78"/>
        </w:rPr>
        <w:t>4. API Endpoints</w:t>
      </w:r>
    </w:p>
    <w:p>
      <w:r>
        <w:t>FastAPI exposes RESTful endpoints for UI and CI integration: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r>
              <w:rPr>
                <w:b/>
                <w:color w:val="FFFFFF"/>
              </w:rPr>
              <w:t>Method</w:t>
            </w:r>
          </w:p>
        </w:tc>
        <w:tc>
          <w:tcPr>
            <w:tcW w:type="dxa" w:w="2880"/>
            <w:shd w:fill="2E75B6"/>
          </w:tcPr>
          <w:p>
            <w:r>
              <w:rPr>
                <w:b/>
                <w:color w:val="FFFFFF"/>
              </w:rPr>
              <w:t>Endpoint</w:t>
            </w:r>
          </w:p>
        </w:tc>
        <w:tc>
          <w:tcPr>
            <w:tcW w:type="dxa" w:w="2880"/>
            <w:shd w:fill="2E75B6"/>
          </w:tcPr>
          <w:p>
            <w:r>
              <w:rPr>
                <w:b/>
                <w:color w:val="FFFFFF"/>
              </w:rPr>
              <w:t>Purpose</w:t>
            </w:r>
          </w:p>
        </w:tc>
      </w:tr>
      <w:tr>
        <w:tc>
          <w:tcPr>
            <w:tcW w:type="dxa" w:w="2880"/>
            <w:tcBorders>
              <w:top w:val="single" w:sz="4" w:space="0" w:color="CCCCCC"/>
              <w:left w:val="single" w:sz="4" w:space="0" w:color="CCCCCC"/>
              <w:bottom w:val="single" w:sz="4" w:space="0" w:color="CCCCCC"/>
              <w:right w:val="single" w:sz="4" w:space="0" w:color="CCCCCC"/>
            </w:tcBorders>
          </w:tcPr>
          <w:p>
            <w:r>
              <w:t>GET</w:t>
            </w:r>
          </w:p>
        </w:tc>
        <w:tc>
          <w:tcPr>
            <w:tcW w:type="dxa" w:w="2880"/>
            <w:tcBorders>
              <w:top w:val="single" w:sz="4" w:space="0" w:color="CCCCCC"/>
              <w:left w:val="single" w:sz="4" w:space="0" w:color="CCCCCC"/>
              <w:bottom w:val="single" w:sz="4" w:space="0" w:color="CCCCCC"/>
              <w:right w:val="single" w:sz="4" w:space="0" w:color="CCCCCC"/>
            </w:tcBorders>
          </w:tcPr>
          <w:p>
            <w:r>
              <w:t>/api/goldens</w:t>
            </w:r>
          </w:p>
        </w:tc>
        <w:tc>
          <w:tcPr>
            <w:tcW w:type="dxa" w:w="2880"/>
            <w:tcBorders>
              <w:top w:val="single" w:sz="4" w:space="0" w:color="CCCCCC"/>
              <w:left w:val="single" w:sz="4" w:space="0" w:color="CCCCCC"/>
              <w:bottom w:val="single" w:sz="4" w:space="0" w:color="CCCCCC"/>
              <w:right w:val="single" w:sz="4" w:space="0" w:color="CCCCCC"/>
            </w:tcBorders>
          </w:tcPr>
          <w:p>
            <w:r>
              <w:t>List all golden files with metadata</w:t>
            </w:r>
          </w:p>
        </w:tc>
      </w:tr>
      <w:tr>
        <w:tc>
          <w:tcPr>
            <w:tcW w:type="dxa" w:w="2880"/>
            <w:tcBorders>
              <w:top w:val="single" w:sz="4" w:space="0" w:color="CCCCCC"/>
              <w:left w:val="single" w:sz="4" w:space="0" w:color="CCCCCC"/>
              <w:bottom w:val="single" w:sz="4" w:space="0" w:color="CCCCCC"/>
              <w:right w:val="single" w:sz="4" w:space="0" w:color="CCCCCC"/>
            </w:tcBorders>
          </w:tcPr>
          <w:p>
            <w:r>
              <w:t>POST</w:t>
            </w:r>
          </w:p>
        </w:tc>
        <w:tc>
          <w:tcPr>
            <w:tcW w:type="dxa" w:w="2880"/>
            <w:tcBorders>
              <w:top w:val="single" w:sz="4" w:space="0" w:color="CCCCCC"/>
              <w:left w:val="single" w:sz="4" w:space="0" w:color="CCCCCC"/>
              <w:bottom w:val="single" w:sz="4" w:space="0" w:color="CCCCCC"/>
              <w:right w:val="single" w:sz="4" w:space="0" w:color="CCCCCC"/>
            </w:tcBorders>
          </w:tcPr>
          <w:p>
            <w:r>
              <w:t>/api/goldens</w:t>
            </w:r>
          </w:p>
        </w:tc>
        <w:tc>
          <w:tcPr>
            <w:tcW w:type="dxa" w:w="2880"/>
            <w:tcBorders>
              <w:top w:val="single" w:sz="4" w:space="0" w:color="CCCCCC"/>
              <w:left w:val="single" w:sz="4" w:space="0" w:color="CCCCCC"/>
              <w:bottom w:val="single" w:sz="4" w:space="0" w:color="CCCCCC"/>
              <w:right w:val="single" w:sz="4" w:space="0" w:color="CCCCCC"/>
            </w:tcBorders>
          </w:tcPr>
          <w:p>
            <w:r>
              <w:t>Save new golden file</w:t>
            </w:r>
          </w:p>
        </w:tc>
      </w:tr>
      <w:tr>
        <w:tc>
          <w:tcPr>
            <w:tcW w:type="dxa" w:w="2880"/>
            <w:tcBorders>
              <w:top w:val="single" w:sz="4" w:space="0" w:color="CCCCCC"/>
              <w:left w:val="single" w:sz="4" w:space="0" w:color="CCCCCC"/>
              <w:bottom w:val="single" w:sz="4" w:space="0" w:color="CCCCCC"/>
              <w:right w:val="single" w:sz="4" w:space="0" w:color="CCCCCC"/>
            </w:tcBorders>
          </w:tcPr>
          <w:p>
            <w:r>
              <w:t>PATCH</w:t>
            </w:r>
          </w:p>
        </w:tc>
        <w:tc>
          <w:tcPr>
            <w:tcW w:type="dxa" w:w="2880"/>
            <w:tcBorders>
              <w:top w:val="single" w:sz="4" w:space="0" w:color="CCCCCC"/>
              <w:left w:val="single" w:sz="4" w:space="0" w:color="CCCCCC"/>
              <w:bottom w:val="single" w:sz="4" w:space="0" w:color="CCCCCC"/>
              <w:right w:val="single" w:sz="4" w:space="0" w:color="CCCCCC"/>
            </w:tcBorders>
          </w:tcPr>
          <w:p>
            <w:r>
              <w:t>/api/goldens/{id}/promote</w:t>
            </w:r>
          </w:p>
        </w:tc>
        <w:tc>
          <w:tcPr>
            <w:tcW w:type="dxa" w:w="2880"/>
            <w:tcBorders>
              <w:top w:val="single" w:sz="4" w:space="0" w:color="CCCCCC"/>
              <w:left w:val="single" w:sz="4" w:space="0" w:color="CCCCCC"/>
              <w:bottom w:val="single" w:sz="4" w:space="0" w:color="CCCCCC"/>
              <w:right w:val="single" w:sz="4" w:space="0" w:color="CCCCCC"/>
            </w:tcBorders>
          </w:tcPr>
          <w:p>
            <w:r>
              <w:t>Promote healed code as golden</w:t>
            </w:r>
          </w:p>
        </w:tc>
      </w:tr>
      <w:tr>
        <w:tc>
          <w:tcPr>
            <w:tcW w:type="dxa" w:w="2880"/>
            <w:tcBorders>
              <w:top w:val="single" w:sz="4" w:space="0" w:color="CCCCCC"/>
              <w:left w:val="single" w:sz="4" w:space="0" w:color="CCCCCC"/>
              <w:bottom w:val="single" w:sz="4" w:space="0" w:color="CCCCCC"/>
              <w:right w:val="single" w:sz="4" w:space="0" w:color="CCCCCC"/>
            </w:tcBorders>
          </w:tcPr>
          <w:p>
            <w:r>
              <w:t>POST</w:t>
            </w:r>
          </w:p>
        </w:tc>
        <w:tc>
          <w:tcPr>
            <w:tcW w:type="dxa" w:w="2880"/>
            <w:tcBorders>
              <w:top w:val="single" w:sz="4" w:space="0" w:color="CCCCCC"/>
              <w:left w:val="single" w:sz="4" w:space="0" w:color="CCCCCC"/>
              <w:bottom w:val="single" w:sz="4" w:space="0" w:color="CCCCCC"/>
              <w:right w:val="single" w:sz="4" w:space="0" w:color="CCCCCC"/>
            </w:tcBorders>
          </w:tcPr>
          <w:p>
            <w:r>
              <w:t>/api/synthesize/with-validation</w:t>
            </w:r>
          </w:p>
        </w:tc>
        <w:tc>
          <w:tcPr>
            <w:tcW w:type="dxa" w:w="2880"/>
            <w:tcBorders>
              <w:top w:val="single" w:sz="4" w:space="0" w:color="CCCCCC"/>
              <w:left w:val="single" w:sz="4" w:space="0" w:color="CCCCCC"/>
              <w:bottom w:val="single" w:sz="4" w:space="0" w:color="CCCCCC"/>
              <w:right w:val="single" w:sz="4" w:space="0" w:color="CCCCCC"/>
            </w:tcBorders>
          </w:tcPr>
          <w:p>
            <w:r>
              <w:t>Synthesize → validate → heal loop</w:t>
            </w:r>
          </w:p>
        </w:tc>
      </w:tr>
      <w:tr>
        <w:tc>
          <w:tcPr>
            <w:tcW w:type="dxa" w:w="2880"/>
            <w:tcBorders>
              <w:top w:val="single" w:sz="4" w:space="0" w:color="CCCCCC"/>
              <w:left w:val="single" w:sz="4" w:space="0" w:color="CCCCCC"/>
              <w:bottom w:val="single" w:sz="4" w:space="0" w:color="CCCCCC"/>
              <w:right w:val="single" w:sz="4" w:space="0" w:color="CCCCCC"/>
            </w:tcBorders>
          </w:tcPr>
          <w:p>
            <w:r>
              <w:t>POST</w:t>
            </w:r>
          </w:p>
        </w:tc>
        <w:tc>
          <w:tcPr>
            <w:tcW w:type="dxa" w:w="2880"/>
            <w:tcBorders>
              <w:top w:val="single" w:sz="4" w:space="0" w:color="CCCCCC"/>
              <w:left w:val="single" w:sz="4" w:space="0" w:color="CCCCCC"/>
              <w:bottom w:val="single" w:sz="4" w:space="0" w:color="CCCCCC"/>
              <w:right w:val="single" w:sz="4" w:space="0" w:color="CCCCCC"/>
            </w:tcBorders>
          </w:tcPr>
          <w:p>
            <w:r>
              <w:t>/api/heal/{golden_id}</w:t>
            </w:r>
          </w:p>
        </w:tc>
        <w:tc>
          <w:tcPr>
            <w:tcW w:type="dxa" w:w="2880"/>
            <w:tcBorders>
              <w:top w:val="single" w:sz="4" w:space="0" w:color="CCCCCC"/>
              <w:left w:val="single" w:sz="4" w:space="0" w:color="CCCCCC"/>
              <w:bottom w:val="single" w:sz="4" w:space="0" w:color="CCCCCC"/>
              <w:right w:val="single" w:sz="4" w:space="0" w:color="CCCCCC"/>
            </w:tcBorders>
          </w:tcPr>
          <w:p>
            <w:r>
              <w:t>Generate healed code with changes highlighted</w:t>
            </w:r>
          </w:p>
        </w:tc>
      </w:tr>
      <w:tr>
        <w:tc>
          <w:tcPr>
            <w:tcW w:type="dxa" w:w="2880"/>
            <w:tcBorders>
              <w:top w:val="single" w:sz="4" w:space="0" w:color="CCCCCC"/>
              <w:left w:val="single" w:sz="4" w:space="0" w:color="CCCCCC"/>
              <w:bottom w:val="single" w:sz="4" w:space="0" w:color="CCCCCC"/>
              <w:right w:val="single" w:sz="4" w:space="0" w:color="CCCCCC"/>
            </w:tcBorders>
          </w:tcPr>
          <w:p>
            <w:r>
              <w:t>POST</w:t>
            </w:r>
          </w:p>
        </w:tc>
        <w:tc>
          <w:tcPr>
            <w:tcW w:type="dxa" w:w="2880"/>
            <w:tcBorders>
              <w:top w:val="single" w:sz="4" w:space="0" w:color="CCCCCC"/>
              <w:left w:val="single" w:sz="4" w:space="0" w:color="CCCCCC"/>
              <w:bottom w:val="single" w:sz="4" w:space="0" w:color="CCCCCC"/>
              <w:right w:val="single" w:sz="4" w:space="0" w:color="CCCCCC"/>
            </w:tcBorders>
          </w:tcPr>
          <w:p>
            <w:r>
              <w:t>/api/heal-and-validate/{golden_id}</w:t>
            </w:r>
          </w:p>
        </w:tc>
        <w:tc>
          <w:tcPr>
            <w:tcW w:type="dxa" w:w="2880"/>
            <w:tcBorders>
              <w:top w:val="single" w:sz="4" w:space="0" w:color="CCCCCC"/>
              <w:left w:val="single" w:sz="4" w:space="0" w:color="CCCCCC"/>
              <w:bottom w:val="single" w:sz="4" w:space="0" w:color="CCCCCC"/>
              <w:right w:val="single" w:sz="4" w:space="0" w:color="CCCCCC"/>
            </w:tcBorders>
          </w:tcPr>
          <w:p>
            <w:r>
              <w:t>Heal and validate locally – instant pass/fail</w:t>
            </w:r>
          </w:p>
        </w:tc>
      </w:tr>
      <w:tr>
        <w:tc>
          <w:tcPr>
            <w:tcW w:type="dxa" w:w="2880"/>
            <w:tcBorders>
              <w:top w:val="single" w:sz="4" w:space="0" w:color="CCCCCC"/>
              <w:left w:val="single" w:sz="4" w:space="0" w:color="CCCCCC"/>
              <w:bottom w:val="single" w:sz="4" w:space="0" w:color="CCCCCC"/>
              <w:right w:val="single" w:sz="4" w:space="0" w:color="CCCCCC"/>
            </w:tcBorders>
          </w:tcPr>
          <w:p>
            <w:r>
              <w:t>POST</w:t>
            </w:r>
          </w:p>
        </w:tc>
        <w:tc>
          <w:tcPr>
            <w:tcW w:type="dxa" w:w="2880"/>
            <w:tcBorders>
              <w:top w:val="single" w:sz="4" w:space="0" w:color="CCCCCC"/>
              <w:left w:val="single" w:sz="4" w:space="0" w:color="CCCCCC"/>
              <w:bottom w:val="single" w:sz="4" w:space="0" w:color="CCCCCC"/>
              <w:right w:val="single" w:sz="4" w:space="0" w:color="CCCCCC"/>
            </w:tcBorders>
          </w:tcPr>
          <w:p>
            <w:r>
              <w:t>/api/runs</w:t>
            </w:r>
          </w:p>
        </w:tc>
        <w:tc>
          <w:tcPr>
            <w:tcW w:type="dxa" w:w="2880"/>
            <w:tcBorders>
              <w:top w:val="single" w:sz="4" w:space="0" w:color="CCCCCC"/>
              <w:left w:val="single" w:sz="4" w:space="0" w:color="CCCCCC"/>
              <w:bottom w:val="single" w:sz="4" w:space="0" w:color="CCCCCC"/>
              <w:right w:val="single" w:sz="4" w:space="0" w:color="CCCCCC"/>
            </w:tcBorders>
          </w:tcPr>
          <w:p>
            <w:r>
              <w:t>Record test run results from CI/manual</w:t>
            </w:r>
          </w:p>
        </w:tc>
      </w:tr>
      <w:tr>
        <w:tc>
          <w:tcPr>
            <w:tcW w:type="dxa" w:w="2880"/>
            <w:tcBorders>
              <w:top w:val="single" w:sz="4" w:space="0" w:color="CCCCCC"/>
              <w:left w:val="single" w:sz="4" w:space="0" w:color="CCCCCC"/>
              <w:bottom w:val="single" w:sz="4" w:space="0" w:color="CCCCCC"/>
              <w:right w:val="single" w:sz="4" w:space="0" w:color="CCCCCC"/>
            </w:tcBorders>
          </w:tcPr>
          <w:p>
            <w:r>
              <w:t>POST</w:t>
            </w:r>
          </w:p>
        </w:tc>
        <w:tc>
          <w:tcPr>
            <w:tcW w:type="dxa" w:w="2880"/>
            <w:tcBorders>
              <w:top w:val="single" w:sz="4" w:space="0" w:color="CCCCCC"/>
              <w:left w:val="single" w:sz="4" w:space="0" w:color="CCCCCC"/>
              <w:bottom w:val="single" w:sz="4" w:space="0" w:color="CCCCCC"/>
              <w:right w:val="single" w:sz="4" w:space="0" w:color="CCCCCC"/>
            </w:tcBorders>
          </w:tcPr>
          <w:p>
            <w:r>
              <w:t>/api/trigger-ci/{golden_id}</w:t>
            </w:r>
          </w:p>
        </w:tc>
        <w:tc>
          <w:tcPr>
            <w:tcW w:type="dxa" w:w="2880"/>
            <w:tcBorders>
              <w:top w:val="single" w:sz="4" w:space="0" w:color="CCCCCC"/>
              <w:left w:val="single" w:sz="4" w:space="0" w:color="CCCCCC"/>
              <w:bottom w:val="single" w:sz="4" w:space="0" w:color="CCCCCC"/>
              <w:right w:val="single" w:sz="4" w:space="0" w:color="CCCCCC"/>
            </w:tcBorders>
          </w:tcPr>
          <w:p>
            <w:r>
              <w:t>Dispatch GitHub Actions workflow</w:t>
            </w:r>
          </w:p>
        </w:tc>
      </w:tr>
    </w:tbl>
    <w:p>
      <w:pPr>
        <w:pStyle w:val="Heading1"/>
      </w:pPr>
      <w:r>
        <w:rPr>
          <w:color w:val="1F4E78"/>
        </w:rPr>
        <w:t>5. Project File Structure</w:t>
      </w:r>
    </w:p>
    <w:tbl>
      <w:tblPr>
        <w:tblStyle w:val="LightGrid-Accent1"/>
        <w:tblW w:type="auto" w:w="0"/>
        <w:tblLook w:firstColumn="1" w:firstRow="1" w:lastColumn="0" w:lastRow="0" w:noHBand="0" w:noVBand="1" w:val="04A0"/>
      </w:tblPr>
      <w:tblGrid>
        <w:gridCol w:w="4320"/>
        <w:gridCol w:w="4320"/>
      </w:tblGrid>
      <w:tr>
        <w:tc>
          <w:tcPr>
            <w:tcW w:type="dxa" w:w="4320"/>
            <w:shd w:fill="D5E8F0"/>
          </w:tcPr>
          <w:p>
            <w:r>
              <w:rPr>
                <w:b/>
              </w:rPr>
              <w:t>Path</w:t>
            </w:r>
          </w:p>
        </w:tc>
        <w:tc>
          <w:tcPr>
            <w:tcW w:type="dxa" w:w="4320"/>
            <w:shd w:fill="D5E8F0"/>
          </w:tcPr>
          <w:p>
            <w:r>
              <w:rPr>
                <w:b/>
              </w:rPr>
              <w:t>Purpose</w:t>
            </w:r>
          </w:p>
        </w:tc>
      </w:tr>
      <w:tr>
        <w:tc>
          <w:tcPr>
            <w:tcW w:type="dxa" w:w="4320"/>
            <w:tcBorders>
              <w:top w:val="single" w:sz="4" w:space="0" w:color="CCCCCC"/>
              <w:left w:val="single" w:sz="4" w:space="0" w:color="CCCCCC"/>
              <w:bottom w:val="single" w:sz="4" w:space="0" w:color="CCCCCC"/>
              <w:right w:val="single" w:sz="4" w:space="0" w:color="CCCCCC"/>
            </w:tcBorders>
          </w:tcPr>
          <w:p>
            <w:r>
              <w:t>studio/server.py</w:t>
            </w:r>
          </w:p>
        </w:tc>
        <w:tc>
          <w:tcPr>
            <w:tcW w:type="dxa" w:w="4320"/>
            <w:tcBorders>
              <w:top w:val="single" w:sz="4" w:space="0" w:color="CCCCCC"/>
              <w:left w:val="single" w:sz="4" w:space="0" w:color="CCCCCC"/>
              <w:bottom w:val="single" w:sz="4" w:space="0" w:color="CCCCCC"/>
              <w:right w:val="single" w:sz="4" w:space="0" w:color="CCCCCC"/>
            </w:tcBorders>
          </w:tcPr>
          <w:p>
            <w:r>
              <w:t>FastAPI backend – handles synthesis, healing, golden management</w:t>
            </w:r>
          </w:p>
        </w:tc>
      </w:tr>
      <w:tr>
        <w:tc>
          <w:tcPr>
            <w:tcW w:type="dxa" w:w="4320"/>
            <w:tcBorders>
              <w:top w:val="single" w:sz="4" w:space="0" w:color="CCCCCC"/>
              <w:left w:val="single" w:sz="4" w:space="0" w:color="CCCCCC"/>
              <w:bottom w:val="single" w:sz="4" w:space="0" w:color="CCCCCC"/>
              <w:right w:val="single" w:sz="4" w:space="0" w:color="CCCCCC"/>
            </w:tcBorders>
          </w:tcPr>
          <w:p>
            <w:r>
              <w:t>studio/healing_engine.py</w:t>
            </w:r>
          </w:p>
        </w:tc>
        <w:tc>
          <w:tcPr>
            <w:tcW w:type="dxa" w:w="4320"/>
            <w:tcBorders>
              <w:top w:val="single" w:sz="4" w:space="0" w:color="CCCCCC"/>
              <w:left w:val="single" w:sz="4" w:space="0" w:color="CCCCCC"/>
              <w:bottom w:val="single" w:sz="4" w:space="0" w:color="CCCCCC"/>
              <w:right w:val="single" w:sz="4" w:space="0" w:color="CCCCCC"/>
            </w:tcBorders>
          </w:tcPr>
          <w:p>
            <w:r>
              <w:t>Error signature analysis → targeted healing strategies</w:t>
            </w:r>
          </w:p>
        </w:tc>
      </w:tr>
      <w:tr>
        <w:tc>
          <w:tcPr>
            <w:tcW w:type="dxa" w:w="4320"/>
            <w:tcBorders>
              <w:top w:val="single" w:sz="4" w:space="0" w:color="CCCCCC"/>
              <w:left w:val="single" w:sz="4" w:space="0" w:color="CCCCCC"/>
              <w:bottom w:val="single" w:sz="4" w:space="0" w:color="CCCCCC"/>
              <w:right w:val="single" w:sz="4" w:space="0" w:color="CCCCCC"/>
            </w:tcBorders>
          </w:tcPr>
          <w:p>
            <w:r>
              <w:t>studio/services/llm.py</w:t>
            </w:r>
          </w:p>
        </w:tc>
        <w:tc>
          <w:tcPr>
            <w:tcW w:type="dxa" w:w="4320"/>
            <w:tcBorders>
              <w:top w:val="single" w:sz="4" w:space="0" w:color="CCCCCC"/>
              <w:left w:val="single" w:sz="4" w:space="0" w:color="CCCCCC"/>
              <w:bottom w:val="single" w:sz="4" w:space="0" w:color="CCCCCC"/>
              <w:right w:val="single" w:sz="4" w:space="0" w:color="CCCCCC"/>
            </w:tcBorders>
          </w:tcPr>
          <w:p>
            <w:r>
              <w:t>Azure OpenAI client wrapper with retry logic</w:t>
            </w:r>
          </w:p>
        </w:tc>
      </w:tr>
      <w:tr>
        <w:tc>
          <w:tcPr>
            <w:tcW w:type="dxa" w:w="4320"/>
            <w:tcBorders>
              <w:top w:val="single" w:sz="4" w:space="0" w:color="CCCCCC"/>
              <w:left w:val="single" w:sz="4" w:space="0" w:color="CCCCCC"/>
              <w:bottom w:val="single" w:sz="4" w:space="0" w:color="CCCCCC"/>
              <w:right w:val="single" w:sz="4" w:space="0" w:color="CCCCCC"/>
            </w:tcBorders>
          </w:tcPr>
          <w:p>
            <w:r>
              <w:t>studio/services/prompts.py</w:t>
            </w:r>
          </w:p>
        </w:tc>
        <w:tc>
          <w:tcPr>
            <w:tcW w:type="dxa" w:w="4320"/>
            <w:tcBorders>
              <w:top w:val="single" w:sz="4" w:space="0" w:color="CCCCCC"/>
              <w:left w:val="single" w:sz="4" w:space="0" w:color="CCCCCC"/>
              <w:bottom w:val="single" w:sz="4" w:space="0" w:color="CCCCCC"/>
              <w:right w:val="single" w:sz="4" w:space="0" w:color="CCCCCC"/>
            </w:tcBorders>
          </w:tcPr>
          <w:p>
            <w:r>
              <w:t>Single source of truth for synthesis &amp; healing prompts</w:t>
            </w:r>
          </w:p>
        </w:tc>
      </w:tr>
      <w:tr>
        <w:tc>
          <w:tcPr>
            <w:tcW w:type="dxa" w:w="4320"/>
            <w:tcBorders>
              <w:top w:val="single" w:sz="4" w:space="0" w:color="CCCCCC"/>
              <w:left w:val="single" w:sz="4" w:space="0" w:color="CCCCCC"/>
              <w:bottom w:val="single" w:sz="4" w:space="0" w:color="CCCCCC"/>
              <w:right w:val="single" w:sz="4" w:space="0" w:color="CCCCCC"/>
            </w:tcBorders>
          </w:tcPr>
          <w:p>
            <w:r>
              <w:t>studio/golden/</w:t>
            </w:r>
          </w:p>
        </w:tc>
        <w:tc>
          <w:tcPr>
            <w:tcW w:type="dxa" w:w="4320"/>
            <w:tcBorders>
              <w:top w:val="single" w:sz="4" w:space="0" w:color="CCCCCC"/>
              <w:left w:val="single" w:sz="4" w:space="0" w:color="CCCCCC"/>
              <w:bottom w:val="single" w:sz="4" w:space="0" w:color="CCCCCC"/>
              <w:right w:val="single" w:sz="4" w:space="0" w:color="CCCCCC"/>
            </w:tcBorders>
          </w:tcPr>
          <w:p>
            <w:r>
              <w:t>Immutable golden JSON files (committed to git)</w:t>
            </w:r>
          </w:p>
        </w:tc>
      </w:tr>
      <w:tr>
        <w:tc>
          <w:tcPr>
            <w:tcW w:type="dxa" w:w="4320"/>
            <w:tcBorders>
              <w:top w:val="single" w:sz="4" w:space="0" w:color="CCCCCC"/>
              <w:left w:val="single" w:sz="4" w:space="0" w:color="CCCCCC"/>
              <w:bottom w:val="single" w:sz="4" w:space="0" w:color="CCCCCC"/>
              <w:right w:val="single" w:sz="4" w:space="0" w:color="CCCCCC"/>
            </w:tcBorders>
          </w:tcPr>
          <w:p>
            <w:r>
              <w:t>studio/runs/</w:t>
            </w:r>
          </w:p>
        </w:tc>
        <w:tc>
          <w:tcPr>
            <w:tcW w:type="dxa" w:w="4320"/>
            <w:tcBorders>
              <w:top w:val="single" w:sz="4" w:space="0" w:color="CCCCCC"/>
              <w:left w:val="single" w:sz="4" w:space="0" w:color="CCCCCC"/>
              <w:bottom w:val="single" w:sz="4" w:space="0" w:color="CCCCCC"/>
              <w:right w:val="single" w:sz="4" w:space="0" w:color="CCCCCC"/>
            </w:tcBorders>
          </w:tcPr>
          <w:p>
            <w:r>
              <w:t>Test run result JSON files (auto-created)</w:t>
            </w:r>
          </w:p>
        </w:tc>
      </w:tr>
      <w:tr>
        <w:tc>
          <w:tcPr>
            <w:tcW w:type="dxa" w:w="4320"/>
            <w:tcBorders>
              <w:top w:val="single" w:sz="4" w:space="0" w:color="CCCCCC"/>
              <w:left w:val="single" w:sz="4" w:space="0" w:color="CCCCCC"/>
              <w:bottom w:val="single" w:sz="4" w:space="0" w:color="CCCCCC"/>
              <w:right w:val="single" w:sz="4" w:space="0" w:color="CCCCCC"/>
            </w:tcBorders>
          </w:tcPr>
          <w:p>
            <w:r>
              <w:t>ci/export_goldens.py</w:t>
            </w:r>
          </w:p>
        </w:tc>
        <w:tc>
          <w:tcPr>
            <w:tcW w:type="dxa" w:w="4320"/>
            <w:tcBorders>
              <w:top w:val="single" w:sz="4" w:space="0" w:color="CCCCCC"/>
              <w:left w:val="single" w:sz="4" w:space="0" w:color="CCCCCC"/>
              <w:bottom w:val="single" w:sz="4" w:space="0" w:color="CCCCCC"/>
              <w:right w:val="single" w:sz="4" w:space="0" w:color="CCCCCC"/>
            </w:tcBorders>
          </w:tcPr>
          <w:p>
            <w:r>
              <w:t>Golden JSON → tests/*.spec.ts exporter</w:t>
            </w:r>
          </w:p>
        </w:tc>
      </w:tr>
      <w:tr>
        <w:tc>
          <w:tcPr>
            <w:tcW w:type="dxa" w:w="4320"/>
            <w:tcBorders>
              <w:top w:val="single" w:sz="4" w:space="0" w:color="CCCCCC"/>
              <w:left w:val="single" w:sz="4" w:space="0" w:color="CCCCCC"/>
              <w:bottom w:val="single" w:sz="4" w:space="0" w:color="CCCCCC"/>
              <w:right w:val="single" w:sz="4" w:space="0" w:color="CCCCCC"/>
            </w:tcBorders>
          </w:tcPr>
          <w:p>
            <w:r>
              <w:t>ci/report_run.py</w:t>
            </w:r>
          </w:p>
        </w:tc>
        <w:tc>
          <w:tcPr>
            <w:tcW w:type="dxa" w:w="4320"/>
            <w:tcBorders>
              <w:top w:val="single" w:sz="4" w:space="0" w:color="CCCCCC"/>
              <w:left w:val="single" w:sz="4" w:space="0" w:color="CCCCCC"/>
              <w:bottom w:val="single" w:sz="4" w:space="0" w:color="CCCCCC"/>
              <w:right w:val="single" w:sz="4" w:space="0" w:color="CCCCCC"/>
            </w:tcBorders>
          </w:tcPr>
          <w:p>
            <w:r>
              <w:t>CI runner → POST results.json to /api/runs</w:t>
            </w:r>
          </w:p>
        </w:tc>
      </w:tr>
      <w:tr>
        <w:tc>
          <w:tcPr>
            <w:tcW w:type="dxa" w:w="4320"/>
            <w:tcBorders>
              <w:top w:val="single" w:sz="4" w:space="0" w:color="CCCCCC"/>
              <w:left w:val="single" w:sz="4" w:space="0" w:color="CCCCCC"/>
              <w:bottom w:val="single" w:sz="4" w:space="0" w:color="CCCCCC"/>
              <w:right w:val="single" w:sz="4" w:space="0" w:color="CCCCCC"/>
            </w:tcBorders>
          </w:tcPr>
          <w:p>
            <w:r>
              <w:t>playwright.config.ts</w:t>
            </w:r>
          </w:p>
        </w:tc>
        <w:tc>
          <w:tcPr>
            <w:tcW w:type="dxa" w:w="4320"/>
            <w:tcBorders>
              <w:top w:val="single" w:sz="4" w:space="0" w:color="CCCCCC"/>
              <w:left w:val="single" w:sz="4" w:space="0" w:color="CCCCCC"/>
              <w:bottom w:val="single" w:sz="4" w:space="0" w:color="CCCCCC"/>
              <w:right w:val="single" w:sz="4" w:space="0" w:color="CCCCCC"/>
            </w:tcBorders>
          </w:tcPr>
          <w:p>
            <w:r>
              <w:t>Playwright configuration – headless/headed, reporters, retries</w:t>
            </w:r>
          </w:p>
        </w:tc>
      </w:tr>
      <w:tr>
        <w:tc>
          <w:tcPr>
            <w:tcW w:type="dxa" w:w="4320"/>
            <w:tcBorders>
              <w:top w:val="single" w:sz="4" w:space="0" w:color="CCCCCC"/>
              <w:left w:val="single" w:sz="4" w:space="0" w:color="CCCCCC"/>
              <w:bottom w:val="single" w:sz="4" w:space="0" w:color="CCCCCC"/>
              <w:right w:val="single" w:sz="4" w:space="0" w:color="CCCCCC"/>
            </w:tcBorders>
          </w:tcPr>
          <w:p>
            <w:r>
              <w:t>.github/workflows/playwright.yml</w:t>
            </w:r>
          </w:p>
        </w:tc>
        <w:tc>
          <w:tcPr>
            <w:tcW w:type="dxa" w:w="4320"/>
            <w:tcBorders>
              <w:top w:val="single" w:sz="4" w:space="0" w:color="CCCCCC"/>
              <w:left w:val="single" w:sz="4" w:space="0" w:color="CCCCCC"/>
              <w:bottom w:val="single" w:sz="4" w:space="0" w:color="CCCCCC"/>
              <w:right w:val="single" w:sz="4" w:space="0" w:color="CCCCCC"/>
            </w:tcBorders>
          </w:tcPr>
          <w:p>
            <w:r>
              <w:t>GitHub Actions workflow (prepare → test → report)</w:t>
            </w:r>
          </w:p>
        </w:tc>
      </w:tr>
      <w:tr>
        <w:tc>
          <w:tcPr>
            <w:tcW w:type="dxa" w:w="4320"/>
            <w:tcBorders>
              <w:top w:val="single" w:sz="4" w:space="0" w:color="CCCCCC"/>
              <w:left w:val="single" w:sz="4" w:space="0" w:color="CCCCCC"/>
              <w:bottom w:val="single" w:sz="4" w:space="0" w:color="CCCCCC"/>
              <w:right w:val="single" w:sz="4" w:space="0" w:color="CCCCCC"/>
            </w:tcBorders>
          </w:tcPr>
          <w:p>
            <w:r>
              <w:t>tests/</w:t>
            </w:r>
          </w:p>
        </w:tc>
        <w:tc>
          <w:tcPr>
            <w:tcW w:type="dxa" w:w="4320"/>
            <w:tcBorders>
              <w:top w:val="single" w:sz="4" w:space="0" w:color="CCCCCC"/>
              <w:left w:val="single" w:sz="4" w:space="0" w:color="CCCCCC"/>
              <w:bottom w:val="single" w:sz="4" w:space="0" w:color="CCCCCC"/>
              <w:right w:val="single" w:sz="4" w:space="0" w:color="CCCCCC"/>
            </w:tcBorders>
          </w:tcPr>
          <w:p>
            <w:r>
              <w:t>Auto-generated .spec.ts files (gitignored)</w:t>
            </w:r>
          </w:p>
        </w:tc>
      </w:tr>
    </w:tbl>
    <w:p>
      <w:pPr>
        <w:pStyle w:val="Heading1"/>
      </w:pPr>
      <w:r>
        <w:rPr>
          <w:color w:val="1F4E78"/>
        </w:rPr>
        <w:t>6. Key Design Decisions</w:t>
      </w:r>
    </w:p>
    <w:p>
      <w:pPr>
        <w:pStyle w:val="Heading2"/>
      </w:pPr>
      <w:r>
        <w:rPr>
          <w:color w:val="2E75B6"/>
        </w:rPr>
        <w:t>6.1 Golden Files as Immutable Source of Truth</w:t>
      </w:r>
    </w:p>
    <w:p>
      <w:r>
        <w:t>Golden files are never silently modified in place. Instead, healed code is generated separately, shown to the user for review, and only promoted to golden after explicit approval. This preserves audit trail and prevents accidental loss of working test code.</w:t>
      </w:r>
    </w:p>
    <w:p>
      <w:pPr>
        <w:pStyle w:val="Heading2"/>
      </w:pPr>
      <w:r>
        <w:rPr>
          <w:color w:val="2E75B6"/>
        </w:rPr>
        <w:t>6.2 Local Validation Before Synthesis Promotion</w:t>
      </w:r>
    </w:p>
    <w:p>
      <w:r>
        <w:t>After synthesis, tests are automatically validated locally (LOCAL_VALIDATION=true) before being presented to the user. This catches selector and timing issues early, reducing friction in the healing loop.</w:t>
      </w:r>
    </w:p>
    <w:p>
      <w:pPr>
        <w:pStyle w:val="Heading2"/>
      </w:pPr>
      <w:r>
        <w:rPr>
          <w:color w:val="2E75B6"/>
        </w:rPr>
        <w:t>6.3 Vision-Assisted Healing</w:t>
      </w:r>
    </w:p>
    <w:p>
      <w:r>
        <w:t>When Playwright captures screenshots on failure, the healing engine can attach them to the LLM request. GPT-4o vision analysis can recognize UI changes (selectors, element removal) and suggest more targeted fixes than text-only error messages.</w:t>
      </w:r>
    </w:p>
    <w:p>
      <w:pPr>
        <w:pStyle w:val="Heading2"/>
      </w:pPr>
      <w:r>
        <w:rPr>
          <w:color w:val="2E75B6"/>
        </w:rPr>
        <w:t>6.4 CI-Friendly Golden Export</w:t>
      </w:r>
    </w:p>
    <w:p>
      <w:r>
        <w:t>Golden JSON files are never modified in the CI pipeline. Instead, ci/export_goldens.py reads each golden once per run and writes to a temporary tests/ directory, ensuring idempotency and preventing race conditions between local edits and CI execution.</w:t>
      </w:r>
    </w:p>
    <w:p>
      <w:pPr>
        <w:pStyle w:val="Heading2"/>
      </w:pPr>
      <w:r>
        <w:rPr>
          <w:color w:val="2E75B6"/>
        </w:rPr>
        <w:t>6.5 TypeScript as Target Language</w:t>
      </w:r>
    </w:p>
    <w:p>
      <w:r>
        <w:t>Generated test scripts are TypeScript (with strict typing optional). This allows type-safe test code while remaining readable and maintainable. The LLM is trained on Playwright TypeScript examples, reducing hallucination.</w:t>
      </w:r>
    </w:p>
    <w:p>
      <w:pPr>
        <w:pStyle w:val="Heading1"/>
      </w:pPr>
      <w:r>
        <w:rPr>
          <w:color w:val="1F4E78"/>
        </w:rPr>
        <w:t>7. Integration Points</w:t>
      </w:r>
    </w:p>
    <w:p>
      <w:pPr>
        <w:pStyle w:val="Heading2"/>
      </w:pPr>
      <w:r>
        <w:rPr>
          <w:color w:val="2E75B6"/>
        </w:rPr>
        <w:t>7.1 GitHub Actions</w:t>
      </w:r>
    </w:p>
    <w:p>
      <w:r>
        <w:t>Workflow triggers: push to main, pull requests, nightly schedule (0 2 * * * UTC), and manual dispatch. Configuration via repository secrets/variables. Runner: ubuntu-latest by default (self-hosted supported via label configuration).</w:t>
      </w:r>
    </w:p>
    <w:p>
      <w:pPr>
        <w:pStyle w:val="Heading2"/>
      </w:pPr>
      <w:r>
        <w:rPr>
          <w:color w:val="2E75B6"/>
        </w:rPr>
        <w:t>7.2 Azure OpenAI</w:t>
      </w:r>
    </w:p>
    <w:p>
      <w:r>
        <w:t>Local dev: credentials from .env file. CI: GitHub repository secrets (AZURE_OPENAI_ENDPOINT, AZURE_OPENAI_API_KEY, AZURE_OPENAI_API_VERSION, AZURE_OPENAI_DEPLOYMENT). Optional retry logic handles transient 429/5xx errors.</w:t>
      </w:r>
    </w:p>
    <w:p>
      <w:pPr>
        <w:pStyle w:val="Heading2"/>
      </w:pPr>
      <w:r>
        <w:rPr>
          <w:color w:val="2E75B6"/>
        </w:rPr>
        <w:t>7.3 Browser Automation</w:t>
      </w:r>
    </w:p>
    <w:p>
      <w:r>
        <w:t>Playwright supports Chrome, Firefox, and Edge. Default is Edge (msedge channel). Browsers auto-installed via "npm ci &amp;&amp; npx playwright install --with-deps" in CI.</w:t>
      </w:r>
    </w:p>
    <w:p>
      <w:pPr>
        <w:pStyle w:val="Heading2"/>
      </w:pPr>
      <w:r>
        <w:rPr>
          <w:color w:val="2E75B6"/>
        </w:rPr>
        <w:t>7.4 Authentication</w:t>
      </w:r>
    </w:p>
    <w:p>
      <w:r>
        <w:t>Run "npx ts-node scripts/auth.ts" once to authenticate and save storageState JSON (credentials + cookies). In test code, set "use.storageState: authState('app-name')". Credentials never stored in golden JSON or test code.</w:t>
      </w:r>
    </w:p>
    <w:p>
      <w:pPr>
        <w:pStyle w:val="Heading1"/>
      </w:pPr>
      <w:r>
        <w:rPr>
          <w:color w:val="1F4E78"/>
        </w:rPr>
        <w:t>8. Performance and Scalability</w:t>
      </w:r>
    </w:p>
    <w:p>
      <w:pPr>
        <w:pStyle w:val="Heading2"/>
      </w:pPr>
      <w:r>
        <w:rPr>
          <w:color w:val="2E75B6"/>
        </w:rPr>
        <w:t>8.1 Test Parallelization</w:t>
      </w:r>
    </w:p>
    <w:p>
      <w:r>
        <w:t>Playwright config sets workers=2 in CI (parallel execution). Local validation runs with default (single worker). Testdir auto-discovery processes all *.spec.ts files.</w:t>
      </w:r>
    </w:p>
    <w:p>
      <w:pPr>
        <w:pStyle w:val="Heading2"/>
      </w:pPr>
      <w:r>
        <w:rPr>
          <w:color w:val="2E75B6"/>
        </w:rPr>
        <w:t>8.2 Artifact Management</w:t>
      </w:r>
    </w:p>
    <w:p>
      <w:r>
        <w:t>CI artifacts (HTML reports, videos, traces, screenshots) are uploaded to GitHub Actions. Retention policy depends on GitHub runner/repo settings (typically 90 days). Local runs retain traces in playwright-report/ directory.</w:t>
      </w:r>
    </w:p>
    <w:p>
      <w:pPr>
        <w:pStyle w:val="Heading2"/>
      </w:pPr>
      <w:r>
        <w:rPr>
          <w:color w:val="2E75B6"/>
        </w:rPr>
        <w:t>8.3 LLM Rate Limiting</w:t>
      </w:r>
    </w:p>
    <w:p>
      <w:r>
        <w:t>Azure OpenAI rate limits are typically 40K tokens/min. Healing requests (~1500 tokens) can be parallelized across golden files. Synthesis is sequential (one golden at a time) to avoid overwhelming the service.</w:t>
      </w:r>
    </w:p>
    <w:p>
      <w:pPr>
        <w:pStyle w:val="Heading1"/>
      </w:pPr>
      <w:r>
        <w:rPr>
          <w:color w:val="1F4E78"/>
        </w:rPr>
        <w:t>9. Error Handling and Resilience</w:t>
      </w:r>
    </w:p>
    <w:p>
      <w:pPr>
        <w:pStyle w:val="Heading2"/>
      </w:pPr>
      <w:r>
        <w:rPr>
          <w:color w:val="2E75B6"/>
        </w:rPr>
        <w:t>9.1 LLM Call Failures</w:t>
      </w:r>
    </w:p>
    <w:p>
      <w:r>
        <w:t>The LLMService retries transient errors (429, 5xx) with exponential backoff. Non-transient errors are raised and caught by route handlers, which return HTTP 400/500 with user-friendly messages (full exception logged server-side).</w:t>
      </w:r>
    </w:p>
    <w:p>
      <w:pPr>
        <w:pStyle w:val="Heading2"/>
      </w:pPr>
      <w:r>
        <w:rPr>
          <w:color w:val="2E75B6"/>
        </w:rPr>
        <w:t>9.2 Playwright Test Timeouts</w:t>
      </w:r>
    </w:p>
    <w:p>
      <w:r>
        <w:t>Default timeout: 60 seconds (test level), 15 seconds (expect/assertion level). Configurable in playwright.config.ts. Failures captured in results.json with error messages, stack traces, and optional screenshots/videos.</w:t>
      </w:r>
    </w:p>
    <w:p>
      <w:pPr>
        <w:pStyle w:val="Heading2"/>
      </w:pPr>
      <w:r>
        <w:rPr>
          <w:color w:val="2E75B6"/>
        </w:rPr>
        <w:t>9.3 Golden File Corruption</w:t>
      </w:r>
    </w:p>
    <w:p>
      <w:r>
        <w:t>Goldens are JSON. Invalid JSON fails fast during export. Backups are version-controlled in git (commits preserve history). API always validates JSON schema before saving.</w:t>
      </w:r>
    </w:p>
    <w:p>
      <w:pPr>
        <w:pStyle w:val="Heading1"/>
      </w:pPr>
      <w:r>
        <w:rPr>
          <w:color w:val="1F4E78"/>
        </w:rPr>
        <w:t>10. Security Considerations</w:t>
      </w:r>
    </w:p>
    <w:p>
      <w:pPr>
        <w:pStyle w:val="ListBullet"/>
      </w:pPr>
      <w:r>
        <w:t>Credentials: Azure OpenAI key always stored as GitHub secret (encrypted). Never logged. Local dev uses .env (gitignored).</w:t>
      </w:r>
    </w:p>
    <w:p>
      <w:pPr>
        <w:pStyle w:val="ListBullet"/>
      </w:pPr>
      <w:r>
        <w:t>Authentication tokens: Stored in studio/.auth/*.json via storageState. Never committed. Sensitive for sites using session cookies.</w:t>
      </w:r>
    </w:p>
    <w:p>
      <w:pPr>
        <w:pStyle w:val="ListBullet"/>
      </w:pPr>
      <w:r>
        <w:t>CORS: FastAPI configured with CORSMiddleware for localhost dev. In production, adjust allowed origins.</w:t>
      </w:r>
    </w:p>
    <w:p>
      <w:pPr>
        <w:pStyle w:val="ListBullet"/>
      </w:pPr>
      <w:r>
        <w:t>Git sync: studio/server.py can push healed/updated goldens to GitHub using git commands. Ensure repo SSH keys/credentials are configured in CI environment.</w:t>
      </w:r>
    </w:p>
    <w:p>
      <w:pPr>
        <w:pStyle w:val="Heading1"/>
      </w:pPr>
      <w:r>
        <w:rPr>
          <w:color w:val="1F4E78"/>
        </w:rPr>
        <w:t>11. Configuration and Deployment</w:t>
      </w:r>
    </w:p>
    <w:p>
      <w:pPr>
        <w:pStyle w:val="Heading2"/>
      </w:pPr>
      <w:r>
        <w:rPr>
          <w:color w:val="2E75B6"/>
        </w:rPr>
        <w:t>11.1 Local Development</w:t>
      </w:r>
    </w:p>
    <w:p>
      <w:pPr>
        <w:pStyle w:val="ListBullet"/>
      </w:pPr>
      <w:r>
        <w:t>Python 3.11+, Node 20+</w:t>
      </w:r>
    </w:p>
    <w:p>
      <w:pPr>
        <w:pStyle w:val="ListBullet"/>
      </w:pPr>
      <w:r>
        <w:t>Virtual environment: python -m venv .venv</w:t>
      </w:r>
    </w:p>
    <w:p>
      <w:pPr>
        <w:pStyle w:val="ListBullet"/>
      </w:pPr>
      <w:r>
        <w:t>Dependencies: pip install -r studio/requirements.txt</w:t>
      </w:r>
    </w:p>
    <w:p>
      <w:pPr>
        <w:pStyle w:val="ListBullet"/>
      </w:pPr>
      <w:r>
        <w:t>.env template: cp .env.example .env</w:t>
      </w:r>
    </w:p>
    <w:p>
      <w:pPr>
        <w:pStyle w:val="ListBullet"/>
      </w:pPr>
      <w:r>
        <w:t>Start: python studio/server.py (http://localhost:8000)</w:t>
      </w:r>
    </w:p>
    <w:p>
      <w:pPr>
        <w:pStyle w:val="Heading2"/>
      </w:pPr>
      <w:r>
        <w:rPr>
          <w:color w:val="2E75B6"/>
        </w:rPr>
        <w:t>11.2 GitHub Actions Secrets</w:t>
      </w:r>
    </w:p>
    <w:p>
      <w:r>
        <w:t>Required: AZURE_OPENAI_ENDPOINT, AZURE_OPENAI_API_KEY (secrets), AZURE_OPENAI_API_VERSION, AZURE_OPENAI_DEPLOYMENT (variables). Optional: PLAYWRIGHT_AI_STUDIO_URL, PLAYWRIGHT_AI_STUDIO_TOKEN (gates report-runs job), GOLDEN_IDS (filter by IDs), BROWSER (default msedge).</w:t>
      </w:r>
    </w:p>
    <w:p>
      <w:pPr>
        <w:pStyle w:val="Heading2"/>
      </w:pPr>
      <w:r>
        <w:rPr>
          <w:color w:val="2E75B6"/>
        </w:rPr>
        <w:t>11.3 Self-Hosted Runners</w:t>
      </w:r>
    </w:p>
    <w:p>
      <w:r>
        <w:t>Change "runs-on: ubuntu-latest" in workflow to "runs-on: [self-hosted, linux]". Ensure Python 3.11+ and Node 20+ pre-installed on runner host.</w:t>
      </w:r>
    </w:p>
    <w:p>
      <w:pPr>
        <w:pStyle w:val="Heading1"/>
      </w:pPr>
      <w:r>
        <w:rPr>
          <w:color w:val="1F4E78"/>
        </w:rPr>
        <w:t>12. Testing and Quality Assurance</w:t>
      </w:r>
    </w:p>
    <w:p>
      <w:pPr>
        <w:pStyle w:val="ListBullet"/>
      </w:pPr>
      <w:r>
        <w:t>Unit tests: Server and healing_engine can be tested with pytest. Not currently included; recommended for production rollout.</w:t>
      </w:r>
    </w:p>
    <w:p>
      <w:pPr>
        <w:pStyle w:val="ListBullet"/>
      </w:pPr>
      <w:r>
        <w:t>Integration tests: Validate synthesis → healing loop with sample test cases (provided in TEST_CASE_DESCRIPTIONS.md).</w:t>
      </w:r>
    </w:p>
    <w:p>
      <w:pPr>
        <w:pStyle w:val="ListBullet"/>
      </w:pPr>
      <w:r>
        <w:t>CI validation: Each PR and push runs the workflow. Failures visible in Actions tab.</w:t>
      </w:r>
    </w:p>
    <w:p>
      <w:pPr>
        <w:pStyle w:val="ListBullet"/>
      </w:pPr>
      <w:r>
        <w:t>Monitoring: logs/ directory captures synthesis and healing attempts. Useful for debugging LLM behavior.</w:t>
      </w:r>
    </w:p>
    <w:p>
      <w:pPr>
        <w:pStyle w:val="Heading1"/>
      </w:pPr>
      <w:r>
        <w:rPr>
          <w:color w:val="1F4E78"/>
        </w:rPr>
        <w:t>13. Future Enhancements</w:t>
      </w:r>
    </w:p>
    <w:p>
      <w:pPr>
        <w:pStyle w:val="ListBullet"/>
      </w:pPr>
      <w:r>
        <w:t>Multi-language support: Generate tests in Python (Pytest), JavaScript (Jest), etc.</w:t>
      </w:r>
    </w:p>
    <w:p>
      <w:pPr>
        <w:pStyle w:val="ListBullet"/>
      </w:pPr>
      <w:r>
        <w:t>Advanced healing heuristics: Machine learning model to predict which selectors are most likely to drift.</w:t>
      </w:r>
    </w:p>
    <w:p>
      <w:pPr>
        <w:pStyle w:val="ListBullet"/>
      </w:pPr>
      <w:r>
        <w:t>Visual regression testing: Integrate Percy or similar for screenshot comparisons.</w:t>
      </w:r>
    </w:p>
    <w:p>
      <w:pPr>
        <w:pStyle w:val="ListBullet"/>
      </w:pPr>
      <w:r>
        <w:t>Distributed healing: Parallelized healing across multiple AI requests.</w:t>
      </w:r>
    </w:p>
    <w:p>
      <w:pPr>
        <w:pStyle w:val="ListBullet"/>
      </w:pPr>
      <w:r>
        <w:t>Test insights dashboard: Aggregate pass/fail trends, selector performance, LLM cost analytics.</w:t>
      </w:r>
    </w:p>
    <w:p>
      <w:pPr>
        <w:pStyle w:val="ListBullet"/>
      </w:pPr>
      <w:r>
        <w:t>Browser version matrix: Test across Chrome, Firefox, Safari, and legacy versions.</w:t>
      </w:r>
    </w:p>
    <w:p>
      <w:pPr>
        <w:pStyle w:val="Heading1"/>
      </w:pPr>
      <w:r>
        <w:rPr>
          <w:color w:val="1F4E78"/>
        </w:rPr>
        <w:t>14. Summary</w:t>
      </w:r>
    </w:p>
    <w:p>
      <w:r>
        <w:t>Playwright AI Studio is a comprehensive AI-powered testing platform that bridges the gap between manual test writing and fully automated, self-healing test suites. By leveraging Azure OpenAI for synthesis and vision-assisted healing, combined with robust CI/CD integration via GitHub Actions, the platform enables teams to maintain reliable, maintainable test automation with minimal manual intervention.</w:t>
      </w:r>
    </w:p>
    <w:p>
      <w:r>
        <w:t>The architecture emphasizes immutability (golden files), gradual validation (local before promotion), and auditability (healing history). This design supports both rapid test creation and long-term sustainability in evolving web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