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Jenkins Job Configuration for Build and Deployment</w:t>
      </w:r>
    </w:p>
    <w:p>
      <w:r>
        <w:t>This document explains the step-by-step configuration of a Jenkins job for building and deploying a WAR file on a remote server. Each section includes the relevant screenshot and its description.</w:t>
      </w:r>
    </w:p>
    <w:p>
      <w:pPr>
        <w:pStyle w:val="Heading2"/>
      </w:pPr>
      <w:r>
        <w:t>Step 1: General Configuration</w:t>
      </w:r>
    </w:p>
    <w:p>
      <w:r>
        <w:t>In this step, the job is given a description and configured to discard old builds. The log rotation strategy keeps builds for 5 days.</w:t>
      </w:r>
    </w:p>
    <w:p>
      <w:r>
        <w:drawing>
          <wp:inline xmlns:a="http://schemas.openxmlformats.org/drawingml/2006/main" xmlns:pic="http://schemas.openxmlformats.org/drawingml/2006/picture">
            <wp:extent cx="5029200" cy="2706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Restrict Project Execution</w:t>
      </w:r>
    </w:p>
    <w:p>
      <w:r>
        <w:t>Under the 'General' section, restrict where the project can be run by specifying the label expression. Here, the label 'slave-2' is used to ensure the job runs on the specified Jenkins slave node.</w:t>
      </w:r>
    </w:p>
    <w:p>
      <w:r>
        <w:drawing>
          <wp:inline xmlns:a="http://schemas.openxmlformats.org/drawingml/2006/main" xmlns:pic="http://schemas.openxmlformats.org/drawingml/2006/picture">
            <wp:extent cx="5029200" cy="2680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Source Code Management (Git)</w:t>
      </w:r>
    </w:p>
    <w:p>
      <w:r>
        <w:t>In this section, Git is selected as the Source Code Management option. The repository URL is entered as 'https://github.com/rohitssonar/project.git'. SSH credentials (ec2-user) are used for secure access to the repository.</w:t>
      </w:r>
    </w:p>
    <w:p>
      <w:r>
        <w:drawing>
          <wp:inline xmlns:a="http://schemas.openxmlformats.org/drawingml/2006/main" xmlns:pic="http://schemas.openxmlformats.org/drawingml/2006/picture">
            <wp:extent cx="5029200" cy="2661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Build Environment and Maven Configuration</w:t>
      </w:r>
    </w:p>
    <w:p>
      <w:r>
        <w:t>The environment is configured to delete the workspace before the build starts. Maven is then used to clean and package the application. Maven version used: apache-maven-3.9.11. Goals specified: clean package.</w:t>
      </w:r>
    </w:p>
    <w:p>
      <w:r>
        <w:drawing>
          <wp:inline xmlns:a="http://schemas.openxmlformats.org/drawingml/2006/main" xmlns:pic="http://schemas.openxmlformats.org/drawingml/2006/picture">
            <wp:extent cx="5029200" cy="2700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0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Execute Shell Command</w:t>
      </w:r>
    </w:p>
    <w:p>
      <w:r>
        <w:t>Finally, a shell command is executed to copy the generated WAR file from the Jenkins workspace to the Tomcat webapps directory for deployment.</w:t>
      </w:r>
    </w:p>
    <w:p>
      <w:r>
        <w:drawing>
          <wp:inline xmlns:a="http://schemas.openxmlformats.org/drawingml/2006/main" xmlns:pic="http://schemas.openxmlformats.org/drawingml/2006/picture">
            <wp:extent cx="5029200" cy="2509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90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