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campaign: ads vs PSA</w:t>
      </w:r>
    </w:p>
    <w:p>
      <w:r>
        <w:rPr>
          <w:color w:val="8C8C8C"/>
          <w:sz w:val="26"/>
        </w:rPr>
        <w:t>The ad campaign raises conversion by 43.1% vs the PSA (statistically significant)</w:t>
      </w:r>
    </w:p>
    <w:p>
      <w:r>
        <w:rPr>
          <w:color w:val="8C8C8C"/>
          <w:sz w:val="18"/>
        </w:rPr>
        <w:t>Source: marketing_AB.csv; run 2026-10-01_marketing-ads</w:t>
      </w:r>
    </w:p>
    <w:p>
      <w:pPr>
        <w:pStyle w:val="Heading1"/>
      </w:pPr>
      <w:r>
        <w:t>Executive summary</w:t>
      </w:r>
    </w:p>
    <w:tbl>
      <w:tblPr>
        <w:tblW w:type="auto" w:w="0"/>
        <w:jc w:val="center"/>
        <w:tblLook w:firstColumn="1" w:firstRow="1" w:lastColumn="0" w:lastRow="0" w:noHBand="0" w:noVBand="1" w:val="04A0"/>
      </w:tblPr>
      <w:tblGrid>
        <w:gridCol w:w="9412"/>
      </w:tblGrid>
      <w:tr>
        <w:tc>
          <w:tcPr>
            <w:tcW w:type="dxa" w:w="9412"/>
            <w:shd w:val="clear" w:color="auto" w:fill="1B7F5A"/>
          </w:tcPr>
          <w:p>
            <w:r>
              <w:rPr>
                <w:b/>
                <w:color w:val="FFFFFF"/>
                <w:sz w:val="28"/>
              </w:rPr>
              <w:t>Recommendation: SHIP</w:t>
            </w:r>
          </w:p>
          <w:p>
            <w:r>
              <w:rPr>
                <w:b/>
                <w:color w:val="FFFFFF"/>
                <w:sz w:val="22"/>
              </w:rPr>
              <w:t>The ad campaign raises conversion by 43.1% vs the PSA (statistically significant)</w:t>
            </w:r>
          </w:p>
          <w:p>
            <w:r>
              <w:rPr>
                <w:color w:val="FFFFFF"/>
                <w:sz w:val="20"/>
              </w:rPr>
              <w:t>The primary metric improved significantly and by more than the practical threshold.</w:t>
            </w:r>
          </w:p>
        </w:tc>
      </w:tr>
    </w:tbl>
    <w:p/>
    <w:p>
      <w:r>
        <w:rPr>
          <w:b/>
        </w:rPr>
        <w:t xml:space="preserve">In plain terms: </w:t>
      </w:r>
      <w:r>
        <w:t>For every 1,000 users, about 7.7 more achieved conversion with the ad campaign than with the PSA. A difference this large is unlikely to be down to chance.</w:t>
      </w:r>
    </w:p>
    <w:p>
      <w:r>
        <w:rPr>
          <w:b/>
        </w:rPr>
        <w:t xml:space="preserve">How sure we are: </w:t>
      </w:r>
      <w:r>
        <w:t>Very sure the ads raise conversion. The true lift is most likely between +29.3% and +56.8% (95% confidence interval); even the low end is well above the +5% lift we set in advance as worth acting on. The Bayesian view gives the ads a &gt; 99.9% chance of beating the PSA.</w:t>
      </w:r>
    </w:p>
    <w:p>
      <w:r>
        <w:rPr>
          <w:b/>
        </w:rPr>
        <w:t xml:space="preserve">Condition: </w:t>
      </w:r>
      <w:r>
        <w:t>This recommendation assumes users were randomly assigned to see ads or the PSA, which is not yet confirmed: PSA ids form a separate block (900,000 to 923,523); assignment unconfirmed. Data owner: confirm random assignment to ads vs PSA before scaling spend.</w:t>
      </w:r>
    </w:p>
    <w:p>
      <w:r>
        <w:rPr>
          <w:b/>
        </w:rPr>
        <w:t xml:space="preserve">Only conversion was checked: </w:t>
      </w:r>
      <w:r>
        <w:t>No guardrail metrics defined; verdict rests on conversion alone. Guardrail metrics are checks that nothing else got worse (for example, users put off by the ads); none were available in the data.</w:t>
      </w:r>
    </w:p>
    <w:p>
      <w:pPr>
        <w:pStyle w:val="ListBullet"/>
      </w:pPr>
      <w:r>
        <w:rPr>
          <w:b/>
        </w:rPr>
        <w:t xml:space="preserve">Relative lift in conversion: </w:t>
      </w:r>
      <w:r>
        <w:t>+43.1% (95% CI [+29.3%, +56.8%])</w:t>
      </w:r>
    </w:p>
    <w:p>
      <w:pPr>
        <w:pStyle w:val="ListBullet"/>
      </w:pPr>
      <w:r>
        <w:rPr>
          <w:b/>
        </w:rPr>
        <w:t xml:space="preserve">Evidence: </w:t>
      </w:r>
      <w:r>
        <w:t>p &lt; 0.001</w:t>
      </w:r>
    </w:p>
    <w:p>
      <w:pPr>
        <w:pStyle w:val="ListBullet"/>
      </w:pPr>
      <w:r>
        <w:rPr>
          <w:b/>
        </w:rPr>
        <w:t xml:space="preserve">Conversion: </w:t>
      </w:r>
      <w:r>
        <w:t>the PSA vs the ad campaign: 1.79% vs 2.55%</w:t>
      </w:r>
    </w:p>
    <w:p>
      <w:pPr>
        <w:pStyle w:val="ListBullet"/>
      </w:pPr>
      <w:r>
        <w:rPr>
          <w:b/>
        </w:rPr>
        <w:t xml:space="preserve">Units analysed: </w:t>
      </w:r>
      <w:r>
        <w:t>psa: 23,524 / ad: 564,577</w:t>
      </w:r>
    </w:p>
    <w:p>
      <w:pPr>
        <w:pStyle w:val="ListBullet"/>
      </w:pPr>
      <w:r>
        <w:rPr>
          <w:b/>
        </w:rPr>
        <w:t xml:space="preserve">Incremental conversions per 1,000 users: </w:t>
      </w:r>
      <w:r>
        <w:t>7.7 (95% CI 6.0 to 9.4)</w:t>
      </w:r>
    </w:p>
    <w:p>
      <w:pPr>
        <w:pStyle w:val="ListBullet"/>
      </w:pPr>
      <w:r>
        <w:rPr>
          <w:b/>
        </w:rPr>
        <w:t xml:space="preserve">P(ads beat PSA): </w:t>
      </w:r>
      <w:r>
        <w:t>&gt; 99.9%</w:t>
      </w:r>
    </w:p>
    <w:p>
      <w:r>
        <w:rPr>
          <w:b/>
        </w:rPr>
        <w:t xml:space="preserve">Caveats: </w:t>
      </w:r>
      <w:r>
        <w:t>PSA ids form a separate block (900,000 to 923,523); assignment unconfirmed. Split confirmed as 96/4 only after a 95/5 check failed. Exposure breakdowns are exploratory, non-causal; 4 of 7 buckets inconclusive. No dates: novelty or wear-off cannot be checked. No guardrail metrics defined; verdict rests on conversion alone. Money impact needs a value per conversion.</w:t>
      </w:r>
    </w:p>
    <w:p>
      <w:r>
        <w:rPr>
          <w:b/>
        </w:rPr>
        <w:t xml:space="preserve">Next step: </w:t>
      </w:r>
      <w:r>
        <w:t>Keep ads running: about 7.7 extra conversions per 1,000 users (6.0 to 9.4).</w:t>
      </w:r>
    </w:p>
    <w:p>
      <w:r>
        <w:br w:type="page"/>
      </w:r>
    </w:p>
    <w:p>
      <w:pPr>
        <w:pStyle w:val="Heading1"/>
      </w:pPr>
      <w:r>
        <w:t>Business question and hypothesis</w:t>
      </w:r>
    </w:p>
    <w:p>
      <w:pPr>
        <w:pStyle w:val="Heading2"/>
      </w:pPr>
      <w:r>
        <w:t>Business question</w:t>
      </w:r>
    </w:p>
    <w:p>
      <w:r>
        <w:t>Would the ad campaign be successful, and how much of its success can be attributed to the ads?</w:t>
      </w:r>
    </w:p>
    <w:p>
      <w:pPr>
        <w:pStyle w:val="Heading2"/>
      </w:pPr>
      <w:r>
        <w:t>Decision to be made</w:t>
      </w:r>
    </w:p>
    <w:p>
      <w:r>
        <w:t>Whether the ads drive enough extra conversions to justify the campaign (continue / scale vs stop).</w:t>
      </w:r>
    </w:p>
    <w:p>
      <w:pPr>
        <w:pStyle w:val="Heading2"/>
      </w:pPr>
      <w:r>
        <w:t>Hypothesis</w:t>
      </w:r>
    </w:p>
    <w:p>
      <w:r>
        <w:t>Users who see the ad convert at a higher rate than users who see a public service announcement (PSA) in the same slot.</w:t>
      </w:r>
    </w:p>
    <w:p>
      <w:pPr>
        <w:pStyle w:val="Heading2"/>
      </w:pPr>
      <w:r>
        <w:t>Context as described</w:t>
      </w:r>
    </w:p>
    <w:p>
      <w:r>
        <w:t>Marketing A/B testing dataset Marketing companies want to run successful campaigns, but the market is complex and several options can work. So normally they tun A/B tests, that is a randomized experimentation process wherein two or more versions of a variable (web page, page element, banner, etc.) are shown to different segments of people at the same time to determine which version leaves the maximum impact and drive business metrics.</w:t>
      </w:r>
    </w:p>
    <w:p>
      <w:r>
        <w:t>The companies are interested in answering two questions:</w:t>
      </w:r>
    </w:p>
    <w:p>
      <w:r>
        <w:t>Would the campaign be successful? If the campaign was successful, how much of that success could be attributed to the ads? With the second question in mind, we normally do an A/B test. The majority of the people will be exposed to ads (the experimental group). And a small portion of people (the control group) would instead see a Public Service Announcement (PSA) (or nothing) in the exact size and place the ad would normally be.</w:t>
      </w:r>
    </w:p>
    <w:p>
      <w:r>
        <w:t>The idea of the dataset is to analyze the groups, find if the ads were successful, how much the company can make from the ads, and if the difference between the groups is statistically significant.</w:t>
      </w:r>
    </w:p>
    <w:p>
      <w:r>
        <w:t>Data dictionary:</w:t>
      </w:r>
    </w:p>
    <w:p>
      <w:r>
        <w:t>Index: Row index user id: User ID (unique) test group: If "ad" the person saw the advertisement, if "psa" they only saw the public service announcement converted: If a person bought the product then True, else is False total ads: Amount of ads seen by person most ads day: Day that the person saw the biggest amount of ads most ads hour: Hour of day that the person saw the biggest amount of ads</w:t>
      </w:r>
    </w:p>
    <w:p>
      <w:pPr>
        <w:pStyle w:val="Heading1"/>
      </w:pPr>
      <w:r>
        <w:t>Experiment design</w:t>
      </w:r>
    </w:p>
    <w:p>
      <w:pPr>
        <w:pStyle w:val="Caption"/>
      </w:pPr>
      <w:r>
        <w:t>Table 1: Experiment setup</w:t>
      </w:r>
    </w:p>
    <w:tbl>
      <w:tblPr>
        <w:tblStyle w:val="TableGrid"/>
        <w:tblW w:type="auto" w:w="0"/>
        <w:jc w:val="center"/>
        <w:tblLook w:firstColumn="1" w:firstRow="1" w:lastColumn="0" w:lastRow="0" w:noHBand="0" w:noVBand="1" w:val="04A0"/>
      </w:tblPr>
      <w:tblGrid>
        <w:gridCol w:w="4706"/>
        <w:gridCol w:w="4706"/>
      </w:tblGrid>
      <w:tr>
        <w:tc>
          <w:tcPr>
            <w:tcW w:type="dxa" w:w="2353"/>
            <w:shd w:val="clear" w:color="auto" w:fill="0B2545"/>
          </w:tcPr>
          <w:p>
            <w:r/>
            <w:r>
              <w:rPr>
                <w:b/>
                <w:color w:val="FFFFFF"/>
                <w:sz w:val="19"/>
              </w:rPr>
              <w:t>Item</w:t>
            </w:r>
          </w:p>
        </w:tc>
        <w:tc>
          <w:tcPr>
            <w:tcW w:type="dxa" w:w="7059"/>
            <w:shd w:val="clear" w:color="auto" w:fill="0B2545"/>
          </w:tcPr>
          <w:p>
            <w:r/>
            <w:r>
              <w:rPr>
                <w:b/>
                <w:color w:val="FFFFFF"/>
                <w:sz w:val="19"/>
              </w:rPr>
              <w:t>Detail</w:t>
            </w:r>
          </w:p>
        </w:tc>
      </w:tr>
      <w:tr>
        <w:tc>
          <w:tcPr>
            <w:tcW w:type="dxa" w:w="2353"/>
          </w:tcPr>
          <w:p>
            <w:r/>
            <w:r>
              <w:rPr>
                <w:sz w:val="19"/>
              </w:rPr>
              <w:t>Variants (units)</w:t>
            </w:r>
          </w:p>
        </w:tc>
        <w:tc>
          <w:tcPr>
            <w:tcW w:type="dxa" w:w="7059"/>
          </w:tcPr>
          <w:p>
            <w:r/>
            <w:r>
              <w:rPr>
                <w:sz w:val="19"/>
              </w:rPr>
              <w:t>ad: 564,577, psa: 23,524</w:t>
            </w:r>
          </w:p>
        </w:tc>
      </w:tr>
      <w:tr>
        <w:tc>
          <w:tcPr>
            <w:tcW w:type="dxa" w:w="2353"/>
          </w:tcPr>
          <w:p>
            <w:r/>
            <w:r>
              <w:rPr>
                <w:sz w:val="19"/>
              </w:rPr>
              <w:t>Primary metric</w:t>
            </w:r>
          </w:p>
        </w:tc>
        <w:tc>
          <w:tcPr>
            <w:tcW w:type="dxa" w:w="7059"/>
          </w:tcPr>
          <w:p>
            <w:r/>
            <w:r>
              <w:rPr>
                <w:sz w:val="19"/>
              </w:rPr>
              <w:t>converted (binary, goal: increase)</w:t>
            </w:r>
          </w:p>
        </w:tc>
      </w:tr>
      <w:tr>
        <w:tc>
          <w:tcPr>
            <w:tcW w:type="dxa" w:w="2353"/>
          </w:tcPr>
          <w:p>
            <w:r/>
            <w:r>
              <w:rPr>
                <w:sz w:val="19"/>
              </w:rPr>
              <w:t>Statistical settings</w:t>
            </w:r>
          </w:p>
        </w:tc>
        <w:tc>
          <w:tcPr>
            <w:tcW w:type="dxa" w:w="7059"/>
          </w:tcPr>
          <w:p>
            <w:r/>
            <w:r>
              <w:rPr>
                <w:sz w:val="19"/>
              </w:rPr>
              <w:t>alpha 0.05, two-sided, power 0.8</w:t>
            </w:r>
          </w:p>
        </w:tc>
      </w:tr>
      <w:tr>
        <w:tc>
          <w:tcPr>
            <w:tcW w:type="dxa" w:w="2353"/>
          </w:tcPr>
          <w:p>
            <w:r/>
            <w:r>
              <w:rPr>
                <w:sz w:val="19"/>
              </w:rPr>
              <w:t>Multiple-testing correction</w:t>
            </w:r>
          </w:p>
        </w:tc>
        <w:tc>
          <w:tcPr>
            <w:tcW w:type="dxa" w:w="7059"/>
          </w:tcPr>
          <w:p>
            <w:r/>
            <w:r>
              <w:rPr>
                <w:sz w:val="19"/>
              </w:rPr>
              <w:t>secondary: holm; segments: benjamini-hochberg</w:t>
            </w:r>
          </w:p>
        </w:tc>
      </w:tr>
      <w:tr>
        <w:tc>
          <w:tcPr>
            <w:tcW w:type="dxa" w:w="2353"/>
          </w:tcPr>
          <w:p>
            <w:r/>
            <w:r>
              <w:rPr>
                <w:sz w:val="19"/>
              </w:rPr>
              <w:t>Analysis type</w:t>
            </w:r>
          </w:p>
        </w:tc>
        <w:tc>
          <w:tcPr>
            <w:tcW w:type="dxa" w:w="7059"/>
          </w:tcPr>
          <w:p>
            <w:r/>
            <w:r>
              <w:rPr>
                <w:sz w:val="19"/>
              </w:rPr>
              <w:t>post test readout, bayesian readout, heterogeneous effects</w:t>
            </w:r>
          </w:p>
        </w:tc>
      </w:tr>
    </w:tbl>
    <w:p/>
    <w:p>
      <w:pPr>
        <w:pStyle w:val="Heading1"/>
      </w:pPr>
      <w:r>
        <w:t>Data and validation</w:t>
      </w:r>
    </w:p>
    <w:p>
      <w:r>
        <w:t>Overall validation verdict: WARN. Checks follow; outliers are reported, never removed automatically.</w:t>
      </w:r>
    </w:p>
    <w:p>
      <w:pPr>
        <w:pStyle w:val="Caption"/>
      </w:pPr>
      <w:r>
        <w:t>Table 2: Validation checks</w:t>
      </w:r>
    </w:p>
    <w:tbl>
      <w:tblPr>
        <w:tblStyle w:val="TableGrid"/>
        <w:tblW w:type="auto" w:w="0"/>
        <w:jc w:val="center"/>
        <w:tblLook w:firstColumn="1" w:firstRow="1" w:lastColumn="0" w:lastRow="0" w:noHBand="0" w:noVBand="1" w:val="04A0"/>
      </w:tblPr>
      <w:tblGrid>
        <w:gridCol w:w="3137"/>
        <w:gridCol w:w="3137"/>
        <w:gridCol w:w="3137"/>
      </w:tblGrid>
      <w:tr>
        <w:tc>
          <w:tcPr>
            <w:tcW w:type="dxa" w:w="1613"/>
            <w:shd w:val="clear" w:color="auto" w:fill="0B2545"/>
          </w:tcPr>
          <w:p>
            <w:r/>
            <w:r>
              <w:rPr>
                <w:b/>
                <w:color w:val="FFFFFF"/>
                <w:sz w:val="17"/>
              </w:rPr>
              <w:t>Check</w:t>
            </w:r>
          </w:p>
        </w:tc>
        <w:tc>
          <w:tcPr>
            <w:tcW w:type="dxa" w:w="1076"/>
            <w:shd w:val="clear" w:color="auto" w:fill="0B2545"/>
          </w:tcPr>
          <w:p>
            <w:r/>
            <w:r>
              <w:rPr>
                <w:b/>
                <w:color w:val="FFFFFF"/>
                <w:sz w:val="17"/>
              </w:rPr>
              <w:t>Verdict</w:t>
            </w:r>
          </w:p>
        </w:tc>
        <w:tc>
          <w:tcPr>
            <w:tcW w:type="dxa" w:w="6723"/>
            <w:shd w:val="clear" w:color="auto" w:fill="0B2545"/>
          </w:tcPr>
          <w:p>
            <w:r/>
            <w:r>
              <w:rPr>
                <w:b/>
                <w:color w:val="FFFFFF"/>
                <w:sz w:val="17"/>
              </w:rPr>
              <w:t>Detail</w:t>
            </w:r>
          </w:p>
        </w:tc>
      </w:tr>
      <w:tr>
        <w:tc>
          <w:tcPr>
            <w:tcW w:type="dxa" w:w="1613"/>
          </w:tcPr>
          <w:p>
            <w:r/>
            <w:r>
              <w:rPr>
                <w:sz w:val="17"/>
              </w:rPr>
              <w:t>schema</w:t>
            </w:r>
          </w:p>
        </w:tc>
        <w:tc>
          <w:tcPr>
            <w:tcW w:type="dxa" w:w="1076"/>
          </w:tcPr>
          <w:p>
            <w:r/>
            <w:r>
              <w:rPr>
                <w:b/>
                <w:color w:val="1B7F5A"/>
                <w:sz w:val="17"/>
              </w:rPr>
              <w:t>PASS</w:t>
            </w:r>
          </w:p>
        </w:tc>
        <w:tc>
          <w:tcPr>
            <w:tcW w:type="dxa" w:w="6723"/>
          </w:tcPr>
          <w:p>
            <w:r/>
            <w:r>
              <w:rPr>
                <w:sz w:val="17"/>
              </w:rPr>
              <w:t>6 columns, 588,101 rows</w:t>
            </w:r>
          </w:p>
        </w:tc>
      </w:tr>
      <w:tr>
        <w:tc>
          <w:tcPr>
            <w:tcW w:type="dxa" w:w="1613"/>
          </w:tcPr>
          <w:p>
            <w:r/>
            <w:r>
              <w:rPr>
                <w:sz w:val="17"/>
              </w:rPr>
              <w:t>dtypes</w:t>
            </w:r>
          </w:p>
        </w:tc>
        <w:tc>
          <w:tcPr>
            <w:tcW w:type="dxa" w:w="1076"/>
          </w:tcPr>
          <w:p>
            <w:r/>
            <w:r>
              <w:rPr>
                <w:b/>
                <w:color w:val="1B7F5A"/>
                <w:sz w:val="17"/>
              </w:rPr>
              <w:t>PASS</w:t>
            </w:r>
          </w:p>
        </w:tc>
        <w:tc>
          <w:tcPr>
            <w:tcW w:type="dxa" w:w="6723"/>
          </w:tcPr>
          <w:p>
            <w:r/>
            <w:r>
              <w:rPr>
                <w:sz w:val="17"/>
              </w:rPr>
              <w:t>All metric columns numeric</w:t>
            </w:r>
          </w:p>
        </w:tc>
      </w:tr>
      <w:tr>
        <w:tc>
          <w:tcPr>
            <w:tcW w:type="dxa" w:w="1613"/>
          </w:tcPr>
          <w:p>
            <w:r/>
            <w:r>
              <w:rPr>
                <w:sz w:val="17"/>
              </w:rPr>
              <w:t>missing values</w:t>
            </w:r>
          </w:p>
        </w:tc>
        <w:tc>
          <w:tcPr>
            <w:tcW w:type="dxa" w:w="1076"/>
          </w:tcPr>
          <w:p>
            <w:r/>
            <w:r>
              <w:rPr>
                <w:b/>
                <w:color w:val="1B7F5A"/>
                <w:sz w:val="17"/>
              </w:rPr>
              <w:t>PASS</w:t>
            </w:r>
          </w:p>
        </w:tc>
        <w:tc>
          <w:tcPr>
            <w:tcW w:type="dxa" w:w="6723"/>
          </w:tcPr>
          <w:p>
            <w:r/>
            <w:r>
              <w:rPr>
                <w:sz w:val="17"/>
              </w:rPr>
              <w:t>No missing values</w:t>
            </w:r>
          </w:p>
        </w:tc>
      </w:tr>
      <w:tr>
        <w:tc>
          <w:tcPr>
            <w:tcW w:type="dxa" w:w="1613"/>
          </w:tcPr>
          <w:p>
            <w:r/>
            <w:r>
              <w:rPr>
                <w:sz w:val="17"/>
              </w:rPr>
              <w:t>duplicates</w:t>
            </w:r>
          </w:p>
        </w:tc>
        <w:tc>
          <w:tcPr>
            <w:tcW w:type="dxa" w:w="1076"/>
          </w:tcPr>
          <w:p>
            <w:r/>
            <w:r>
              <w:rPr>
                <w:b/>
                <w:color w:val="1B7F5A"/>
                <w:sz w:val="17"/>
              </w:rPr>
              <w:t>PASS</w:t>
            </w:r>
          </w:p>
        </w:tc>
        <w:tc>
          <w:tcPr>
            <w:tcW w:type="dxa" w:w="6723"/>
          </w:tcPr>
          <w:p>
            <w:r/>
            <w:r>
              <w:rPr>
                <w:sz w:val="17"/>
              </w:rPr>
              <w:t>588,101 units, one row each</w:t>
            </w:r>
          </w:p>
        </w:tc>
      </w:tr>
      <w:tr>
        <w:tc>
          <w:tcPr>
            <w:tcW w:type="dxa" w:w="1613"/>
          </w:tcPr>
          <w:p>
            <w:r/>
            <w:r>
              <w:rPr>
                <w:sz w:val="17"/>
              </w:rPr>
              <w:t>contamination</w:t>
            </w:r>
          </w:p>
        </w:tc>
        <w:tc>
          <w:tcPr>
            <w:tcW w:type="dxa" w:w="1076"/>
          </w:tcPr>
          <w:p>
            <w:r/>
            <w:r>
              <w:rPr>
                <w:b/>
                <w:color w:val="1B7F5A"/>
                <w:sz w:val="17"/>
              </w:rPr>
              <w:t>PASS</w:t>
            </w:r>
          </w:p>
        </w:tc>
        <w:tc>
          <w:tcPr>
            <w:tcW w:type="dxa" w:w="6723"/>
          </w:tcPr>
          <w:p>
            <w:r/>
            <w:r>
              <w:rPr>
                <w:sz w:val="17"/>
              </w:rPr>
              <w:t>No unit appears in more than one variant</w:t>
            </w:r>
          </w:p>
        </w:tc>
      </w:tr>
      <w:tr>
        <w:tc>
          <w:tcPr>
            <w:tcW w:type="dxa" w:w="1613"/>
          </w:tcPr>
          <w:p>
            <w:r/>
            <w:r>
              <w:rPr>
                <w:sz w:val="17"/>
              </w:rPr>
              <w:t>variants</w:t>
            </w:r>
          </w:p>
        </w:tc>
        <w:tc>
          <w:tcPr>
            <w:tcW w:type="dxa" w:w="1076"/>
          </w:tcPr>
          <w:p>
            <w:r/>
            <w:r>
              <w:rPr>
                <w:b/>
                <w:color w:val="1B7F5A"/>
                <w:sz w:val="17"/>
              </w:rPr>
              <w:t>PASS</w:t>
            </w:r>
          </w:p>
        </w:tc>
        <w:tc>
          <w:tcPr>
            <w:tcW w:type="dxa" w:w="6723"/>
          </w:tcPr>
          <w:p>
            <w:r/>
            <w:r>
              <w:rPr>
                <w:sz w:val="17"/>
              </w:rPr>
              <w:t>Counts {'ad': 564577, 'psa': 23524}</w:t>
            </w:r>
          </w:p>
        </w:tc>
      </w:tr>
      <w:tr>
        <w:tc>
          <w:tcPr>
            <w:tcW w:type="dxa" w:w="1613"/>
          </w:tcPr>
          <w:p>
            <w:r/>
            <w:r>
              <w:rPr>
                <w:sz w:val="17"/>
              </w:rPr>
              <w:t>SRM</w:t>
            </w:r>
          </w:p>
        </w:tc>
        <w:tc>
          <w:tcPr>
            <w:tcW w:type="dxa" w:w="1076"/>
          </w:tcPr>
          <w:p>
            <w:r/>
            <w:r>
              <w:rPr>
                <w:b/>
                <w:color w:val="1B7F5A"/>
                <w:sz w:val="17"/>
              </w:rPr>
              <w:t>PASS</w:t>
            </w:r>
          </w:p>
        </w:tc>
        <w:tc>
          <w:tcPr>
            <w:tcW w:type="dxa" w:w="6723"/>
          </w:tcPr>
          <w:p>
            <w:r/>
            <w:r>
              <w:rPr>
                <w:sz w:val="17"/>
              </w:rPr>
              <w:t>p = 1.000 (threshold 0.001)</w:t>
            </w:r>
          </w:p>
        </w:tc>
      </w:tr>
      <w:tr>
        <w:tc>
          <w:tcPr>
            <w:tcW w:type="dxa" w:w="1613"/>
          </w:tcPr>
          <w:p>
            <w:r/>
            <w:r>
              <w:rPr>
                <w:sz w:val="17"/>
              </w:rPr>
              <w:t>outliers</w:t>
            </w:r>
          </w:p>
        </w:tc>
        <w:tc>
          <w:tcPr>
            <w:tcW w:type="dxa" w:w="1076"/>
          </w:tcPr>
          <w:p>
            <w:r/>
            <w:r>
              <w:rPr>
                <w:b/>
                <w:color w:val="B08900"/>
                <w:sz w:val="17"/>
              </w:rPr>
              <w:t>WARN</w:t>
            </w:r>
          </w:p>
        </w:tc>
        <w:tc>
          <w:tcPr>
            <w:tcW w:type="dxa" w:w="6723"/>
          </w:tcPr>
          <w:p>
            <w:r/>
            <w:r>
              <w:rPr>
                <w:sz w:val="17"/>
              </w:rPr>
              <w:t>Extreme values (reported, not removed): total ads: max is 10x the 99th percentile. Consider winsorised or boot</w:t>
            </w:r>
          </w:p>
        </w:tc>
      </w:tr>
      <w:tr>
        <w:tc>
          <w:tcPr>
            <w:tcW w:type="dxa" w:w="1613"/>
          </w:tcPr>
          <w:p>
            <w:r/>
            <w:r>
              <w:rPr>
                <w:sz w:val="17"/>
              </w:rPr>
              <w:t>impossible values</w:t>
            </w:r>
          </w:p>
        </w:tc>
        <w:tc>
          <w:tcPr>
            <w:tcW w:type="dxa" w:w="1076"/>
          </w:tcPr>
          <w:p>
            <w:r/>
            <w:r>
              <w:rPr>
                <w:b/>
                <w:color w:val="1B7F5A"/>
                <w:sz w:val="17"/>
              </w:rPr>
              <w:t>PASS</w:t>
            </w:r>
          </w:p>
        </w:tc>
        <w:tc>
          <w:tcPr>
            <w:tcW w:type="dxa" w:w="6723"/>
          </w:tcPr>
          <w:p>
            <w:r/>
            <w:r>
              <w:rPr>
                <w:sz w:val="17"/>
              </w:rPr>
              <w:t>Metric values within valid ranges</w:t>
            </w:r>
          </w:p>
        </w:tc>
      </w:tr>
      <w:tr>
        <w:tc>
          <w:tcPr>
            <w:tcW w:type="dxa" w:w="1613"/>
          </w:tcPr>
          <w:p>
            <w:r/>
            <w:r>
              <w:rPr>
                <w:sz w:val="17"/>
              </w:rPr>
              <w:t>pre-period data</w:t>
            </w:r>
          </w:p>
        </w:tc>
        <w:tc>
          <w:tcPr>
            <w:tcW w:type="dxa" w:w="1076"/>
          </w:tcPr>
          <w:p>
            <w:r/>
            <w:r>
              <w:rPr>
                <w:b/>
                <w:color w:val="1B7F5A"/>
                <w:sz w:val="17"/>
              </w:rPr>
              <w:t>PASS</w:t>
            </w:r>
          </w:p>
        </w:tc>
        <w:tc>
          <w:tcPr>
            <w:tcW w:type="dxa" w:w="6723"/>
          </w:tcPr>
          <w:p>
            <w:r/>
            <w:r>
              <w:rPr>
                <w:sz w:val="17"/>
              </w:rPr>
              <w:t>None described (CUPED not possible)</w:t>
            </w:r>
          </w:p>
        </w:tc>
      </w:tr>
      <w:tr>
        <w:tc>
          <w:tcPr>
            <w:tcW w:type="dxa" w:w="1613"/>
          </w:tcPr>
          <w:p>
            <w:r/>
            <w:r>
              <w:rPr>
                <w:sz w:val="17"/>
              </w:rPr>
              <w:t>covariate balance</w:t>
            </w:r>
          </w:p>
        </w:tc>
        <w:tc>
          <w:tcPr>
            <w:tcW w:type="dxa" w:w="1076"/>
          </w:tcPr>
          <w:p>
            <w:r/>
            <w:r>
              <w:rPr>
                <w:b/>
                <w:color w:val="B08900"/>
                <w:sz w:val="17"/>
              </w:rPr>
              <w:t>WARN</w:t>
            </w:r>
          </w:p>
        </w:tc>
        <w:tc>
          <w:tcPr>
            <w:tcW w:type="dxa" w:w="6723"/>
          </w:tcPr>
          <w:p>
            <w:r/>
            <w:r>
              <w:rPr>
                <w:sz w:val="17"/>
              </w:rPr>
              <w:t>Segment mix differs between variants: most ads day (p = 4.8e-48), most ads hour (p = 1.1e-28) (can indicate an</w:t>
            </w:r>
          </w:p>
        </w:tc>
      </w:tr>
    </w:tbl>
    <w:p/>
    <w:p>
      <w:pPr>
        <w:jc w:val="center"/>
      </w:pPr>
      <w:r>
        <w:drawing>
          <wp:inline xmlns:a="http://schemas.openxmlformats.org/drawingml/2006/main" xmlns:pic="http://schemas.openxmlformats.org/drawingml/2006/picture">
            <wp:extent cx="5976620" cy="3360853"/>
            <wp:docPr id="1" name="Picture 1"/>
            <wp:cNvGraphicFramePr>
              <a:graphicFrameLocks noChangeAspect="1"/>
            </wp:cNvGraphicFramePr>
            <a:graphic>
              <a:graphicData uri="http://schemas.openxmlformats.org/drawingml/2006/picture">
                <pic:pic>
                  <pic:nvPicPr>
                    <pic:cNvPr id="0" name="srm_bar.png"/>
                    <pic:cNvPicPr/>
                  </pic:nvPicPr>
                  <pic:blipFill>
                    <a:blip r:embed="rId10"/>
                    <a:stretch>
                      <a:fillRect/>
                    </a:stretch>
                  </pic:blipFill>
                  <pic:spPr>
                    <a:xfrm>
                      <a:off x="0" y="0"/>
                      <a:ext cx="5976620" cy="3360853"/>
                    </a:xfrm>
                    <a:prstGeom prst="rect"/>
                  </pic:spPr>
                </pic:pic>
              </a:graphicData>
            </a:graphic>
          </wp:inline>
        </w:drawing>
      </w:r>
    </w:p>
    <w:p>
      <w:pPr>
        <w:pStyle w:val="Caption"/>
      </w:pPr>
      <w:r>
        <w:t>Figure 1: Traffic split matches the intended 96/4 (Ads 96.0%, PSA 4.0%): no sample ratio mismatch. Share of users by group vs the intended 96/4 split (dashed line)</w:t>
      </w:r>
    </w:p>
    <w:p>
      <w:pPr>
        <w:pStyle w:val="Heading1"/>
      </w:pPr>
      <w:r>
        <w:t>Methodology</w:t>
      </w:r>
    </w:p>
    <w:p>
      <w:pPr>
        <w:pStyle w:val="ListBullet"/>
      </w:pPr>
      <w:r>
        <w:rPr>
          <w:b/>
        </w:rPr>
        <w:t xml:space="preserve">srm: </w:t>
      </w:r>
      <w:r>
        <w:t>srm check (code/11_validate_srm.py)</w:t>
      </w:r>
    </w:p>
    <w:p>
      <w:pPr>
        <w:pStyle w:val="ListBullet"/>
      </w:pPr>
      <w:r>
        <w:rPr>
          <w:b/>
        </w:rPr>
        <w:t xml:space="preserve">primary test: </w:t>
      </w:r>
      <w:r>
        <w:t>two proportion ztest (code/20_analysis_primary_test.py)</w:t>
      </w:r>
    </w:p>
    <w:p>
      <w:pPr>
        <w:pStyle w:val="ListBullet"/>
      </w:pPr>
      <w:r>
        <w:rPr>
          <w:b/>
        </w:rPr>
        <w:t xml:space="preserve">bayesian: </w:t>
      </w:r>
      <w:r>
        <w:t>beta binomial (code/20_analysis_bayesian.py)</w:t>
      </w:r>
    </w:p>
    <w:p>
      <w:pPr>
        <w:pStyle w:val="ListBullet"/>
      </w:pPr>
      <w:r>
        <w:rPr>
          <w:b/>
        </w:rPr>
        <w:t xml:space="preserve">impact: </w:t>
      </w:r>
      <w:r>
        <w:t>incremental impact (code/20_analysis_impact.py)</w:t>
      </w:r>
    </w:p>
    <w:p>
      <w:pPr>
        <w:pStyle w:val="ListBullet"/>
      </w:pPr>
      <w:r>
        <w:rPr>
          <w:b/>
        </w:rPr>
        <w:t xml:space="preserve">exposure explore: </w:t>
      </w:r>
      <w:r>
        <w:t>segment effects, two proportion ztest, interaction test, simpsons check (code/20_analysis_exposure_explore.py)</w:t>
      </w:r>
    </w:p>
    <w:p>
      <w:r>
        <w:t>Significance level 0.05 (two-sided), target power 0.8; corrections: primary none, secondary holm, segments benjamini-hochberg. SRM threshold p &lt; 0.001.</w:t>
      </w:r>
    </w:p>
    <w:p>
      <w:pPr>
        <w:pStyle w:val="Heading1"/>
      </w:pPr>
      <w:r>
        <w:t>Results</w:t>
      </w:r>
    </w:p>
    <w:p>
      <w:pPr>
        <w:jc w:val="center"/>
      </w:pPr>
      <w:r>
        <w:drawing>
          <wp:inline xmlns:a="http://schemas.openxmlformats.org/drawingml/2006/main" xmlns:pic="http://schemas.openxmlformats.org/drawingml/2006/picture">
            <wp:extent cx="5976620" cy="3360853"/>
            <wp:docPr id="2" name="Picture 2"/>
            <wp:cNvGraphicFramePr>
              <a:graphicFrameLocks noChangeAspect="1"/>
            </wp:cNvGraphicFramePr>
            <a:graphic>
              <a:graphicData uri="http://schemas.openxmlformats.org/drawingml/2006/picture">
                <pic:pic>
                  <pic:nvPicPr>
                    <pic:cNvPr id="0" name="lift_ci.png"/>
                    <pic:cNvPicPr/>
                  </pic:nvPicPr>
                  <pic:blipFill>
                    <a:blip r:embed="rId11"/>
                    <a:stretch>
                      <a:fillRect/>
                    </a:stretch>
                  </pic:blipFill>
                  <pic:spPr>
                    <a:xfrm>
                      <a:off x="0" y="0"/>
                      <a:ext cx="5976620" cy="3360853"/>
                    </a:xfrm>
                    <a:prstGeom prst="rect"/>
                  </pic:spPr>
                </pic:pic>
              </a:graphicData>
            </a:graphic>
          </wp:inline>
        </w:drawing>
      </w:r>
    </w:p>
    <w:p>
      <w:pPr>
        <w:pStyle w:val="Caption"/>
      </w:pPr>
      <w:r>
        <w:t>Figure 2: Ads lift conversion by +43.1% vs PSA, statistically significant and above the 5% practical threshold. Relative lift in conversion vs PSA; z-test 95% CI, Bayesian 95% credible interval</w:t>
      </w:r>
    </w:p>
    <w:p>
      <w:pPr>
        <w:jc w:val="center"/>
      </w:pPr>
      <w:r>
        <w:drawing>
          <wp:inline xmlns:a="http://schemas.openxmlformats.org/drawingml/2006/main" xmlns:pic="http://schemas.openxmlformats.org/drawingml/2006/picture">
            <wp:extent cx="5976620" cy="3360853"/>
            <wp:docPr id="3" name="Picture 3"/>
            <wp:cNvGraphicFramePr>
              <a:graphicFrameLocks noChangeAspect="1"/>
            </wp:cNvGraphicFramePr>
            <a:graphic>
              <a:graphicData uri="http://schemas.openxmlformats.org/drawingml/2006/picture">
                <pic:pic>
                  <pic:nvPicPr>
                    <pic:cNvPr id="0" name="metric_by_variant.png"/>
                    <pic:cNvPicPr/>
                  </pic:nvPicPr>
                  <pic:blipFill>
                    <a:blip r:embed="rId12"/>
                    <a:stretch>
                      <a:fillRect/>
                    </a:stretch>
                  </pic:blipFill>
                  <pic:spPr>
                    <a:xfrm>
                      <a:off x="0" y="0"/>
                      <a:ext cx="5976620" cy="3360853"/>
                    </a:xfrm>
                    <a:prstGeom prst="rect"/>
                  </pic:spPr>
                </pic:pic>
              </a:graphicData>
            </a:graphic>
          </wp:inline>
        </w:drawing>
      </w:r>
    </w:p>
    <w:p>
      <w:pPr>
        <w:pStyle w:val="Caption"/>
      </w:pPr>
      <w:r>
        <w:t>Figure 3: Ads users convert at 2.55% vs 1.79% with PSA: 7.7 extra conversions per 1,000 users, significant. Conversion rate by group, 95% CI</w:t>
      </w:r>
    </w:p>
    <w:p>
      <w:pPr>
        <w:jc w:val="center"/>
      </w:pPr>
      <w:r>
        <w:drawing>
          <wp:inline xmlns:a="http://schemas.openxmlformats.org/drawingml/2006/main" xmlns:pic="http://schemas.openxmlformats.org/drawingml/2006/picture">
            <wp:extent cx="5976620" cy="3360853"/>
            <wp:docPr id="4" name="Picture 4"/>
            <wp:cNvGraphicFramePr>
              <a:graphicFrameLocks noChangeAspect="1"/>
            </wp:cNvGraphicFramePr>
            <a:graphic>
              <a:graphicData uri="http://schemas.openxmlformats.org/drawingml/2006/picture">
                <pic:pic>
                  <pic:nvPicPr>
                    <pic:cNvPr id="0" name="posterior_distributions.png"/>
                    <pic:cNvPicPr/>
                  </pic:nvPicPr>
                  <pic:blipFill>
                    <a:blip r:embed="rId13"/>
                    <a:stretch>
                      <a:fillRect/>
                    </a:stretch>
                  </pic:blipFill>
                  <pic:spPr>
                    <a:xfrm>
                      <a:off x="0" y="0"/>
                      <a:ext cx="5976620" cy="3360853"/>
                    </a:xfrm>
                    <a:prstGeom prst="rect"/>
                  </pic:spPr>
                </pic:pic>
              </a:graphicData>
            </a:graphic>
          </wp:inline>
        </w:drawing>
      </w:r>
    </w:p>
    <w:p>
      <w:pPr>
        <w:pStyle w:val="Caption"/>
      </w:pPr>
      <w:r>
        <w:t>Figure 4: Plausible conversion rates for Ads and PSA do not overlap: Ads beat PSA with &gt; 99.9% probability. Posterior distribution of the conversion rate by group; label = posterior mean</w:t>
      </w:r>
    </w:p>
    <w:p>
      <w:pPr>
        <w:jc w:val="center"/>
      </w:pPr>
      <w:r>
        <w:drawing>
          <wp:inline xmlns:a="http://schemas.openxmlformats.org/drawingml/2006/main" xmlns:pic="http://schemas.openxmlformats.org/drawingml/2006/picture">
            <wp:extent cx="5976620" cy="3360853"/>
            <wp:docPr id="5" name="Picture 5"/>
            <wp:cNvGraphicFramePr>
              <a:graphicFrameLocks noChangeAspect="1"/>
            </wp:cNvGraphicFramePr>
            <a:graphic>
              <a:graphicData uri="http://schemas.openxmlformats.org/drawingml/2006/picture">
                <pic:pic>
                  <pic:nvPicPr>
                    <pic:cNvPr id="0" name="prob_to_beat_control.png"/>
                    <pic:cNvPicPr/>
                  </pic:nvPicPr>
                  <pic:blipFill>
                    <a:blip r:embed="rId14"/>
                    <a:stretch>
                      <a:fillRect/>
                    </a:stretch>
                  </pic:blipFill>
                  <pic:spPr>
                    <a:xfrm>
                      <a:off x="0" y="0"/>
                      <a:ext cx="5976620" cy="3360853"/>
                    </a:xfrm>
                    <a:prstGeom prst="rect"/>
                  </pic:spPr>
                </pic:pic>
              </a:graphicData>
            </a:graphic>
          </wp:inline>
        </w:drawing>
      </w:r>
    </w:p>
    <w:p>
      <w:pPr>
        <w:pStyle w:val="Caption"/>
      </w:pPr>
      <w:r>
        <w:t>Figure 5: Ads beat PSA on conversion with &gt; 99.9% probability, above the 95% decision threshold. Posterior probability that Ads convert better than PSA</w:t>
      </w:r>
    </w:p>
    <w:p>
      <w:pPr>
        <w:pStyle w:val="Caption"/>
      </w:pPr>
      <w:r>
        <w:t>Table 3: Primary and secondary metrics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B2545"/>
          </w:tcPr>
          <w:p>
            <w:r/>
            <w:r>
              <w:rPr>
                <w:b/>
                <w:color w:val="FFFFFF"/>
                <w:sz w:val="17"/>
              </w:rPr>
              <w:t>Metric</w:t>
            </w:r>
          </w:p>
        </w:tc>
        <w:tc>
          <w:tcPr>
            <w:tcW w:type="dxa" w:w="1176"/>
            <w:shd w:val="clear" w:color="auto" w:fill="0B2545"/>
          </w:tcPr>
          <w:p>
            <w:r/>
            <w:r>
              <w:rPr>
                <w:b/>
                <w:color w:val="FFFFFF"/>
                <w:sz w:val="17"/>
              </w:rPr>
              <w:t>Comparison</w:t>
            </w:r>
          </w:p>
        </w:tc>
        <w:tc>
          <w:tcPr>
            <w:tcW w:type="dxa" w:w="1176"/>
            <w:shd w:val="clear" w:color="auto" w:fill="0B2545"/>
          </w:tcPr>
          <w:p>
            <w:r/>
            <w:r>
              <w:rPr>
                <w:b/>
                <w:color w:val="FFFFFF"/>
                <w:sz w:val="17"/>
              </w:rPr>
              <w:t>Control</w:t>
            </w:r>
          </w:p>
        </w:tc>
        <w:tc>
          <w:tcPr>
            <w:tcW w:type="dxa" w:w="1176"/>
            <w:shd w:val="clear" w:color="auto" w:fill="0B2545"/>
          </w:tcPr>
          <w:p>
            <w:r/>
            <w:r>
              <w:rPr>
                <w:b/>
                <w:color w:val="FFFFFF"/>
                <w:sz w:val="17"/>
              </w:rPr>
              <w:t>Treatment</w:t>
            </w:r>
          </w:p>
        </w:tc>
        <w:tc>
          <w:tcPr>
            <w:tcW w:type="dxa" w:w="1176"/>
            <w:shd w:val="clear" w:color="auto" w:fill="0B2545"/>
          </w:tcPr>
          <w:p>
            <w:r/>
            <w:r>
              <w:rPr>
                <w:b/>
                <w:color w:val="FFFFFF"/>
                <w:sz w:val="17"/>
              </w:rPr>
              <w:t>Rel. lift</w:t>
            </w:r>
          </w:p>
        </w:tc>
        <w:tc>
          <w:tcPr>
            <w:tcW w:type="dxa" w:w="1176"/>
            <w:shd w:val="clear" w:color="auto" w:fill="0B2545"/>
          </w:tcPr>
          <w:p>
            <w:r/>
            <w:r>
              <w:rPr>
                <w:b/>
                <w:color w:val="FFFFFF"/>
                <w:sz w:val="17"/>
              </w:rPr>
              <w:t>CI</w:t>
            </w:r>
          </w:p>
        </w:tc>
        <w:tc>
          <w:tcPr>
            <w:tcW w:type="dxa" w:w="1176"/>
            <w:shd w:val="clear" w:color="auto" w:fill="0B2545"/>
          </w:tcPr>
          <w:p>
            <w:r/>
            <w:r>
              <w:rPr>
                <w:b/>
                <w:color w:val="FFFFFF"/>
                <w:sz w:val="17"/>
              </w:rPr>
              <w:t>p / P(beat)</w:t>
            </w:r>
          </w:p>
        </w:tc>
        <w:tc>
          <w:tcPr>
            <w:tcW w:type="dxa" w:w="1176"/>
            <w:shd w:val="clear" w:color="auto" w:fill="0B2545"/>
          </w:tcPr>
          <w:p>
            <w:r/>
            <w:r>
              <w:rPr>
                <w:b/>
                <w:color w:val="FFFFFF"/>
                <w:sz w:val="17"/>
              </w:rPr>
              <w:t>Method</w:t>
            </w:r>
          </w:p>
        </w:tc>
      </w:tr>
      <w:tr>
        <w:tc>
          <w:tcPr>
            <w:tcW w:type="dxa" w:w="1176"/>
          </w:tcPr>
          <w:p>
            <w:r/>
            <w:r>
              <w:rPr>
                <w:sz w:val="17"/>
              </w:rPr>
              <w:t>converted</w:t>
            </w:r>
          </w:p>
        </w:tc>
        <w:tc>
          <w:tcPr>
            <w:tcW w:type="dxa" w:w="1176"/>
          </w:tcPr>
          <w:p>
            <w:r/>
            <w:r>
              <w:rPr>
                <w:sz w:val="17"/>
              </w:rPr>
              <w:t>ad vs psa</w:t>
            </w:r>
          </w:p>
        </w:tc>
        <w:tc>
          <w:tcPr>
            <w:tcW w:type="dxa" w:w="1176"/>
          </w:tcPr>
          <w:p>
            <w:r/>
            <w:r>
              <w:rPr>
                <w:sz w:val="17"/>
              </w:rPr>
              <w:t>1.79%</w:t>
            </w:r>
          </w:p>
        </w:tc>
        <w:tc>
          <w:tcPr>
            <w:tcW w:type="dxa" w:w="1176"/>
          </w:tcPr>
          <w:p>
            <w:r/>
            <w:r>
              <w:rPr>
                <w:sz w:val="17"/>
              </w:rPr>
              <w:t>2.55%</w:t>
            </w:r>
          </w:p>
        </w:tc>
        <w:tc>
          <w:tcPr>
            <w:tcW w:type="dxa" w:w="1176"/>
          </w:tcPr>
          <w:p>
            <w:r/>
            <w:r>
              <w:rPr>
                <w:sz w:val="17"/>
              </w:rPr>
              <w:t>+43.1%</w:t>
            </w:r>
          </w:p>
        </w:tc>
        <w:tc>
          <w:tcPr>
            <w:tcW w:type="dxa" w:w="1176"/>
          </w:tcPr>
          <w:p>
            <w:r/>
            <w:r>
              <w:rPr>
                <w:sz w:val="17"/>
              </w:rPr>
              <w:t>[+29.3%, +56.8%]</w:t>
            </w:r>
          </w:p>
        </w:tc>
        <w:tc>
          <w:tcPr>
            <w:tcW w:type="dxa" w:w="1176"/>
          </w:tcPr>
          <w:p>
            <w:r/>
            <w:r>
              <w:rPr>
                <w:sz w:val="17"/>
              </w:rPr>
              <w:t>&lt;0.001 (adj.)</w:t>
            </w:r>
          </w:p>
        </w:tc>
        <w:tc>
          <w:tcPr>
            <w:tcW w:type="dxa" w:w="1176"/>
          </w:tcPr>
          <w:p>
            <w:r/>
            <w:r>
              <w:rPr>
                <w:sz w:val="17"/>
              </w:rPr>
              <w:t>two proportion ztest</w:t>
            </w:r>
          </w:p>
        </w:tc>
      </w:tr>
      <w:tr>
        <w:tc>
          <w:tcPr>
            <w:tcW w:type="dxa" w:w="1176"/>
          </w:tcPr>
          <w:p>
            <w:r/>
            <w:r>
              <w:rPr>
                <w:sz w:val="17"/>
              </w:rPr>
              <w:t>converted</w:t>
            </w:r>
          </w:p>
        </w:tc>
        <w:tc>
          <w:tcPr>
            <w:tcW w:type="dxa" w:w="1176"/>
          </w:tcPr>
          <w:p>
            <w:r/>
            <w:r>
              <w:rPr>
                <w:sz w:val="17"/>
              </w:rPr>
              <w:t>ad vs psa</w:t>
            </w:r>
          </w:p>
        </w:tc>
        <w:tc>
          <w:tcPr>
            <w:tcW w:type="dxa" w:w="1176"/>
          </w:tcPr>
          <w:p>
            <w:r/>
            <w:r>
              <w:rPr>
                <w:sz w:val="17"/>
              </w:rPr>
              <w:t>1.79%</w:t>
            </w:r>
          </w:p>
        </w:tc>
        <w:tc>
          <w:tcPr>
            <w:tcW w:type="dxa" w:w="1176"/>
          </w:tcPr>
          <w:p>
            <w:r/>
            <w:r>
              <w:rPr>
                <w:sz w:val="17"/>
              </w:rPr>
              <w:t>2.55%</w:t>
            </w:r>
          </w:p>
        </w:tc>
        <w:tc>
          <w:tcPr>
            <w:tcW w:type="dxa" w:w="1176"/>
          </w:tcPr>
          <w:p>
            <w:r/>
            <w:r>
              <w:rPr>
                <w:sz w:val="17"/>
              </w:rPr>
              <w:t>+42.9%</w:t>
            </w:r>
          </w:p>
        </w:tc>
        <w:tc>
          <w:tcPr>
            <w:tcW w:type="dxa" w:w="1176"/>
          </w:tcPr>
          <w:p>
            <w:r/>
            <w:r>
              <w:rPr>
                <w:sz w:val="17"/>
              </w:rPr>
              <w:t>[+29.9%, +57.5%]</w:t>
            </w:r>
          </w:p>
        </w:tc>
        <w:tc>
          <w:tcPr>
            <w:tcW w:type="dxa" w:w="1176"/>
          </w:tcPr>
          <w:p>
            <w:r/>
            <w:r>
              <w:rPr>
                <w:sz w:val="17"/>
              </w:rPr>
              <w:t>100.0%</w:t>
            </w:r>
          </w:p>
        </w:tc>
        <w:tc>
          <w:tcPr>
            <w:tcW w:type="dxa" w:w="1176"/>
          </w:tcPr>
          <w:p>
            <w:r/>
            <w:r>
              <w:rPr>
                <w:sz w:val="17"/>
              </w:rPr>
              <w:t>beta binomial</w:t>
            </w:r>
          </w:p>
        </w:tc>
      </w:tr>
    </w:tbl>
    <w:p/>
    <w:p>
      <w:pPr>
        <w:pStyle w:val="Heading1"/>
      </w:pPr>
      <w:r>
        <w:t>Segments</w:t>
      </w:r>
    </w:p>
    <w:p>
      <w:r>
        <w:t>Exploratory, non-causal: exposure variables are measured during the test. No segments were pre-specified: these breakdowns (by number of ads seen and by the day a user saw most ads) were added for exploration only. P-values are corrected within each breakdown (Benjamini-Hochberg). Users who saw more ads are different people from those who saw few, so these results do not show that more ads cause more lift. Buckets that are not significant are inconclusive (wide ranges), not evidence of no effect.</w:t>
      </w:r>
    </w:p>
    <w:p>
      <w:pPr>
        <w:jc w:val="center"/>
      </w:pPr>
      <w:r>
        <w:drawing>
          <wp:inline xmlns:a="http://schemas.openxmlformats.org/drawingml/2006/main" xmlns:pic="http://schemas.openxmlformats.org/drawingml/2006/picture">
            <wp:extent cx="5976620" cy="3360853"/>
            <wp:docPr id="6" name="Picture 6"/>
            <wp:cNvGraphicFramePr>
              <a:graphicFrameLocks noChangeAspect="1"/>
            </wp:cNvGraphicFramePr>
            <a:graphic>
              <a:graphicData uri="http://schemas.openxmlformats.org/drawingml/2006/picture">
                <pic:pic>
                  <pic:nvPicPr>
                    <pic:cNvPr id="0" name="segment_forest.png"/>
                    <pic:cNvPicPr/>
                  </pic:nvPicPr>
                  <pic:blipFill>
                    <a:blip r:embed="rId15"/>
                    <a:stretch>
                      <a:fillRect/>
                    </a:stretch>
                  </pic:blipFill>
                  <pic:spPr>
                    <a:xfrm>
                      <a:off x="0" y="0"/>
                      <a:ext cx="5976620" cy="3360853"/>
                    </a:xfrm>
                    <a:prstGeom prst="rect"/>
                  </pic:spPr>
                </pic:pic>
              </a:graphicData>
            </a:graphic>
          </wp:inline>
        </w:drawing>
      </w:r>
    </w:p>
    <w:p>
      <w:pPr>
        <w:pStyle w:val="Caption"/>
      </w:pPr>
      <w:r>
        <w:t>Figure 6: Exploratory, not causal: lift significant only at 21-50, 51-100 and 101-200 ads seen; 4 of 7 buckets inconclusive. Relative conversion lift, Ads vs PSA, by ads seen, 95% CI. Ads seen is measured during the test, not assigned</w:t>
      </w:r>
    </w:p>
    <w:p>
      <w:pPr>
        <w:pStyle w:val="Caption"/>
      </w:pPr>
      <w:r>
        <w:t>Table 4: Effect by segment</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0B2545"/>
          </w:tcPr>
          <w:p>
            <w:r/>
            <w:r>
              <w:rPr>
                <w:b/>
                <w:color w:val="FFFFFF"/>
                <w:sz w:val="17"/>
              </w:rPr>
              <w:t>Metric</w:t>
            </w:r>
          </w:p>
        </w:tc>
        <w:tc>
          <w:tcPr>
            <w:tcW w:type="dxa" w:w="1046"/>
            <w:shd w:val="clear" w:color="auto" w:fill="0B2545"/>
          </w:tcPr>
          <w:p>
            <w:r/>
            <w:r>
              <w:rPr>
                <w:b/>
                <w:color w:val="FFFFFF"/>
                <w:sz w:val="17"/>
              </w:rPr>
              <w:t>Segment</w:t>
            </w:r>
          </w:p>
        </w:tc>
        <w:tc>
          <w:tcPr>
            <w:tcW w:type="dxa" w:w="1046"/>
            <w:shd w:val="clear" w:color="auto" w:fill="0B2545"/>
          </w:tcPr>
          <w:p>
            <w:r/>
            <w:r>
              <w:rPr>
                <w:b/>
                <w:color w:val="FFFFFF"/>
                <w:sz w:val="17"/>
              </w:rPr>
              <w:t>Comparison</w:t>
            </w:r>
          </w:p>
        </w:tc>
        <w:tc>
          <w:tcPr>
            <w:tcW w:type="dxa" w:w="1046"/>
            <w:shd w:val="clear" w:color="auto" w:fill="0B2545"/>
          </w:tcPr>
          <w:p>
            <w:r/>
            <w:r>
              <w:rPr>
                <w:b/>
                <w:color w:val="FFFFFF"/>
                <w:sz w:val="17"/>
              </w:rPr>
              <w:t>Control</w:t>
            </w:r>
          </w:p>
        </w:tc>
        <w:tc>
          <w:tcPr>
            <w:tcW w:type="dxa" w:w="1046"/>
            <w:shd w:val="clear" w:color="auto" w:fill="0B2545"/>
          </w:tcPr>
          <w:p>
            <w:r/>
            <w:r>
              <w:rPr>
                <w:b/>
                <w:color w:val="FFFFFF"/>
                <w:sz w:val="17"/>
              </w:rPr>
              <w:t>Treatment</w:t>
            </w:r>
          </w:p>
        </w:tc>
        <w:tc>
          <w:tcPr>
            <w:tcW w:type="dxa" w:w="1046"/>
            <w:shd w:val="clear" w:color="auto" w:fill="0B2545"/>
          </w:tcPr>
          <w:p>
            <w:r/>
            <w:r>
              <w:rPr>
                <w:b/>
                <w:color w:val="FFFFFF"/>
                <w:sz w:val="17"/>
              </w:rPr>
              <w:t>Rel. lift</w:t>
            </w:r>
          </w:p>
        </w:tc>
        <w:tc>
          <w:tcPr>
            <w:tcW w:type="dxa" w:w="1046"/>
            <w:shd w:val="clear" w:color="auto" w:fill="0B2545"/>
          </w:tcPr>
          <w:p>
            <w:r/>
            <w:r>
              <w:rPr>
                <w:b/>
                <w:color w:val="FFFFFF"/>
                <w:sz w:val="17"/>
              </w:rPr>
              <w:t>CI</w:t>
            </w:r>
          </w:p>
        </w:tc>
        <w:tc>
          <w:tcPr>
            <w:tcW w:type="dxa" w:w="1046"/>
            <w:shd w:val="clear" w:color="auto" w:fill="0B2545"/>
          </w:tcPr>
          <w:p>
            <w:r/>
            <w:r>
              <w:rPr>
                <w:b/>
                <w:color w:val="FFFFFF"/>
                <w:sz w:val="17"/>
              </w:rPr>
              <w:t>p / P(beat)</w:t>
            </w:r>
          </w:p>
        </w:tc>
        <w:tc>
          <w:tcPr>
            <w:tcW w:type="dxa" w:w="1046"/>
            <w:shd w:val="clear" w:color="auto" w:fill="0B2545"/>
          </w:tcPr>
          <w:p>
            <w:r/>
            <w:r>
              <w:rPr>
                <w:b/>
                <w:color w:val="FFFFFF"/>
                <w:sz w:val="17"/>
              </w:rPr>
              <w:t>Method</w:t>
            </w:r>
          </w:p>
        </w:tc>
      </w:tr>
      <w:tr>
        <w:tc>
          <w:tcPr>
            <w:tcW w:type="dxa" w:w="1046"/>
          </w:tcPr>
          <w:p>
            <w:r/>
            <w:r>
              <w:rPr>
                <w:sz w:val="17"/>
              </w:rPr>
              <w:t>converted</w:t>
            </w:r>
          </w:p>
        </w:tc>
        <w:tc>
          <w:tcPr>
            <w:tcW w:type="dxa" w:w="1046"/>
          </w:tcPr>
          <w:p>
            <w:r/>
            <w:r>
              <w:rPr>
                <w:sz w:val="17"/>
              </w:rPr>
              <w:t>All</w:t>
            </w:r>
          </w:p>
        </w:tc>
        <w:tc>
          <w:tcPr>
            <w:tcW w:type="dxa" w:w="1046"/>
          </w:tcPr>
          <w:p>
            <w:r/>
            <w:r>
              <w:rPr>
                <w:sz w:val="17"/>
              </w:rPr>
              <w:t>ad vs psa</w:t>
            </w:r>
          </w:p>
        </w:tc>
        <w:tc>
          <w:tcPr>
            <w:tcW w:type="dxa" w:w="1046"/>
          </w:tcPr>
          <w:p>
            <w:r/>
            <w:r>
              <w:rPr>
                <w:sz w:val="17"/>
              </w:rPr>
              <w:t>1.79%</w:t>
            </w:r>
          </w:p>
        </w:tc>
        <w:tc>
          <w:tcPr>
            <w:tcW w:type="dxa" w:w="1046"/>
          </w:tcPr>
          <w:p>
            <w:r/>
            <w:r>
              <w:rPr>
                <w:sz w:val="17"/>
              </w:rPr>
              <w:t>2.55%</w:t>
            </w:r>
          </w:p>
        </w:tc>
        <w:tc>
          <w:tcPr>
            <w:tcW w:type="dxa" w:w="1046"/>
          </w:tcPr>
          <w:p>
            <w:r/>
            <w:r>
              <w:rPr>
                <w:sz w:val="17"/>
              </w:rPr>
              <w:t>+43.1%</w:t>
            </w:r>
          </w:p>
        </w:tc>
        <w:tc>
          <w:tcPr>
            <w:tcW w:type="dxa" w:w="1046"/>
          </w:tcPr>
          <w:p>
            <w:r/>
            <w:r>
              <w:rPr>
                <w:sz w:val="17"/>
              </w:rPr>
              <w:t>[+29.3%, +56.8%]</w:t>
            </w:r>
          </w:p>
        </w:tc>
        <w:tc>
          <w:tcPr>
            <w:tcW w:type="dxa" w:w="1046"/>
          </w:tcPr>
          <w:p>
            <w:r/>
            <w:r>
              <w:rPr>
                <w:sz w:val="17"/>
              </w:rPr>
              <w:t>&lt;0.001</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1-5</w:t>
            </w:r>
          </w:p>
        </w:tc>
        <w:tc>
          <w:tcPr>
            <w:tcW w:type="dxa" w:w="1046"/>
          </w:tcPr>
          <w:p>
            <w:r/>
            <w:r>
              <w:rPr>
                <w:sz w:val="17"/>
              </w:rPr>
              <w:t>ad vs psa</w:t>
            </w:r>
          </w:p>
        </w:tc>
        <w:tc>
          <w:tcPr>
            <w:tcW w:type="dxa" w:w="1046"/>
          </w:tcPr>
          <w:p>
            <w:r/>
            <w:r>
              <w:rPr>
                <w:sz w:val="17"/>
              </w:rPr>
              <w:t>0.28%</w:t>
            </w:r>
          </w:p>
        </w:tc>
        <w:tc>
          <w:tcPr>
            <w:tcW w:type="dxa" w:w="1046"/>
          </w:tcPr>
          <w:p>
            <w:r/>
            <w:r>
              <w:rPr>
                <w:sz w:val="17"/>
              </w:rPr>
              <w:t>0.25%</w:t>
            </w:r>
          </w:p>
        </w:tc>
        <w:tc>
          <w:tcPr>
            <w:tcW w:type="dxa" w:w="1046"/>
          </w:tcPr>
          <w:p>
            <w:r/>
            <w:r>
              <w:rPr>
                <w:sz w:val="17"/>
              </w:rPr>
              <w:t>−10.2%</w:t>
            </w:r>
          </w:p>
        </w:tc>
        <w:tc>
          <w:tcPr>
            <w:tcW w:type="dxa" w:w="1046"/>
          </w:tcPr>
          <w:p>
            <w:r/>
            <w:r>
              <w:rPr>
                <w:sz w:val="17"/>
              </w:rPr>
              <w:t>[−48.6%, +28.2%]</w:t>
            </w:r>
          </w:p>
        </w:tc>
        <w:tc>
          <w:tcPr>
            <w:tcW w:type="dxa" w:w="1046"/>
          </w:tcPr>
          <w:p>
            <w:r/>
            <w:r>
              <w:rPr>
                <w:sz w:val="17"/>
              </w:rPr>
              <w:t>0.869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101-200</w:t>
            </w:r>
          </w:p>
        </w:tc>
        <w:tc>
          <w:tcPr>
            <w:tcW w:type="dxa" w:w="1046"/>
          </w:tcPr>
          <w:p>
            <w:r/>
            <w:r>
              <w:rPr>
                <w:sz w:val="17"/>
              </w:rPr>
              <w:t>ad vs psa</w:t>
            </w:r>
          </w:p>
        </w:tc>
        <w:tc>
          <w:tcPr>
            <w:tcW w:type="dxa" w:w="1046"/>
          </w:tcPr>
          <w:p>
            <w:r/>
            <w:r>
              <w:rPr>
                <w:sz w:val="17"/>
              </w:rPr>
              <w:t>10.64%</w:t>
            </w:r>
          </w:p>
        </w:tc>
        <w:tc>
          <w:tcPr>
            <w:tcW w:type="dxa" w:w="1046"/>
          </w:tcPr>
          <w:p>
            <w:r/>
            <w:r>
              <w:rPr>
                <w:sz w:val="17"/>
              </w:rPr>
              <w:t>17.68%</w:t>
            </w:r>
          </w:p>
        </w:tc>
        <w:tc>
          <w:tcPr>
            <w:tcW w:type="dxa" w:w="1046"/>
          </w:tcPr>
          <w:p>
            <w:r/>
            <w:r>
              <w:rPr>
                <w:sz w:val="17"/>
              </w:rPr>
              <w:t>+66.2%</w:t>
            </w:r>
          </w:p>
        </w:tc>
        <w:tc>
          <w:tcPr>
            <w:tcW w:type="dxa" w:w="1046"/>
          </w:tcPr>
          <w:p>
            <w:r/>
            <w:r>
              <w:rPr>
                <w:sz w:val="17"/>
              </w:rPr>
              <w:t>[+31.3%, +101.0%]</w:t>
            </w:r>
          </w:p>
        </w:tc>
        <w:tc>
          <w:tcPr>
            <w:tcW w:type="dxa" w:w="1046"/>
          </w:tcPr>
          <w:p>
            <w:r/>
            <w:r>
              <w:rPr>
                <w:sz w:val="17"/>
              </w:rPr>
              <w:t>&lt;0.001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11-20</w:t>
            </w:r>
          </w:p>
        </w:tc>
        <w:tc>
          <w:tcPr>
            <w:tcW w:type="dxa" w:w="1046"/>
          </w:tcPr>
          <w:p>
            <w:r/>
            <w:r>
              <w:rPr>
                <w:sz w:val="17"/>
              </w:rPr>
              <w:t>ad vs psa</w:t>
            </w:r>
          </w:p>
        </w:tc>
        <w:tc>
          <w:tcPr>
            <w:tcW w:type="dxa" w:w="1046"/>
          </w:tcPr>
          <w:p>
            <w:r/>
            <w:r>
              <w:rPr>
                <w:sz w:val="17"/>
              </w:rPr>
              <w:t>0.82%</w:t>
            </w:r>
          </w:p>
        </w:tc>
        <w:tc>
          <w:tcPr>
            <w:tcW w:type="dxa" w:w="1046"/>
          </w:tcPr>
          <w:p>
            <w:r/>
            <w:r>
              <w:rPr>
                <w:sz w:val="17"/>
              </w:rPr>
              <w:t>0.84%</w:t>
            </w:r>
          </w:p>
        </w:tc>
        <w:tc>
          <w:tcPr>
            <w:tcW w:type="dxa" w:w="1046"/>
          </w:tcPr>
          <w:p>
            <w:r/>
            <w:r>
              <w:rPr>
                <w:sz w:val="17"/>
              </w:rPr>
              <w:t>+2.5%</w:t>
            </w:r>
          </w:p>
        </w:tc>
        <w:tc>
          <w:tcPr>
            <w:tcW w:type="dxa" w:w="1046"/>
          </w:tcPr>
          <w:p>
            <w:r/>
            <w:r>
              <w:rPr>
                <w:sz w:val="17"/>
              </w:rPr>
              <w:t>[−32.4%, +37.4%]</w:t>
            </w:r>
          </w:p>
        </w:tc>
        <w:tc>
          <w:tcPr>
            <w:tcW w:type="dxa" w:w="1046"/>
          </w:tcPr>
          <w:p>
            <w:r/>
            <w:r>
              <w:rPr>
                <w:sz w:val="17"/>
              </w:rPr>
              <w:t>0.974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201+</w:t>
            </w:r>
          </w:p>
        </w:tc>
        <w:tc>
          <w:tcPr>
            <w:tcW w:type="dxa" w:w="1046"/>
          </w:tcPr>
          <w:p>
            <w:r/>
            <w:r>
              <w:rPr>
                <w:sz w:val="17"/>
              </w:rPr>
              <w:t>ad vs psa</w:t>
            </w:r>
          </w:p>
        </w:tc>
        <w:tc>
          <w:tcPr>
            <w:tcW w:type="dxa" w:w="1046"/>
          </w:tcPr>
          <w:p>
            <w:r/>
            <w:r>
              <w:rPr>
                <w:sz w:val="17"/>
              </w:rPr>
              <w:t>15.50%</w:t>
            </w:r>
          </w:p>
        </w:tc>
        <w:tc>
          <w:tcPr>
            <w:tcW w:type="dxa" w:w="1046"/>
          </w:tcPr>
          <w:p>
            <w:r/>
            <w:r>
              <w:rPr>
                <w:sz w:val="17"/>
              </w:rPr>
              <w:t>15.58%</w:t>
            </w:r>
          </w:p>
        </w:tc>
        <w:tc>
          <w:tcPr>
            <w:tcW w:type="dxa" w:w="1046"/>
          </w:tcPr>
          <w:p>
            <w:r/>
            <w:r>
              <w:rPr>
                <w:sz w:val="17"/>
              </w:rPr>
              <w:t>+0.5%</w:t>
            </w:r>
          </w:p>
        </w:tc>
        <w:tc>
          <w:tcPr>
            <w:tcW w:type="dxa" w:w="1046"/>
          </w:tcPr>
          <w:p>
            <w:r/>
            <w:r>
              <w:rPr>
                <w:sz w:val="17"/>
              </w:rPr>
              <w:t>[−28.8%, +29.7%]</w:t>
            </w:r>
          </w:p>
        </w:tc>
        <w:tc>
          <w:tcPr>
            <w:tcW w:type="dxa" w:w="1046"/>
          </w:tcPr>
          <w:p>
            <w:r/>
            <w:r>
              <w:rPr>
                <w:sz w:val="17"/>
              </w:rPr>
              <w:t>0.974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21-50</w:t>
            </w:r>
          </w:p>
        </w:tc>
        <w:tc>
          <w:tcPr>
            <w:tcW w:type="dxa" w:w="1046"/>
          </w:tcPr>
          <w:p>
            <w:r/>
            <w:r>
              <w:rPr>
                <w:sz w:val="17"/>
              </w:rPr>
              <w:t>ad vs psa</w:t>
            </w:r>
          </w:p>
        </w:tc>
        <w:tc>
          <w:tcPr>
            <w:tcW w:type="dxa" w:w="1046"/>
          </w:tcPr>
          <w:p>
            <w:r/>
            <w:r>
              <w:rPr>
                <w:sz w:val="17"/>
              </w:rPr>
              <w:t>2.18%</w:t>
            </w:r>
          </w:p>
        </w:tc>
        <w:tc>
          <w:tcPr>
            <w:tcW w:type="dxa" w:w="1046"/>
          </w:tcPr>
          <w:p>
            <w:r/>
            <w:r>
              <w:rPr>
                <w:sz w:val="17"/>
              </w:rPr>
              <w:t>2.92%</w:t>
            </w:r>
          </w:p>
        </w:tc>
        <w:tc>
          <w:tcPr>
            <w:tcW w:type="dxa" w:w="1046"/>
          </w:tcPr>
          <w:p>
            <w:r/>
            <w:r>
              <w:rPr>
                <w:sz w:val="17"/>
              </w:rPr>
              <w:t>+33.9%</w:t>
            </w:r>
          </w:p>
        </w:tc>
        <w:tc>
          <w:tcPr>
            <w:tcW w:type="dxa" w:w="1046"/>
          </w:tcPr>
          <w:p>
            <w:r/>
            <w:r>
              <w:rPr>
                <w:sz w:val="17"/>
              </w:rPr>
              <w:t>[+9.2%, +58.6%]</w:t>
            </w:r>
          </w:p>
        </w:tc>
        <w:tc>
          <w:tcPr>
            <w:tcW w:type="dxa" w:w="1046"/>
          </w:tcPr>
          <w:p>
            <w:r/>
            <w:r>
              <w:rPr>
                <w:sz w:val="17"/>
              </w:rPr>
              <w:t>0.004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51-100</w:t>
            </w:r>
          </w:p>
        </w:tc>
        <w:tc>
          <w:tcPr>
            <w:tcW w:type="dxa" w:w="1046"/>
          </w:tcPr>
          <w:p>
            <w:r/>
            <w:r>
              <w:rPr>
                <w:sz w:val="17"/>
              </w:rPr>
              <w:t>ad vs psa</w:t>
            </w:r>
          </w:p>
        </w:tc>
        <w:tc>
          <w:tcPr>
            <w:tcW w:type="dxa" w:w="1046"/>
          </w:tcPr>
          <w:p>
            <w:r/>
            <w:r>
              <w:rPr>
                <w:sz w:val="17"/>
              </w:rPr>
              <w:t>5.77%</w:t>
            </w:r>
          </w:p>
        </w:tc>
        <w:tc>
          <w:tcPr>
            <w:tcW w:type="dxa" w:w="1046"/>
          </w:tcPr>
          <w:p>
            <w:r/>
            <w:r>
              <w:rPr>
                <w:sz w:val="17"/>
              </w:rPr>
              <w:t>11.63%</w:t>
            </w:r>
          </w:p>
        </w:tc>
        <w:tc>
          <w:tcPr>
            <w:tcW w:type="dxa" w:w="1046"/>
          </w:tcPr>
          <w:p>
            <w:r/>
            <w:r>
              <w:rPr>
                <w:sz w:val="17"/>
              </w:rPr>
              <w:t>+101.4%</w:t>
            </w:r>
          </w:p>
        </w:tc>
        <w:tc>
          <w:tcPr>
            <w:tcW w:type="dxa" w:w="1046"/>
          </w:tcPr>
          <w:p>
            <w:r/>
            <w:r>
              <w:rPr>
                <w:sz w:val="17"/>
              </w:rPr>
              <w:t>[+64.0%, +138.8%]</w:t>
            </w:r>
          </w:p>
        </w:tc>
        <w:tc>
          <w:tcPr>
            <w:tcW w:type="dxa" w:w="1046"/>
          </w:tcPr>
          <w:p>
            <w:r/>
            <w:r>
              <w:rPr>
                <w:sz w:val="17"/>
              </w:rPr>
              <w:t>&lt;0.001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6-10</w:t>
            </w:r>
          </w:p>
        </w:tc>
        <w:tc>
          <w:tcPr>
            <w:tcW w:type="dxa" w:w="1046"/>
          </w:tcPr>
          <w:p>
            <w:r/>
            <w:r>
              <w:rPr>
                <w:sz w:val="17"/>
              </w:rPr>
              <w:t>ad vs psa</w:t>
            </w:r>
          </w:p>
        </w:tc>
        <w:tc>
          <w:tcPr>
            <w:tcW w:type="dxa" w:w="1046"/>
          </w:tcPr>
          <w:p>
            <w:r/>
            <w:r>
              <w:rPr>
                <w:sz w:val="17"/>
              </w:rPr>
              <w:t>0.67%</w:t>
            </w:r>
          </w:p>
        </w:tc>
        <w:tc>
          <w:tcPr>
            <w:tcW w:type="dxa" w:w="1046"/>
          </w:tcPr>
          <w:p>
            <w:r/>
            <w:r>
              <w:rPr>
                <w:sz w:val="17"/>
              </w:rPr>
              <w:t>0.49%</w:t>
            </w:r>
          </w:p>
        </w:tc>
        <w:tc>
          <w:tcPr>
            <w:tcW w:type="dxa" w:w="1046"/>
          </w:tcPr>
          <w:p>
            <w:r/>
            <w:r>
              <w:rPr>
                <w:sz w:val="17"/>
              </w:rPr>
              <w:t>−27.9%</w:t>
            </w:r>
          </w:p>
        </w:tc>
        <w:tc>
          <w:tcPr>
            <w:tcW w:type="dxa" w:w="1046"/>
          </w:tcPr>
          <w:p>
            <w:r/>
            <w:r>
              <w:rPr>
                <w:sz w:val="17"/>
              </w:rPr>
              <w:t>[−58.2%, +2.3%]</w:t>
            </w:r>
          </w:p>
        </w:tc>
        <w:tc>
          <w:tcPr>
            <w:tcW w:type="dxa" w:w="1046"/>
          </w:tcPr>
          <w:p>
            <w:r/>
            <w:r>
              <w:rPr>
                <w:sz w:val="17"/>
              </w:rPr>
              <w:t>0.217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Friday</w:t>
            </w:r>
          </w:p>
        </w:tc>
        <w:tc>
          <w:tcPr>
            <w:tcW w:type="dxa" w:w="1046"/>
          </w:tcPr>
          <w:p>
            <w:r/>
            <w:r>
              <w:rPr>
                <w:sz w:val="17"/>
              </w:rPr>
              <w:t>ad vs psa</w:t>
            </w:r>
          </w:p>
        </w:tc>
        <w:tc>
          <w:tcPr>
            <w:tcW w:type="dxa" w:w="1046"/>
          </w:tcPr>
          <w:p>
            <w:r/>
            <w:r>
              <w:rPr>
                <w:sz w:val="17"/>
              </w:rPr>
              <w:t>1.63%</w:t>
            </w:r>
          </w:p>
        </w:tc>
        <w:tc>
          <w:tcPr>
            <w:tcW w:type="dxa" w:w="1046"/>
          </w:tcPr>
          <w:p>
            <w:r/>
            <w:r>
              <w:rPr>
                <w:sz w:val="17"/>
              </w:rPr>
              <w:t>2.25%</w:t>
            </w:r>
          </w:p>
        </w:tc>
        <w:tc>
          <w:tcPr>
            <w:tcW w:type="dxa" w:w="1046"/>
          </w:tcPr>
          <w:p>
            <w:r/>
            <w:r>
              <w:rPr>
                <w:sz w:val="17"/>
              </w:rPr>
              <w:t>+37.8%</w:t>
            </w:r>
          </w:p>
        </w:tc>
        <w:tc>
          <w:tcPr>
            <w:tcW w:type="dxa" w:w="1046"/>
          </w:tcPr>
          <w:p>
            <w:r/>
            <w:r>
              <w:rPr>
                <w:sz w:val="17"/>
              </w:rPr>
              <w:t>[+3.3%, +72.3%]</w:t>
            </w:r>
          </w:p>
        </w:tc>
        <w:tc>
          <w:tcPr>
            <w:tcW w:type="dxa" w:w="1046"/>
          </w:tcPr>
          <w:p>
            <w:r/>
            <w:r>
              <w:rPr>
                <w:sz w:val="17"/>
              </w:rPr>
              <w:t>0.016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Monday</w:t>
            </w:r>
          </w:p>
        </w:tc>
        <w:tc>
          <w:tcPr>
            <w:tcW w:type="dxa" w:w="1046"/>
          </w:tcPr>
          <w:p>
            <w:r/>
            <w:r>
              <w:rPr>
                <w:sz w:val="17"/>
              </w:rPr>
              <w:t>ad vs psa</w:t>
            </w:r>
          </w:p>
        </w:tc>
        <w:tc>
          <w:tcPr>
            <w:tcW w:type="dxa" w:w="1046"/>
          </w:tcPr>
          <w:p>
            <w:r/>
            <w:r>
              <w:rPr>
                <w:sz w:val="17"/>
              </w:rPr>
              <w:t>2.26%</w:t>
            </w:r>
          </w:p>
        </w:tc>
        <w:tc>
          <w:tcPr>
            <w:tcW w:type="dxa" w:w="1046"/>
          </w:tcPr>
          <w:p>
            <w:r/>
            <w:r>
              <w:rPr>
                <w:sz w:val="17"/>
              </w:rPr>
              <w:t>3.32%</w:t>
            </w:r>
          </w:p>
        </w:tc>
        <w:tc>
          <w:tcPr>
            <w:tcW w:type="dxa" w:w="1046"/>
          </w:tcPr>
          <w:p>
            <w:r/>
            <w:r>
              <w:rPr>
                <w:sz w:val="17"/>
              </w:rPr>
              <w:t>+47.4%</w:t>
            </w:r>
          </w:p>
        </w:tc>
        <w:tc>
          <w:tcPr>
            <w:tcW w:type="dxa" w:w="1046"/>
          </w:tcPr>
          <w:p>
            <w:r/>
            <w:r>
              <w:rPr>
                <w:sz w:val="17"/>
              </w:rPr>
              <w:t>[+14.8%, +79.9%]</w:t>
            </w:r>
          </w:p>
        </w:tc>
        <w:tc>
          <w:tcPr>
            <w:tcW w:type="dxa" w:w="1046"/>
          </w:tcPr>
          <w:p>
            <w:r/>
            <w:r>
              <w:rPr>
                <w:sz w:val="17"/>
              </w:rPr>
              <w:t>0.001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Saturday</w:t>
            </w:r>
          </w:p>
        </w:tc>
        <w:tc>
          <w:tcPr>
            <w:tcW w:type="dxa" w:w="1046"/>
          </w:tcPr>
          <w:p>
            <w:r/>
            <w:r>
              <w:rPr>
                <w:sz w:val="17"/>
              </w:rPr>
              <w:t>ad vs psa</w:t>
            </w:r>
          </w:p>
        </w:tc>
        <w:tc>
          <w:tcPr>
            <w:tcW w:type="dxa" w:w="1046"/>
          </w:tcPr>
          <w:p>
            <w:r/>
            <w:r>
              <w:rPr>
                <w:sz w:val="17"/>
              </w:rPr>
              <w:t>1.40%</w:t>
            </w:r>
          </w:p>
        </w:tc>
        <w:tc>
          <w:tcPr>
            <w:tcW w:type="dxa" w:w="1046"/>
          </w:tcPr>
          <w:p>
            <w:r/>
            <w:r>
              <w:rPr>
                <w:sz w:val="17"/>
              </w:rPr>
              <w:t>2.13%</w:t>
            </w:r>
          </w:p>
        </w:tc>
        <w:tc>
          <w:tcPr>
            <w:tcW w:type="dxa" w:w="1046"/>
          </w:tcPr>
          <w:p>
            <w:r/>
            <w:r>
              <w:rPr>
                <w:sz w:val="17"/>
              </w:rPr>
              <w:t>+52.2%</w:t>
            </w:r>
          </w:p>
        </w:tc>
        <w:tc>
          <w:tcPr>
            <w:tcW w:type="dxa" w:w="1046"/>
          </w:tcPr>
          <w:p>
            <w:r/>
            <w:r>
              <w:rPr>
                <w:sz w:val="17"/>
              </w:rPr>
              <w:t>[+4.8%, +99.6%]</w:t>
            </w:r>
          </w:p>
        </w:tc>
        <w:tc>
          <w:tcPr>
            <w:tcW w:type="dxa" w:w="1046"/>
          </w:tcPr>
          <w:p>
            <w:r/>
            <w:r>
              <w:rPr>
                <w:sz w:val="17"/>
              </w:rPr>
              <w:t>0.013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Sunday</w:t>
            </w:r>
          </w:p>
        </w:tc>
        <w:tc>
          <w:tcPr>
            <w:tcW w:type="dxa" w:w="1046"/>
          </w:tcPr>
          <w:p>
            <w:r/>
            <w:r>
              <w:rPr>
                <w:sz w:val="17"/>
              </w:rPr>
              <w:t>ad vs psa</w:t>
            </w:r>
          </w:p>
        </w:tc>
        <w:tc>
          <w:tcPr>
            <w:tcW w:type="dxa" w:w="1046"/>
          </w:tcPr>
          <w:p>
            <w:r/>
            <w:r>
              <w:rPr>
                <w:sz w:val="17"/>
              </w:rPr>
              <w:t>2.06%</w:t>
            </w:r>
          </w:p>
        </w:tc>
        <w:tc>
          <w:tcPr>
            <w:tcW w:type="dxa" w:w="1046"/>
          </w:tcPr>
          <w:p>
            <w:r/>
            <w:r>
              <w:rPr>
                <w:sz w:val="17"/>
              </w:rPr>
              <w:t>2.46%</w:t>
            </w:r>
          </w:p>
        </w:tc>
        <w:tc>
          <w:tcPr>
            <w:tcW w:type="dxa" w:w="1046"/>
          </w:tcPr>
          <w:p>
            <w:r/>
            <w:r>
              <w:rPr>
                <w:sz w:val="17"/>
              </w:rPr>
              <w:t>+19.5%</w:t>
            </w:r>
          </w:p>
        </w:tc>
        <w:tc>
          <w:tcPr>
            <w:tcW w:type="dxa" w:w="1046"/>
          </w:tcPr>
          <w:p>
            <w:r/>
            <w:r>
              <w:rPr>
                <w:sz w:val="17"/>
              </w:rPr>
              <w:t>[−10.1%, +49.2%]</w:t>
            </w:r>
          </w:p>
        </w:tc>
        <w:tc>
          <w:tcPr>
            <w:tcW w:type="dxa" w:w="1046"/>
          </w:tcPr>
          <w:p>
            <w:r/>
            <w:r>
              <w:rPr>
                <w:sz w:val="17"/>
              </w:rPr>
              <w:t>0.183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Thursday</w:t>
            </w:r>
          </w:p>
        </w:tc>
        <w:tc>
          <w:tcPr>
            <w:tcW w:type="dxa" w:w="1046"/>
          </w:tcPr>
          <w:p>
            <w:r/>
            <w:r>
              <w:rPr>
                <w:sz w:val="17"/>
              </w:rPr>
              <w:t>ad vs psa</w:t>
            </w:r>
          </w:p>
        </w:tc>
        <w:tc>
          <w:tcPr>
            <w:tcW w:type="dxa" w:w="1046"/>
          </w:tcPr>
          <w:p>
            <w:r/>
            <w:r>
              <w:rPr>
                <w:sz w:val="17"/>
              </w:rPr>
              <w:t>2.02%</w:t>
            </w:r>
          </w:p>
        </w:tc>
        <w:tc>
          <w:tcPr>
            <w:tcW w:type="dxa" w:w="1046"/>
          </w:tcPr>
          <w:p>
            <w:r/>
            <w:r>
              <w:rPr>
                <w:sz w:val="17"/>
              </w:rPr>
              <w:t>2.16%</w:t>
            </w:r>
          </w:p>
        </w:tc>
        <w:tc>
          <w:tcPr>
            <w:tcW w:type="dxa" w:w="1046"/>
          </w:tcPr>
          <w:p>
            <w:r/>
            <w:r>
              <w:rPr>
                <w:sz w:val="17"/>
              </w:rPr>
              <w:t>+7.0%</w:t>
            </w:r>
          </w:p>
        </w:tc>
        <w:tc>
          <w:tcPr>
            <w:tcW w:type="dxa" w:w="1046"/>
          </w:tcPr>
          <w:p>
            <w:r/>
            <w:r>
              <w:rPr>
                <w:sz w:val="17"/>
              </w:rPr>
              <w:t>[−16.9%, +30.8%]</w:t>
            </w:r>
          </w:p>
        </w:tc>
        <w:tc>
          <w:tcPr>
            <w:tcW w:type="dxa" w:w="1046"/>
          </w:tcPr>
          <w:p>
            <w:r/>
            <w:r>
              <w:rPr>
                <w:sz w:val="17"/>
              </w:rPr>
              <w:t>0.555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Tuesday</w:t>
            </w:r>
          </w:p>
        </w:tc>
        <w:tc>
          <w:tcPr>
            <w:tcW w:type="dxa" w:w="1046"/>
          </w:tcPr>
          <w:p>
            <w:r/>
            <w:r>
              <w:rPr>
                <w:sz w:val="17"/>
              </w:rPr>
              <w:t>ad vs psa</w:t>
            </w:r>
          </w:p>
        </w:tc>
        <w:tc>
          <w:tcPr>
            <w:tcW w:type="dxa" w:w="1046"/>
          </w:tcPr>
          <w:p>
            <w:r/>
            <w:r>
              <w:rPr>
                <w:sz w:val="17"/>
              </w:rPr>
              <w:t>1.44%</w:t>
            </w:r>
          </w:p>
        </w:tc>
        <w:tc>
          <w:tcPr>
            <w:tcW w:type="dxa" w:w="1046"/>
          </w:tcPr>
          <w:p>
            <w:r/>
            <w:r>
              <w:rPr>
                <w:sz w:val="17"/>
              </w:rPr>
              <w:t>3.04%</w:t>
            </w:r>
          </w:p>
        </w:tc>
        <w:tc>
          <w:tcPr>
            <w:tcW w:type="dxa" w:w="1046"/>
          </w:tcPr>
          <w:p>
            <w:r/>
            <w:r>
              <w:rPr>
                <w:sz w:val="17"/>
              </w:rPr>
              <w:t>+110.7%</w:t>
            </w:r>
          </w:p>
        </w:tc>
        <w:tc>
          <w:tcPr>
            <w:tcW w:type="dxa" w:w="1046"/>
          </w:tcPr>
          <w:p>
            <w:r/>
            <w:r>
              <w:rPr>
                <w:sz w:val="17"/>
              </w:rPr>
              <w:t>[+46.9%, +174.5%]</w:t>
            </w:r>
          </w:p>
        </w:tc>
        <w:tc>
          <w:tcPr>
            <w:tcW w:type="dxa" w:w="1046"/>
          </w:tcPr>
          <w:p>
            <w:r/>
            <w:r>
              <w:rPr>
                <w:sz w:val="17"/>
              </w:rPr>
              <w:t>&lt;0.001 (adj.)</w:t>
            </w:r>
          </w:p>
        </w:tc>
        <w:tc>
          <w:tcPr>
            <w:tcW w:type="dxa" w:w="1046"/>
          </w:tcPr>
          <w:p>
            <w:r/>
            <w:r>
              <w:rPr>
                <w:sz w:val="17"/>
              </w:rPr>
              <w:t>two proportion ztest</w:t>
            </w:r>
          </w:p>
        </w:tc>
      </w:tr>
      <w:tr>
        <w:tc>
          <w:tcPr>
            <w:tcW w:type="dxa" w:w="1046"/>
          </w:tcPr>
          <w:p>
            <w:r/>
            <w:r>
              <w:rPr>
                <w:sz w:val="17"/>
              </w:rPr>
              <w:t>converted</w:t>
            </w:r>
          </w:p>
        </w:tc>
        <w:tc>
          <w:tcPr>
            <w:tcW w:type="dxa" w:w="1046"/>
          </w:tcPr>
          <w:p>
            <w:r/>
            <w:r>
              <w:rPr>
                <w:sz w:val="17"/>
              </w:rPr>
              <w:t>Wednesday</w:t>
            </w:r>
          </w:p>
        </w:tc>
        <w:tc>
          <w:tcPr>
            <w:tcW w:type="dxa" w:w="1046"/>
          </w:tcPr>
          <w:p>
            <w:r/>
            <w:r>
              <w:rPr>
                <w:sz w:val="17"/>
              </w:rPr>
              <w:t>ad vs psa</w:t>
            </w:r>
          </w:p>
        </w:tc>
        <w:tc>
          <w:tcPr>
            <w:tcW w:type="dxa" w:w="1046"/>
          </w:tcPr>
          <w:p>
            <w:r/>
            <w:r>
              <w:rPr>
                <w:sz w:val="17"/>
              </w:rPr>
              <w:t>1.58%</w:t>
            </w:r>
          </w:p>
        </w:tc>
        <w:tc>
          <w:tcPr>
            <w:tcW w:type="dxa" w:w="1046"/>
          </w:tcPr>
          <w:p>
            <w:r/>
            <w:r>
              <w:rPr>
                <w:sz w:val="17"/>
              </w:rPr>
              <w:t>2.54%</w:t>
            </w:r>
          </w:p>
        </w:tc>
        <w:tc>
          <w:tcPr>
            <w:tcW w:type="dxa" w:w="1046"/>
          </w:tcPr>
          <w:p>
            <w:r/>
            <w:r>
              <w:rPr>
                <w:sz w:val="17"/>
              </w:rPr>
              <w:t>+60.9%</w:t>
            </w:r>
          </w:p>
        </w:tc>
        <w:tc>
          <w:tcPr>
            <w:tcW w:type="dxa" w:w="1046"/>
          </w:tcPr>
          <w:p>
            <w:r/>
            <w:r>
              <w:rPr>
                <w:sz w:val="17"/>
              </w:rPr>
              <w:t>[+18.1%, +103.7%]</w:t>
            </w:r>
          </w:p>
        </w:tc>
        <w:tc>
          <w:tcPr>
            <w:tcW w:type="dxa" w:w="1046"/>
          </w:tcPr>
          <w:p>
            <w:r/>
            <w:r>
              <w:rPr>
                <w:sz w:val="17"/>
              </w:rPr>
              <w:t>0.001 (adj.)</w:t>
            </w:r>
          </w:p>
        </w:tc>
        <w:tc>
          <w:tcPr>
            <w:tcW w:type="dxa" w:w="1046"/>
          </w:tcPr>
          <w:p>
            <w:r/>
            <w:r>
              <w:rPr>
                <w:sz w:val="17"/>
              </w:rPr>
              <w:t>two proportion ztest</w:t>
            </w:r>
          </w:p>
        </w:tc>
      </w:tr>
    </w:tbl>
    <w:p/>
    <w:p>
      <w:r/>
      <w:r>
        <w:rPr>
          <w:b/>
        </w:rPr>
        <w:t xml:space="preserve">Interaction test for total ads bucket: </w:t>
      </w:r>
      <w:r>
        <w:t>p &lt; 0.001 (Wald chi-square 158.0). The lift differs across ads-seen buckets, but because ads seen is measured during the test this is descriptive, not a dose-response. Test ad frequency directly in a new randomised test before acting on it.</w:t>
      </w:r>
    </w:p>
    <w:p>
      <w:pPr>
        <w:pStyle w:val="Heading1"/>
      </w:pPr>
      <w:r>
        <w:t>Risks, limitations and assumptions</w:t>
      </w:r>
    </w:p>
    <w:p>
      <w:pPr>
        <w:pStyle w:val="ListBullet"/>
      </w:pPr>
      <w:r>
        <w:t>PSA ids form a separate block (900,000 to 923,523); assignment unconfirmed.</w:t>
      </w:r>
    </w:p>
    <w:p>
      <w:pPr>
        <w:pStyle w:val="ListBullet"/>
      </w:pPr>
      <w:r>
        <w:t>Split confirmed as 96/4 only after a 95/5 check failed.</w:t>
      </w:r>
    </w:p>
    <w:p>
      <w:pPr>
        <w:pStyle w:val="ListBullet"/>
      </w:pPr>
      <w:r>
        <w:t>Exposure breakdowns are exploratory, non-causal; 4 of 7 buckets inconclusive.</w:t>
      </w:r>
    </w:p>
    <w:p>
      <w:pPr>
        <w:pStyle w:val="ListBullet"/>
      </w:pPr>
      <w:r>
        <w:rPr>
          <w:b/>
        </w:rPr>
        <w:t xml:space="preserve">No dates: </w:t>
      </w:r>
      <w:r>
        <w:t>novelty or wear-off cannot be checked.</w:t>
      </w:r>
    </w:p>
    <w:p>
      <w:pPr>
        <w:pStyle w:val="ListBullet"/>
      </w:pPr>
      <w:r>
        <w:t>No guardrail metrics defined; verdict rests on conversion alone.</w:t>
      </w:r>
    </w:p>
    <w:p>
      <w:pPr>
        <w:pStyle w:val="ListBullet"/>
      </w:pPr>
      <w:r>
        <w:t>Money impact needs a value per conversion.</w:t>
      </w:r>
    </w:p>
    <w:p>
      <w:pPr>
        <w:pStyle w:val="Heading1"/>
      </w:pPr>
      <w:r>
        <w:t>Recommendation and next steps</w:t>
      </w:r>
    </w:p>
    <w:p>
      <w:r>
        <w:rPr>
          <w:b/>
        </w:rPr>
        <w:t xml:space="preserve">Ship. </w:t>
      </w:r>
      <w:r>
        <w:t>The primary metric improved significantly and by more than the practical threshold.</w:t>
      </w:r>
    </w:p>
    <w:p>
      <w:pPr>
        <w:pStyle w:val="ListNumber"/>
      </w:pPr>
      <w:r>
        <w:rPr>
          <w:b/>
        </w:rPr>
        <w:t xml:space="preserve">Keep ads running: </w:t>
      </w:r>
      <w:r>
        <w:t>about 7.7 extra conversions per 1,000 users (6.0 to 9.4).</w:t>
      </w:r>
    </w:p>
    <w:p>
      <w:pPr>
        <w:pStyle w:val="ListNumber"/>
      </w:pPr>
      <w:r>
        <w:rPr>
          <w:b/>
        </w:rPr>
        <w:t xml:space="preserve">Data owner: </w:t>
      </w:r>
      <w:r>
        <w:t>confirm random assignment to ads vs PSA before scaling spend.</w:t>
      </w:r>
    </w:p>
    <w:p>
      <w:pPr>
        <w:pStyle w:val="ListNumber"/>
      </w:pPr>
      <w:r>
        <w:t>Agree a value per conversion to price the 4,343 extra conversions.</w:t>
      </w:r>
    </w:p>
    <w:p>
      <w:pPr>
        <w:pStyle w:val="ListNumber"/>
      </w:pPr>
      <w:r>
        <w:t>Test ad frequency in a new randomised test before changing it.</w:t>
      </w:r>
    </w:p>
    <w:p>
      <w:pPr>
        <w:pStyle w:val="ListNumber"/>
      </w:pPr>
      <w:r>
        <w:t>Keep a small PSA holdout when scaling to track the lift.</w:t>
      </w:r>
    </w:p>
    <w:p>
      <w:r>
        <w:br w:type="page"/>
      </w:r>
    </w:p>
    <w:p>
      <w:pPr>
        <w:pStyle w:val="Heading1"/>
      </w:pPr>
      <w:r>
        <w:t>Appendix</w:t>
      </w:r>
    </w:p>
    <w:p>
      <w:pPr>
        <w:pStyle w:val="Heading2"/>
      </w:pPr>
      <w:r>
        <w:t>Settings</w:t>
      </w:r>
    </w:p>
    <w:p>
      <w:pPr>
        <w:pStyle w:val="Caption"/>
      </w:pPr>
      <w:r>
        <w:t>Table 5: Statistical settings used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2545"/>
          </w:tcPr>
          <w:p>
            <w:r/>
            <w:r>
              <w:rPr>
                <w:b/>
                <w:color w:val="FFFFFF"/>
                <w:sz w:val="17"/>
              </w:rPr>
              <w:t>Setting</w:t>
            </w:r>
          </w:p>
        </w:tc>
        <w:tc>
          <w:tcPr>
            <w:tcW w:type="dxa" w:w="4706"/>
            <w:shd w:val="clear" w:color="auto" w:fill="0B2545"/>
          </w:tcPr>
          <w:p>
            <w:r/>
            <w:r>
              <w:rPr>
                <w:b/>
                <w:color w:val="FFFFFF"/>
                <w:sz w:val="17"/>
              </w:rPr>
              <w:t>Value</w:t>
            </w:r>
          </w:p>
        </w:tc>
      </w:tr>
      <w:tr>
        <w:tc>
          <w:tcPr>
            <w:tcW w:type="dxa" w:w="4706"/>
          </w:tcPr>
          <w:p>
            <w:r/>
            <w:r>
              <w:rPr>
                <w:sz w:val="17"/>
              </w:rPr>
              <w:t>alpha</w:t>
            </w:r>
          </w:p>
        </w:tc>
        <w:tc>
          <w:tcPr>
            <w:tcW w:type="dxa" w:w="4706"/>
          </w:tcPr>
          <w:p>
            <w:r/>
            <w:r>
              <w:rPr>
                <w:sz w:val="17"/>
              </w:rPr>
              <w:t>0.05</w:t>
            </w:r>
          </w:p>
        </w:tc>
      </w:tr>
      <w:tr>
        <w:tc>
          <w:tcPr>
            <w:tcW w:type="dxa" w:w="4706"/>
          </w:tcPr>
          <w:p>
            <w:r/>
            <w:r>
              <w:rPr>
                <w:sz w:val="17"/>
              </w:rPr>
              <w:t>sidedness</w:t>
            </w:r>
          </w:p>
        </w:tc>
        <w:tc>
          <w:tcPr>
            <w:tcW w:type="dxa" w:w="4706"/>
          </w:tcPr>
          <w:p>
            <w:r/>
            <w:r>
              <w:rPr>
                <w:sz w:val="17"/>
              </w:rPr>
              <w:t>two-sided</w:t>
            </w:r>
          </w:p>
        </w:tc>
      </w:tr>
      <w:tr>
        <w:tc>
          <w:tcPr>
            <w:tcW w:type="dxa" w:w="4706"/>
          </w:tcPr>
          <w:p>
            <w:r/>
            <w:r>
              <w:rPr>
                <w:sz w:val="17"/>
              </w:rPr>
              <w:t>power</w:t>
            </w:r>
          </w:p>
        </w:tc>
        <w:tc>
          <w:tcPr>
            <w:tcW w:type="dxa" w:w="4706"/>
          </w:tcPr>
          <w:p>
            <w:r/>
            <w:r>
              <w:rPr>
                <w:sz w:val="17"/>
              </w:rPr>
              <w:t>0.8</w:t>
            </w:r>
          </w:p>
        </w:tc>
      </w:tr>
      <w:tr>
        <w:tc>
          <w:tcPr>
            <w:tcW w:type="dxa" w:w="4706"/>
          </w:tcPr>
          <w:p>
            <w:r/>
            <w:r>
              <w:rPr>
                <w:sz w:val="17"/>
              </w:rPr>
              <w:t>confidence_level</w:t>
            </w:r>
          </w:p>
        </w:tc>
        <w:tc>
          <w:tcPr>
            <w:tcW w:type="dxa" w:w="4706"/>
          </w:tcPr>
          <w:p>
            <w:r/>
            <w:r>
              <w:rPr>
                <w:sz w:val="17"/>
              </w:rPr>
              <w:t>0.95</w:t>
            </w:r>
          </w:p>
        </w:tc>
      </w:tr>
      <w:tr>
        <w:tc>
          <w:tcPr>
            <w:tcW w:type="dxa" w:w="4706"/>
          </w:tcPr>
          <w:p>
            <w:r/>
            <w:r>
              <w:rPr>
                <w:sz w:val="17"/>
              </w:rPr>
              <w:t>correction_primary</w:t>
            </w:r>
          </w:p>
        </w:tc>
        <w:tc>
          <w:tcPr>
            <w:tcW w:type="dxa" w:w="4706"/>
          </w:tcPr>
          <w:p>
            <w:r/>
            <w:r>
              <w:rPr>
                <w:sz w:val="17"/>
              </w:rPr>
              <w:t>none</w:t>
            </w:r>
          </w:p>
        </w:tc>
      </w:tr>
      <w:tr>
        <w:tc>
          <w:tcPr>
            <w:tcW w:type="dxa" w:w="4706"/>
          </w:tcPr>
          <w:p>
            <w:r/>
            <w:r>
              <w:rPr>
                <w:sz w:val="17"/>
              </w:rPr>
              <w:t>correction_secondary</w:t>
            </w:r>
          </w:p>
        </w:tc>
        <w:tc>
          <w:tcPr>
            <w:tcW w:type="dxa" w:w="4706"/>
          </w:tcPr>
          <w:p>
            <w:r/>
            <w:r>
              <w:rPr>
                <w:sz w:val="17"/>
              </w:rPr>
              <w:t>holm</w:t>
            </w:r>
          </w:p>
        </w:tc>
      </w:tr>
      <w:tr>
        <w:tc>
          <w:tcPr>
            <w:tcW w:type="dxa" w:w="4706"/>
          </w:tcPr>
          <w:p>
            <w:r/>
            <w:r>
              <w:rPr>
                <w:sz w:val="17"/>
              </w:rPr>
              <w:t>correction_segments</w:t>
            </w:r>
          </w:p>
        </w:tc>
        <w:tc>
          <w:tcPr>
            <w:tcW w:type="dxa" w:w="4706"/>
          </w:tcPr>
          <w:p>
            <w:r/>
            <w:r>
              <w:rPr>
                <w:sz w:val="17"/>
              </w:rPr>
              <w:t>benjamini-hochberg</w:t>
            </w:r>
          </w:p>
        </w:tc>
      </w:tr>
      <w:tr>
        <w:tc>
          <w:tcPr>
            <w:tcW w:type="dxa" w:w="4706"/>
          </w:tcPr>
          <w:p>
            <w:r/>
            <w:r>
              <w:rPr>
                <w:sz w:val="17"/>
              </w:rPr>
              <w:t>srm_test</w:t>
            </w:r>
          </w:p>
        </w:tc>
        <w:tc>
          <w:tcPr>
            <w:tcW w:type="dxa" w:w="4706"/>
          </w:tcPr>
          <w:p>
            <w:r/>
            <w:r>
              <w:rPr>
                <w:sz w:val="17"/>
              </w:rPr>
              <w:t>chi-square</w:t>
            </w:r>
          </w:p>
        </w:tc>
      </w:tr>
      <w:tr>
        <w:tc>
          <w:tcPr>
            <w:tcW w:type="dxa" w:w="4706"/>
          </w:tcPr>
          <w:p>
            <w:r/>
            <w:r>
              <w:rPr>
                <w:sz w:val="17"/>
              </w:rPr>
              <w:t>srm_threshold</w:t>
            </w:r>
          </w:p>
        </w:tc>
        <w:tc>
          <w:tcPr>
            <w:tcW w:type="dxa" w:w="4706"/>
          </w:tcPr>
          <w:p>
            <w:r/>
            <w:r>
              <w:rPr>
                <w:sz w:val="17"/>
              </w:rPr>
              <w:t>0.001</w:t>
            </w:r>
          </w:p>
        </w:tc>
      </w:tr>
      <w:tr>
        <w:tc>
          <w:tcPr>
            <w:tcW w:type="dxa" w:w="4706"/>
          </w:tcPr>
          <w:p>
            <w:r/>
            <w:r>
              <w:rPr>
                <w:sz w:val="17"/>
              </w:rPr>
              <w:t>min_days</w:t>
            </w:r>
          </w:p>
        </w:tc>
        <w:tc>
          <w:tcPr>
            <w:tcW w:type="dxa" w:w="4706"/>
          </w:tcPr>
          <w:p>
            <w:r/>
            <w:r>
              <w:rPr>
                <w:sz w:val="17"/>
              </w:rPr>
              <w:t>7</w:t>
            </w:r>
          </w:p>
        </w:tc>
      </w:tr>
      <w:tr>
        <w:tc>
          <w:tcPr>
            <w:tcW w:type="dxa" w:w="4706"/>
          </w:tcPr>
          <w:p>
            <w:r/>
            <w:r>
              <w:rPr>
                <w:sz w:val="17"/>
              </w:rPr>
              <w:t>prefer_full_weeks</w:t>
            </w:r>
          </w:p>
        </w:tc>
        <w:tc>
          <w:tcPr>
            <w:tcW w:type="dxa" w:w="4706"/>
          </w:tcPr>
          <w:p>
            <w:r/>
            <w:r>
              <w:rPr>
                <w:sz w:val="17"/>
              </w:rPr>
              <w:t>True</w:t>
            </w:r>
          </w:p>
        </w:tc>
      </w:tr>
      <w:tr>
        <w:tc>
          <w:tcPr>
            <w:tcW w:type="dxa" w:w="4706"/>
          </w:tcPr>
          <w:p>
            <w:r/>
            <w:r>
              <w:rPr>
                <w:sz w:val="17"/>
              </w:rPr>
              <w:t>bayes_prior</w:t>
            </w:r>
          </w:p>
        </w:tc>
        <w:tc>
          <w:tcPr>
            <w:tcW w:type="dxa" w:w="4706"/>
          </w:tcPr>
          <w:p>
            <w:r/>
            <w:r>
              <w:rPr>
                <w:sz w:val="17"/>
              </w:rPr>
              <w:t>weakly_informative</w:t>
            </w:r>
          </w:p>
        </w:tc>
      </w:tr>
      <w:tr>
        <w:tc>
          <w:tcPr>
            <w:tcW w:type="dxa" w:w="4706"/>
          </w:tcPr>
          <w:p>
            <w:r/>
            <w:r>
              <w:rPr>
                <w:sz w:val="17"/>
              </w:rPr>
              <w:t>bayes_decision_threshold</w:t>
            </w:r>
          </w:p>
        </w:tc>
        <w:tc>
          <w:tcPr>
            <w:tcW w:type="dxa" w:w="4706"/>
          </w:tcPr>
          <w:p>
            <w:r/>
            <w:r>
              <w:rPr>
                <w:sz w:val="17"/>
              </w:rPr>
              <w:t>0.95</w:t>
            </w:r>
          </w:p>
        </w:tc>
      </w:tr>
      <w:tr>
        <w:tc>
          <w:tcPr>
            <w:tcW w:type="dxa" w:w="4706"/>
          </w:tcPr>
          <w:p>
            <w:r/>
            <w:r>
              <w:rPr>
                <w:sz w:val="17"/>
              </w:rPr>
              <w:t>bootstrap_n_resamples</w:t>
            </w:r>
          </w:p>
        </w:tc>
        <w:tc>
          <w:tcPr>
            <w:tcW w:type="dxa" w:w="4706"/>
          </w:tcPr>
          <w:p>
            <w:r/>
            <w:r>
              <w:rPr>
                <w:sz w:val="17"/>
              </w:rPr>
              <w:t>10000</w:t>
            </w:r>
          </w:p>
        </w:tc>
      </w:tr>
      <w:tr>
        <w:tc>
          <w:tcPr>
            <w:tcW w:type="dxa" w:w="4706"/>
          </w:tcPr>
          <w:p>
            <w:r/>
            <w:r>
              <w:rPr>
                <w:sz w:val="17"/>
              </w:rPr>
              <w:t>bootstrap_seed</w:t>
            </w:r>
          </w:p>
        </w:tc>
        <w:tc>
          <w:tcPr>
            <w:tcW w:type="dxa" w:w="4706"/>
          </w:tcPr>
          <w:p>
            <w:r/>
            <w:r>
              <w:rPr>
                <w:sz w:val="17"/>
              </w:rPr>
              <w:t>42</w:t>
            </w:r>
          </w:p>
        </w:tc>
      </w:tr>
      <w:tr>
        <w:tc>
          <w:tcPr>
            <w:tcW w:type="dxa" w:w="4706"/>
          </w:tcPr>
          <w:p>
            <w:r/>
            <w:r>
              <w:rPr>
                <w:sz w:val="17"/>
              </w:rPr>
              <w:t>noninferiority_margin_relative</w:t>
            </w:r>
          </w:p>
        </w:tc>
        <w:tc>
          <w:tcPr>
            <w:tcW w:type="dxa" w:w="4706"/>
          </w:tcPr>
          <w:p>
            <w:r/>
            <w:r>
              <w:rPr>
                <w:sz w:val="17"/>
              </w:rPr>
              <w:t>0.01</w:t>
            </w:r>
          </w:p>
        </w:tc>
      </w:tr>
    </w:tbl>
    <w:p/>
    <w:p>
      <w:pPr>
        <w:pStyle w:val="Heading2"/>
      </w:pPr>
      <w:r>
        <w:t>Reviewer findings</w:t>
      </w:r>
    </w:p>
    <w:p>
      <w:r>
        <w:t>Review: 2026-10-01_marketing-ads (round 2). Earlier rounds are in review.md.</w:t>
      </w:r>
    </w:p>
    <w:p>
      <w:pPr>
        <w:pStyle w:val="ListBullet"/>
      </w:pPr>
      <w:r>
        <w:t>Verdict: PASS</w:t>
      </w:r>
    </w:p>
    <w:p>
      <w:pPr>
        <w:pStyle w:val="ListBullet"/>
      </w:pPr>
      <w:r>
        <w:t>All five round-1 fixes are resolved. Every artefact now uses the intended split of 96/4, and the old 95/5 split appears only as a clearly labelled audit-trail record. None of the numbers or the verdict changed.</w:t>
      </w:r>
    </w:p>
    <w:p>
      <w:pPr>
        <w:pStyle w:val="ListBullet"/>
      </w:pPr>
      <w:r>
        <w:t>#1 plan.md still said 95/5: status resolved; evidence plan.md l.5-6 dated "Plan note (2026-10-01)"; approach, step 2 and assumptions now say 96/4; the risk section is marked "SRM (resolved)" and keeps the 95/5 history</w:t>
      </w:r>
    </w:p>
    <w:p>
      <w:pPr>
        <w:pStyle w:val="ListBullet"/>
      </w:pPr>
      <w:r>
        <w:t>#2 Stale failure note on the SRM step in state.json: status resolved; evidence plan.steps[srm].note = "SRM vs 96/4 (user-corrected): p = 0.9998; passes. Originally stated 95/5: p = 3.2e-271". 11_validate_srm.py now always writes the note (l.114-118)</w:t>
      </w:r>
    </w:p>
    <w:p>
      <w:pPr>
        <w:pStyle w:val="ListBullet"/>
      </w:pPr>
      <w:r>
        <w:t>#3 data_profile.md SRM localisation section: status resolved; evidence Labels are built from design.expected_split ("Intended split 96/4 ... p = 0.9998"). The 95/5 check is given only as an audit-trail line. Per-level lines say "differ from the intended share"; the Reading paragraph now says there is no shortfall and the variation is post-treatment. share_of_total_missing is only computed if SRM fails and is gone from the tables</w:t>
      </w:r>
    </w:p>
    <w:p>
      <w:pPr>
        <w:pStyle w:val="ListBullet"/>
      </w:pPr>
      <w:r>
        <w:t>#4 results.json step srm and the validation scripts: status resolved; evidence shortfall keys are now split-neutral (intended_split "96/4", expected_control 23,524.04); notes: "Checked against the intended split 96/4 ..." and "corrected by the user from 95/5 to 96/4 ... p = 3.2e-271"; heterogeneity key levels_with_control_share_ge_intended. 10_validate_profile.py and 11_validate_srm.py read the split only from state.json (10: l.24-25; 11: l.32-50; the original split is parsed from the state history, for the record only). Validation verdict WARN, blocking []</w:t>
      </w:r>
    </w:p>
    <w:p>
      <w:pPr>
        <w:pStyle w:val="ListBullet"/>
      </w:pPr>
      <w:r>
        <w:t>#5 Caveat on the split being confirmed after the 95/5 check failed: status resolved; evidence summary.caveats[1] "Split confirmed as 96/4 only after a 95/5 check failed." The assignment caveat is first. A no-guardrails caveat was added (covers note #9)</w:t>
      </w:r>
    </w:p>
    <w:p>
      <w:pPr>
        <w:pStyle w:val="ListBullet"/>
      </w:pPr>
      <w:r>
        <w:t>#10 Bookkeeping (note): status resolved; evidence Segment rows' independent-units assumptions are now passed = true. The Bayesian SRM assumption reads step srm ("SRM p = 1.000"); Bayesian alpha = 0.05. The interaction-test estimate still holds the Wald statistic (157.96) but carries the note "do not plot it as an effect" (acceptable)</w:t>
      </w:r>
    </w:p>
    <w:p>
      <w:pPr>
        <w:pStyle w:val="ListBullet"/>
      </w:pPr>
      <w:r>
        <w:t>#11 Inconclusive wording (note): status resolved; evidence Every non-significant segment row notes "inconclusive (relative lift CI [...]), not evidence of no effect". The caveat says "4 of 7 buckets inconclusive" (1-5, 6-10, 11-20, 201+: correct count)</w:t>
      </w:r>
    </w:p>
    <w:p>
      <w:pPr>
        <w:pStyle w:val="ListBullet"/>
      </w:pPr>
      <w:r>
        <w:t>Re-checks this round:</w:t>
      </w:r>
    </w:p>
    <w:p>
      <w:pPr>
        <w:pStyle w:val="ListBullet"/>
      </w:pPr>
      <w:r>
        <w:t>Verdict re-derived: abkit.decision.recommend(primary, [], mde_rel=0.05) returns ship with the same reason as summary.reason. The build_summary change affects display labels only: the headline reads "The ad campaign raises conversion by 43.1% vs the PSA", and plain_english gives 7.7 per 1,000, which matches impact.estimate 7.692.</w:t>
      </w:r>
    </w:p>
    <w:p>
      <w:pPr>
        <w:pStyle w:val="ListBullet"/>
      </w:pPr>
      <w:r>
        <w:t>The primary test, impact and exposure numbers are unchanged from round 1 (abs diff 0.0076925, CI low 0.0059509, rel lift 0.43085, p 1.705e-13; impact 7.69 / 4,343 / 0.3011). The SRM p-values are unchanged: 0.99979 against 96/4 and 3.16e-271 against 95/5.</w:t>
      </w:r>
    </w:p>
    <w:p>
      <w:pPr>
        <w:pStyle w:val="ListBullet"/>
      </w:pPr>
      <w:r>
        <w:t>Traceability: validation -&gt; code/10_validate_profile.py; srm, primary_test, bayesian, impact, exposure_explore and summary each point to an existing script in code/.</w:t>
      </w:r>
    </w:p>
    <w:p>
      <w:pPr>
        <w:pStyle w:val="ListBullet"/>
      </w:pPr>
      <w:r>
        <w:t>Remaining notes (no action; carry into caveats as already done): #6 the SRM pass is weak evidence of random assignment (the split is matched almost exactly and PSA ids form a separate block), so the verdict depends on the data owner confirming assignment. #7 the PSA share varies across post-treatment levels, but there is no sign of Simpson paradox. #8 with no dates, peeking and novelty cannot be checked.</w:t>
      </w:r>
    </w:p>
    <w:p>
      <w:pPr>
        <w:pStyle w:val="ListBullet"/>
      </w:pPr>
      <w:r>
        <w:t>SRM - ok (96/4 used consistently in all artefacts; 95/5 kept as a labelled audit record only)</w:t>
      </w:r>
    </w:p>
    <w:p>
      <w:pPr>
        <w:pStyle w:val="ListBullet"/>
      </w:pPr>
      <w:r>
        <w:t>Test vs metric type - ok</w:t>
      </w:r>
    </w:p>
    <w:p>
      <w:pPr>
        <w:pStyle w:val="ListBullet"/>
      </w:pPr>
      <w:r>
        <w:t>Unit of analysis - ok</w:t>
      </w:r>
    </w:p>
    <w:p>
      <w:pPr>
        <w:pStyle w:val="ListBullet"/>
      </w:pPr>
      <w:r>
        <w:t>Multiple testing - ok</w:t>
      </w:r>
    </w:p>
    <w:p>
      <w:pPr>
        <w:pStyle w:val="ListBullet"/>
      </w:pPr>
      <w:r>
        <w:t>Practical vs statistical - ok (CI low +29.3% &gt; 5%)</w:t>
      </w:r>
    </w:p>
    <w:p>
      <w:pPr>
        <w:pStyle w:val="ListBullet"/>
      </w:pPr>
      <w:r>
        <w:t>Inconclusive wording - ok</w:t>
      </w:r>
    </w:p>
    <w:p>
      <w:pPr>
        <w:pStyle w:val="ListBullet"/>
      </w:pPr>
      <w:r>
        <w:t>Peeking - ok / note #8</w:t>
      </w:r>
    </w:p>
    <w:p>
      <w:pPr>
        <w:pStyle w:val="ListBullet"/>
      </w:pPr>
      <w:r>
        <w:t>Novelty - not checkable; caveat present</w:t>
      </w:r>
    </w:p>
    <w:p>
      <w:pPr>
        <w:pStyle w:val="ListBullet"/>
      </w:pPr>
      <w:r>
        <w:t>Simpson / mix - note #7</w:t>
      </w:r>
    </w:p>
    <w:p>
      <w:pPr>
        <w:pStyle w:val="ListBullet"/>
      </w:pPr>
      <w:r>
        <w:t>Guardrails - none defined; caveat now present</w:t>
      </w:r>
    </w:p>
    <w:p>
      <w:pPr>
        <w:pStyle w:val="ListBullet"/>
      </w:pPr>
      <w:r>
        <w:t>Conclusion follows - ok (ship)</w:t>
      </w:r>
    </w:p>
    <w:p>
      <w:pPr>
        <w:pStyle w:val="ListBullet"/>
      </w:pPr>
      <w:r>
        <w:t>Traceability - ok</w:t>
      </w:r>
    </w:p>
    <w:p>
      <w:pPr>
        <w:pStyle w:val="ListBullet"/>
      </w:pPr>
      <w:r>
        <w:t>Failed assumptions - ok (none false or null)</w:t>
      </w:r>
    </w:p>
    <w:p>
      <w:pPr>
        <w:pStyle w:val="Caption"/>
      </w:pPr>
      <w:r>
        <w:t>Table 6: All estimates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0B2545"/>
          </w:tcPr>
          <w:p>
            <w:r/>
            <w:r>
              <w:rPr>
                <w:b/>
                <w:color w:val="FFFFFF"/>
                <w:sz w:val="15"/>
              </w:rPr>
              <w:t>Metric</w:t>
            </w:r>
          </w:p>
        </w:tc>
        <w:tc>
          <w:tcPr>
            <w:tcW w:type="dxa" w:w="1046"/>
            <w:shd w:val="clear" w:color="auto" w:fill="0B2545"/>
          </w:tcPr>
          <w:p>
            <w:r/>
            <w:r>
              <w:rPr>
                <w:b/>
                <w:color w:val="FFFFFF"/>
                <w:sz w:val="15"/>
              </w:rPr>
              <w:t>Segment</w:t>
            </w:r>
          </w:p>
        </w:tc>
        <w:tc>
          <w:tcPr>
            <w:tcW w:type="dxa" w:w="1046"/>
            <w:shd w:val="clear" w:color="auto" w:fill="0B2545"/>
          </w:tcPr>
          <w:p>
            <w:r/>
            <w:r>
              <w:rPr>
                <w:b/>
                <w:color w:val="FFFFFF"/>
                <w:sz w:val="15"/>
              </w:rPr>
              <w:t>Comparison</w:t>
            </w:r>
          </w:p>
        </w:tc>
        <w:tc>
          <w:tcPr>
            <w:tcW w:type="dxa" w:w="1046"/>
            <w:shd w:val="clear" w:color="auto" w:fill="0B2545"/>
          </w:tcPr>
          <w:p>
            <w:r/>
            <w:r>
              <w:rPr>
                <w:b/>
                <w:color w:val="FFFFFF"/>
                <w:sz w:val="15"/>
              </w:rPr>
              <w:t>Control</w:t>
            </w:r>
          </w:p>
        </w:tc>
        <w:tc>
          <w:tcPr>
            <w:tcW w:type="dxa" w:w="1046"/>
            <w:shd w:val="clear" w:color="auto" w:fill="0B2545"/>
          </w:tcPr>
          <w:p>
            <w:r/>
            <w:r>
              <w:rPr>
                <w:b/>
                <w:color w:val="FFFFFF"/>
                <w:sz w:val="15"/>
              </w:rPr>
              <w:t>Treatment</w:t>
            </w:r>
          </w:p>
        </w:tc>
        <w:tc>
          <w:tcPr>
            <w:tcW w:type="dxa" w:w="1046"/>
            <w:shd w:val="clear" w:color="auto" w:fill="0B2545"/>
          </w:tcPr>
          <w:p>
            <w:r/>
            <w:r>
              <w:rPr>
                <w:b/>
                <w:color w:val="FFFFFF"/>
                <w:sz w:val="15"/>
              </w:rPr>
              <w:t>Rel. lift</w:t>
            </w:r>
          </w:p>
        </w:tc>
        <w:tc>
          <w:tcPr>
            <w:tcW w:type="dxa" w:w="1046"/>
            <w:shd w:val="clear" w:color="auto" w:fill="0B2545"/>
          </w:tcPr>
          <w:p>
            <w:r/>
            <w:r>
              <w:rPr>
                <w:b/>
                <w:color w:val="FFFFFF"/>
                <w:sz w:val="15"/>
              </w:rPr>
              <w:t>CI</w:t>
            </w:r>
          </w:p>
        </w:tc>
        <w:tc>
          <w:tcPr>
            <w:tcW w:type="dxa" w:w="1046"/>
            <w:shd w:val="clear" w:color="auto" w:fill="0B2545"/>
          </w:tcPr>
          <w:p>
            <w:r/>
            <w:r>
              <w:rPr>
                <w:b/>
                <w:color w:val="FFFFFF"/>
                <w:sz w:val="15"/>
              </w:rPr>
              <w:t>p / P(beat)</w:t>
            </w:r>
          </w:p>
        </w:tc>
        <w:tc>
          <w:tcPr>
            <w:tcW w:type="dxa" w:w="1046"/>
            <w:shd w:val="clear" w:color="auto" w:fill="0B2545"/>
          </w:tcPr>
          <w:p>
            <w:r/>
            <w:r>
              <w:rPr>
                <w:b/>
                <w:color w:val="FFFFFF"/>
                <w:sz w:val="15"/>
              </w:rPr>
              <w:t>Method</w:t>
            </w:r>
          </w:p>
        </w:tc>
      </w:tr>
      <w:tr>
        <w:tc>
          <w:tcPr>
            <w:tcW w:type="dxa" w:w="1046"/>
          </w:tcPr>
          <w:p>
            <w:r/>
            <w:r>
              <w:rPr>
                <w:sz w:val="15"/>
              </w:rPr>
              <w:t>converted</w:t>
            </w:r>
          </w:p>
        </w:tc>
        <w:tc>
          <w:tcPr>
            <w:tcW w:type="dxa" w:w="1046"/>
          </w:tcPr>
          <w:p>
            <w:r/>
            <w:r>
              <w:rPr>
                <w:sz w:val="15"/>
              </w:rPr>
            </w:r>
          </w:p>
        </w:tc>
        <w:tc>
          <w:tcPr>
            <w:tcW w:type="dxa" w:w="1046"/>
          </w:tcPr>
          <w:p>
            <w:r/>
            <w:r>
              <w:rPr>
                <w:sz w:val="15"/>
              </w:rPr>
              <w:t>ad vs psa</w:t>
            </w:r>
          </w:p>
        </w:tc>
        <w:tc>
          <w:tcPr>
            <w:tcW w:type="dxa" w:w="1046"/>
          </w:tcPr>
          <w:p>
            <w:r/>
            <w:r>
              <w:rPr>
                <w:sz w:val="15"/>
              </w:rPr>
              <w:t>1.79%</w:t>
            </w:r>
          </w:p>
        </w:tc>
        <w:tc>
          <w:tcPr>
            <w:tcW w:type="dxa" w:w="1046"/>
          </w:tcPr>
          <w:p>
            <w:r/>
            <w:r>
              <w:rPr>
                <w:sz w:val="15"/>
              </w:rPr>
              <w:t>2.55%</w:t>
            </w:r>
          </w:p>
        </w:tc>
        <w:tc>
          <w:tcPr>
            <w:tcW w:type="dxa" w:w="1046"/>
          </w:tcPr>
          <w:p>
            <w:r/>
            <w:r>
              <w:rPr>
                <w:sz w:val="15"/>
              </w:rPr>
              <w:t>+43.1%</w:t>
            </w:r>
          </w:p>
        </w:tc>
        <w:tc>
          <w:tcPr>
            <w:tcW w:type="dxa" w:w="1046"/>
          </w:tcPr>
          <w:p>
            <w:r/>
            <w:r>
              <w:rPr>
                <w:sz w:val="15"/>
              </w:rPr>
              <w:t>[+29.3%, +56.8%]</w:t>
            </w:r>
          </w:p>
        </w:tc>
        <w:tc>
          <w:tcPr>
            <w:tcW w:type="dxa" w:w="1046"/>
          </w:tcPr>
          <w:p>
            <w:r/>
            <w:r>
              <w:rPr>
                <w:sz w:val="15"/>
              </w:rPr>
              <w:t>&lt;0.001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r>
          </w:p>
        </w:tc>
        <w:tc>
          <w:tcPr>
            <w:tcW w:type="dxa" w:w="1046"/>
          </w:tcPr>
          <w:p>
            <w:r/>
            <w:r>
              <w:rPr>
                <w:sz w:val="15"/>
              </w:rPr>
              <w:t>ad vs psa</w:t>
            </w:r>
          </w:p>
        </w:tc>
        <w:tc>
          <w:tcPr>
            <w:tcW w:type="dxa" w:w="1046"/>
          </w:tcPr>
          <w:p>
            <w:r/>
            <w:r>
              <w:rPr>
                <w:sz w:val="15"/>
              </w:rPr>
              <w:t>1.79%</w:t>
            </w:r>
          </w:p>
        </w:tc>
        <w:tc>
          <w:tcPr>
            <w:tcW w:type="dxa" w:w="1046"/>
          </w:tcPr>
          <w:p>
            <w:r/>
            <w:r>
              <w:rPr>
                <w:sz w:val="15"/>
              </w:rPr>
              <w:t>2.55%</w:t>
            </w:r>
          </w:p>
        </w:tc>
        <w:tc>
          <w:tcPr>
            <w:tcW w:type="dxa" w:w="1046"/>
          </w:tcPr>
          <w:p>
            <w:r/>
            <w:r>
              <w:rPr>
                <w:sz w:val="15"/>
              </w:rPr>
              <w:t>+42.9%</w:t>
            </w:r>
          </w:p>
        </w:tc>
        <w:tc>
          <w:tcPr>
            <w:tcW w:type="dxa" w:w="1046"/>
          </w:tcPr>
          <w:p>
            <w:r/>
            <w:r>
              <w:rPr>
                <w:sz w:val="15"/>
              </w:rPr>
              <w:t>[+29.9%, +57.5%]</w:t>
            </w:r>
          </w:p>
        </w:tc>
        <w:tc>
          <w:tcPr>
            <w:tcW w:type="dxa" w:w="1046"/>
          </w:tcPr>
          <w:p>
            <w:r/>
            <w:r>
              <w:rPr>
                <w:sz w:val="15"/>
              </w:rPr>
              <w:t>100.0%</w:t>
            </w:r>
          </w:p>
        </w:tc>
        <w:tc>
          <w:tcPr>
            <w:tcW w:type="dxa" w:w="1046"/>
          </w:tcPr>
          <w:p>
            <w:r/>
            <w:r>
              <w:rPr>
                <w:sz w:val="15"/>
              </w:rPr>
              <w:t>beta binomial</w:t>
            </w:r>
          </w:p>
        </w:tc>
      </w:tr>
      <w:tr>
        <w:tc>
          <w:tcPr>
            <w:tcW w:type="dxa" w:w="1046"/>
          </w:tcPr>
          <w:p>
            <w:r/>
            <w:r>
              <w:rPr>
                <w:sz w:val="15"/>
              </w:rPr>
              <w:t>converted</w:t>
            </w:r>
          </w:p>
        </w:tc>
        <w:tc>
          <w:tcPr>
            <w:tcW w:type="dxa" w:w="1046"/>
          </w:tcPr>
          <w:p>
            <w:r/>
            <w:r>
              <w:rPr>
                <w:sz w:val="15"/>
              </w:rPr>
              <w:t>All</w:t>
            </w:r>
          </w:p>
        </w:tc>
        <w:tc>
          <w:tcPr>
            <w:tcW w:type="dxa" w:w="1046"/>
          </w:tcPr>
          <w:p>
            <w:r/>
            <w:r>
              <w:rPr>
                <w:sz w:val="15"/>
              </w:rPr>
              <w:t>ad vs psa</w:t>
            </w:r>
          </w:p>
        </w:tc>
        <w:tc>
          <w:tcPr>
            <w:tcW w:type="dxa" w:w="1046"/>
          </w:tcPr>
          <w:p>
            <w:r/>
            <w:r>
              <w:rPr>
                <w:sz w:val="15"/>
              </w:rPr>
              <w:t>1.79%</w:t>
            </w:r>
          </w:p>
        </w:tc>
        <w:tc>
          <w:tcPr>
            <w:tcW w:type="dxa" w:w="1046"/>
          </w:tcPr>
          <w:p>
            <w:r/>
            <w:r>
              <w:rPr>
                <w:sz w:val="15"/>
              </w:rPr>
              <w:t>2.55%</w:t>
            </w:r>
          </w:p>
        </w:tc>
        <w:tc>
          <w:tcPr>
            <w:tcW w:type="dxa" w:w="1046"/>
          </w:tcPr>
          <w:p>
            <w:r/>
            <w:r>
              <w:rPr>
                <w:sz w:val="15"/>
              </w:rPr>
              <w:t>+43.1%</w:t>
            </w:r>
          </w:p>
        </w:tc>
        <w:tc>
          <w:tcPr>
            <w:tcW w:type="dxa" w:w="1046"/>
          </w:tcPr>
          <w:p>
            <w:r/>
            <w:r>
              <w:rPr>
                <w:sz w:val="15"/>
              </w:rPr>
              <w:t>[+29.3%, +56.8%]</w:t>
            </w:r>
          </w:p>
        </w:tc>
        <w:tc>
          <w:tcPr>
            <w:tcW w:type="dxa" w:w="1046"/>
          </w:tcPr>
          <w:p>
            <w:r/>
            <w:r>
              <w:rPr>
                <w:sz w:val="15"/>
              </w:rPr>
              <w:t>&lt;0.001</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1-5</w:t>
            </w:r>
          </w:p>
        </w:tc>
        <w:tc>
          <w:tcPr>
            <w:tcW w:type="dxa" w:w="1046"/>
          </w:tcPr>
          <w:p>
            <w:r/>
            <w:r>
              <w:rPr>
                <w:sz w:val="15"/>
              </w:rPr>
              <w:t>ad vs psa</w:t>
            </w:r>
          </w:p>
        </w:tc>
        <w:tc>
          <w:tcPr>
            <w:tcW w:type="dxa" w:w="1046"/>
          </w:tcPr>
          <w:p>
            <w:r/>
            <w:r>
              <w:rPr>
                <w:sz w:val="15"/>
              </w:rPr>
              <w:t>0.28%</w:t>
            </w:r>
          </w:p>
        </w:tc>
        <w:tc>
          <w:tcPr>
            <w:tcW w:type="dxa" w:w="1046"/>
          </w:tcPr>
          <w:p>
            <w:r/>
            <w:r>
              <w:rPr>
                <w:sz w:val="15"/>
              </w:rPr>
              <w:t>0.25%</w:t>
            </w:r>
          </w:p>
        </w:tc>
        <w:tc>
          <w:tcPr>
            <w:tcW w:type="dxa" w:w="1046"/>
          </w:tcPr>
          <w:p>
            <w:r/>
            <w:r>
              <w:rPr>
                <w:sz w:val="15"/>
              </w:rPr>
              <w:t>−10.2%</w:t>
            </w:r>
          </w:p>
        </w:tc>
        <w:tc>
          <w:tcPr>
            <w:tcW w:type="dxa" w:w="1046"/>
          </w:tcPr>
          <w:p>
            <w:r/>
            <w:r>
              <w:rPr>
                <w:sz w:val="15"/>
              </w:rPr>
              <w:t>[−48.6%, +28.2%]</w:t>
            </w:r>
          </w:p>
        </w:tc>
        <w:tc>
          <w:tcPr>
            <w:tcW w:type="dxa" w:w="1046"/>
          </w:tcPr>
          <w:p>
            <w:r/>
            <w:r>
              <w:rPr>
                <w:sz w:val="15"/>
              </w:rPr>
              <w:t>0.869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101-200</w:t>
            </w:r>
          </w:p>
        </w:tc>
        <w:tc>
          <w:tcPr>
            <w:tcW w:type="dxa" w:w="1046"/>
          </w:tcPr>
          <w:p>
            <w:r/>
            <w:r>
              <w:rPr>
                <w:sz w:val="15"/>
              </w:rPr>
              <w:t>ad vs psa</w:t>
            </w:r>
          </w:p>
        </w:tc>
        <w:tc>
          <w:tcPr>
            <w:tcW w:type="dxa" w:w="1046"/>
          </w:tcPr>
          <w:p>
            <w:r/>
            <w:r>
              <w:rPr>
                <w:sz w:val="15"/>
              </w:rPr>
              <w:t>10.64%</w:t>
            </w:r>
          </w:p>
        </w:tc>
        <w:tc>
          <w:tcPr>
            <w:tcW w:type="dxa" w:w="1046"/>
          </w:tcPr>
          <w:p>
            <w:r/>
            <w:r>
              <w:rPr>
                <w:sz w:val="15"/>
              </w:rPr>
              <w:t>17.68%</w:t>
            </w:r>
          </w:p>
        </w:tc>
        <w:tc>
          <w:tcPr>
            <w:tcW w:type="dxa" w:w="1046"/>
          </w:tcPr>
          <w:p>
            <w:r/>
            <w:r>
              <w:rPr>
                <w:sz w:val="15"/>
              </w:rPr>
              <w:t>+66.2%</w:t>
            </w:r>
          </w:p>
        </w:tc>
        <w:tc>
          <w:tcPr>
            <w:tcW w:type="dxa" w:w="1046"/>
          </w:tcPr>
          <w:p>
            <w:r/>
            <w:r>
              <w:rPr>
                <w:sz w:val="15"/>
              </w:rPr>
              <w:t>[+31.3%, +101.0%]</w:t>
            </w:r>
          </w:p>
        </w:tc>
        <w:tc>
          <w:tcPr>
            <w:tcW w:type="dxa" w:w="1046"/>
          </w:tcPr>
          <w:p>
            <w:r/>
            <w:r>
              <w:rPr>
                <w:sz w:val="15"/>
              </w:rPr>
              <w:t>&lt;0.001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11-20</w:t>
            </w:r>
          </w:p>
        </w:tc>
        <w:tc>
          <w:tcPr>
            <w:tcW w:type="dxa" w:w="1046"/>
          </w:tcPr>
          <w:p>
            <w:r/>
            <w:r>
              <w:rPr>
                <w:sz w:val="15"/>
              </w:rPr>
              <w:t>ad vs psa</w:t>
            </w:r>
          </w:p>
        </w:tc>
        <w:tc>
          <w:tcPr>
            <w:tcW w:type="dxa" w:w="1046"/>
          </w:tcPr>
          <w:p>
            <w:r/>
            <w:r>
              <w:rPr>
                <w:sz w:val="15"/>
              </w:rPr>
              <w:t>0.82%</w:t>
            </w:r>
          </w:p>
        </w:tc>
        <w:tc>
          <w:tcPr>
            <w:tcW w:type="dxa" w:w="1046"/>
          </w:tcPr>
          <w:p>
            <w:r/>
            <w:r>
              <w:rPr>
                <w:sz w:val="15"/>
              </w:rPr>
              <w:t>0.84%</w:t>
            </w:r>
          </w:p>
        </w:tc>
        <w:tc>
          <w:tcPr>
            <w:tcW w:type="dxa" w:w="1046"/>
          </w:tcPr>
          <w:p>
            <w:r/>
            <w:r>
              <w:rPr>
                <w:sz w:val="15"/>
              </w:rPr>
              <w:t>+2.5%</w:t>
            </w:r>
          </w:p>
        </w:tc>
        <w:tc>
          <w:tcPr>
            <w:tcW w:type="dxa" w:w="1046"/>
          </w:tcPr>
          <w:p>
            <w:r/>
            <w:r>
              <w:rPr>
                <w:sz w:val="15"/>
              </w:rPr>
              <w:t>[−32.4%, +37.4%]</w:t>
            </w:r>
          </w:p>
        </w:tc>
        <w:tc>
          <w:tcPr>
            <w:tcW w:type="dxa" w:w="1046"/>
          </w:tcPr>
          <w:p>
            <w:r/>
            <w:r>
              <w:rPr>
                <w:sz w:val="15"/>
              </w:rPr>
              <w:t>0.974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201+</w:t>
            </w:r>
          </w:p>
        </w:tc>
        <w:tc>
          <w:tcPr>
            <w:tcW w:type="dxa" w:w="1046"/>
          </w:tcPr>
          <w:p>
            <w:r/>
            <w:r>
              <w:rPr>
                <w:sz w:val="15"/>
              </w:rPr>
              <w:t>ad vs psa</w:t>
            </w:r>
          </w:p>
        </w:tc>
        <w:tc>
          <w:tcPr>
            <w:tcW w:type="dxa" w:w="1046"/>
          </w:tcPr>
          <w:p>
            <w:r/>
            <w:r>
              <w:rPr>
                <w:sz w:val="15"/>
              </w:rPr>
              <w:t>15.50%</w:t>
            </w:r>
          </w:p>
        </w:tc>
        <w:tc>
          <w:tcPr>
            <w:tcW w:type="dxa" w:w="1046"/>
          </w:tcPr>
          <w:p>
            <w:r/>
            <w:r>
              <w:rPr>
                <w:sz w:val="15"/>
              </w:rPr>
              <w:t>15.58%</w:t>
            </w:r>
          </w:p>
        </w:tc>
        <w:tc>
          <w:tcPr>
            <w:tcW w:type="dxa" w:w="1046"/>
          </w:tcPr>
          <w:p>
            <w:r/>
            <w:r>
              <w:rPr>
                <w:sz w:val="15"/>
              </w:rPr>
              <w:t>+0.5%</w:t>
            </w:r>
          </w:p>
        </w:tc>
        <w:tc>
          <w:tcPr>
            <w:tcW w:type="dxa" w:w="1046"/>
          </w:tcPr>
          <w:p>
            <w:r/>
            <w:r>
              <w:rPr>
                <w:sz w:val="15"/>
              </w:rPr>
              <w:t>[−28.8%, +29.7%]</w:t>
            </w:r>
          </w:p>
        </w:tc>
        <w:tc>
          <w:tcPr>
            <w:tcW w:type="dxa" w:w="1046"/>
          </w:tcPr>
          <w:p>
            <w:r/>
            <w:r>
              <w:rPr>
                <w:sz w:val="15"/>
              </w:rPr>
              <w:t>0.974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21-50</w:t>
            </w:r>
          </w:p>
        </w:tc>
        <w:tc>
          <w:tcPr>
            <w:tcW w:type="dxa" w:w="1046"/>
          </w:tcPr>
          <w:p>
            <w:r/>
            <w:r>
              <w:rPr>
                <w:sz w:val="15"/>
              </w:rPr>
              <w:t>ad vs psa</w:t>
            </w:r>
          </w:p>
        </w:tc>
        <w:tc>
          <w:tcPr>
            <w:tcW w:type="dxa" w:w="1046"/>
          </w:tcPr>
          <w:p>
            <w:r/>
            <w:r>
              <w:rPr>
                <w:sz w:val="15"/>
              </w:rPr>
              <w:t>2.18%</w:t>
            </w:r>
          </w:p>
        </w:tc>
        <w:tc>
          <w:tcPr>
            <w:tcW w:type="dxa" w:w="1046"/>
          </w:tcPr>
          <w:p>
            <w:r/>
            <w:r>
              <w:rPr>
                <w:sz w:val="15"/>
              </w:rPr>
              <w:t>2.92%</w:t>
            </w:r>
          </w:p>
        </w:tc>
        <w:tc>
          <w:tcPr>
            <w:tcW w:type="dxa" w:w="1046"/>
          </w:tcPr>
          <w:p>
            <w:r/>
            <w:r>
              <w:rPr>
                <w:sz w:val="15"/>
              </w:rPr>
              <w:t>+33.9%</w:t>
            </w:r>
          </w:p>
        </w:tc>
        <w:tc>
          <w:tcPr>
            <w:tcW w:type="dxa" w:w="1046"/>
          </w:tcPr>
          <w:p>
            <w:r/>
            <w:r>
              <w:rPr>
                <w:sz w:val="15"/>
              </w:rPr>
              <w:t>[+9.2%, +58.6%]</w:t>
            </w:r>
          </w:p>
        </w:tc>
        <w:tc>
          <w:tcPr>
            <w:tcW w:type="dxa" w:w="1046"/>
          </w:tcPr>
          <w:p>
            <w:r/>
            <w:r>
              <w:rPr>
                <w:sz w:val="15"/>
              </w:rPr>
              <w:t>0.004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51-100</w:t>
            </w:r>
          </w:p>
        </w:tc>
        <w:tc>
          <w:tcPr>
            <w:tcW w:type="dxa" w:w="1046"/>
          </w:tcPr>
          <w:p>
            <w:r/>
            <w:r>
              <w:rPr>
                <w:sz w:val="15"/>
              </w:rPr>
              <w:t>ad vs psa</w:t>
            </w:r>
          </w:p>
        </w:tc>
        <w:tc>
          <w:tcPr>
            <w:tcW w:type="dxa" w:w="1046"/>
          </w:tcPr>
          <w:p>
            <w:r/>
            <w:r>
              <w:rPr>
                <w:sz w:val="15"/>
              </w:rPr>
              <w:t>5.77%</w:t>
            </w:r>
          </w:p>
        </w:tc>
        <w:tc>
          <w:tcPr>
            <w:tcW w:type="dxa" w:w="1046"/>
          </w:tcPr>
          <w:p>
            <w:r/>
            <w:r>
              <w:rPr>
                <w:sz w:val="15"/>
              </w:rPr>
              <w:t>11.63%</w:t>
            </w:r>
          </w:p>
        </w:tc>
        <w:tc>
          <w:tcPr>
            <w:tcW w:type="dxa" w:w="1046"/>
          </w:tcPr>
          <w:p>
            <w:r/>
            <w:r>
              <w:rPr>
                <w:sz w:val="15"/>
              </w:rPr>
              <w:t>+101.4%</w:t>
            </w:r>
          </w:p>
        </w:tc>
        <w:tc>
          <w:tcPr>
            <w:tcW w:type="dxa" w:w="1046"/>
          </w:tcPr>
          <w:p>
            <w:r/>
            <w:r>
              <w:rPr>
                <w:sz w:val="15"/>
              </w:rPr>
              <w:t>[+64.0%, +138.8%]</w:t>
            </w:r>
          </w:p>
        </w:tc>
        <w:tc>
          <w:tcPr>
            <w:tcW w:type="dxa" w:w="1046"/>
          </w:tcPr>
          <w:p>
            <w:r/>
            <w:r>
              <w:rPr>
                <w:sz w:val="15"/>
              </w:rPr>
              <w:t>&lt;0.001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6-10</w:t>
            </w:r>
          </w:p>
        </w:tc>
        <w:tc>
          <w:tcPr>
            <w:tcW w:type="dxa" w:w="1046"/>
          </w:tcPr>
          <w:p>
            <w:r/>
            <w:r>
              <w:rPr>
                <w:sz w:val="15"/>
              </w:rPr>
              <w:t>ad vs psa</w:t>
            </w:r>
          </w:p>
        </w:tc>
        <w:tc>
          <w:tcPr>
            <w:tcW w:type="dxa" w:w="1046"/>
          </w:tcPr>
          <w:p>
            <w:r/>
            <w:r>
              <w:rPr>
                <w:sz w:val="15"/>
              </w:rPr>
              <w:t>0.67%</w:t>
            </w:r>
          </w:p>
        </w:tc>
        <w:tc>
          <w:tcPr>
            <w:tcW w:type="dxa" w:w="1046"/>
          </w:tcPr>
          <w:p>
            <w:r/>
            <w:r>
              <w:rPr>
                <w:sz w:val="15"/>
              </w:rPr>
              <w:t>0.49%</w:t>
            </w:r>
          </w:p>
        </w:tc>
        <w:tc>
          <w:tcPr>
            <w:tcW w:type="dxa" w:w="1046"/>
          </w:tcPr>
          <w:p>
            <w:r/>
            <w:r>
              <w:rPr>
                <w:sz w:val="15"/>
              </w:rPr>
              <w:t>−27.9%</w:t>
            </w:r>
          </w:p>
        </w:tc>
        <w:tc>
          <w:tcPr>
            <w:tcW w:type="dxa" w:w="1046"/>
          </w:tcPr>
          <w:p>
            <w:r/>
            <w:r>
              <w:rPr>
                <w:sz w:val="15"/>
              </w:rPr>
              <w:t>[−58.2%, +2.3%]</w:t>
            </w:r>
          </w:p>
        </w:tc>
        <w:tc>
          <w:tcPr>
            <w:tcW w:type="dxa" w:w="1046"/>
          </w:tcPr>
          <w:p>
            <w:r/>
            <w:r>
              <w:rPr>
                <w:sz w:val="15"/>
              </w:rPr>
              <w:t>0.217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Friday</w:t>
            </w:r>
          </w:p>
        </w:tc>
        <w:tc>
          <w:tcPr>
            <w:tcW w:type="dxa" w:w="1046"/>
          </w:tcPr>
          <w:p>
            <w:r/>
            <w:r>
              <w:rPr>
                <w:sz w:val="15"/>
              </w:rPr>
              <w:t>ad vs psa</w:t>
            </w:r>
          </w:p>
        </w:tc>
        <w:tc>
          <w:tcPr>
            <w:tcW w:type="dxa" w:w="1046"/>
          </w:tcPr>
          <w:p>
            <w:r/>
            <w:r>
              <w:rPr>
                <w:sz w:val="15"/>
              </w:rPr>
              <w:t>1.63%</w:t>
            </w:r>
          </w:p>
        </w:tc>
        <w:tc>
          <w:tcPr>
            <w:tcW w:type="dxa" w:w="1046"/>
          </w:tcPr>
          <w:p>
            <w:r/>
            <w:r>
              <w:rPr>
                <w:sz w:val="15"/>
              </w:rPr>
              <w:t>2.25%</w:t>
            </w:r>
          </w:p>
        </w:tc>
        <w:tc>
          <w:tcPr>
            <w:tcW w:type="dxa" w:w="1046"/>
          </w:tcPr>
          <w:p>
            <w:r/>
            <w:r>
              <w:rPr>
                <w:sz w:val="15"/>
              </w:rPr>
              <w:t>+37.8%</w:t>
            </w:r>
          </w:p>
        </w:tc>
        <w:tc>
          <w:tcPr>
            <w:tcW w:type="dxa" w:w="1046"/>
          </w:tcPr>
          <w:p>
            <w:r/>
            <w:r>
              <w:rPr>
                <w:sz w:val="15"/>
              </w:rPr>
              <w:t>[+3.3%, +72.3%]</w:t>
            </w:r>
          </w:p>
        </w:tc>
        <w:tc>
          <w:tcPr>
            <w:tcW w:type="dxa" w:w="1046"/>
          </w:tcPr>
          <w:p>
            <w:r/>
            <w:r>
              <w:rPr>
                <w:sz w:val="15"/>
              </w:rPr>
              <w:t>0.016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Monday</w:t>
            </w:r>
          </w:p>
        </w:tc>
        <w:tc>
          <w:tcPr>
            <w:tcW w:type="dxa" w:w="1046"/>
          </w:tcPr>
          <w:p>
            <w:r/>
            <w:r>
              <w:rPr>
                <w:sz w:val="15"/>
              </w:rPr>
              <w:t>ad vs psa</w:t>
            </w:r>
          </w:p>
        </w:tc>
        <w:tc>
          <w:tcPr>
            <w:tcW w:type="dxa" w:w="1046"/>
          </w:tcPr>
          <w:p>
            <w:r/>
            <w:r>
              <w:rPr>
                <w:sz w:val="15"/>
              </w:rPr>
              <w:t>2.26%</w:t>
            </w:r>
          </w:p>
        </w:tc>
        <w:tc>
          <w:tcPr>
            <w:tcW w:type="dxa" w:w="1046"/>
          </w:tcPr>
          <w:p>
            <w:r/>
            <w:r>
              <w:rPr>
                <w:sz w:val="15"/>
              </w:rPr>
              <w:t>3.32%</w:t>
            </w:r>
          </w:p>
        </w:tc>
        <w:tc>
          <w:tcPr>
            <w:tcW w:type="dxa" w:w="1046"/>
          </w:tcPr>
          <w:p>
            <w:r/>
            <w:r>
              <w:rPr>
                <w:sz w:val="15"/>
              </w:rPr>
              <w:t>+47.4%</w:t>
            </w:r>
          </w:p>
        </w:tc>
        <w:tc>
          <w:tcPr>
            <w:tcW w:type="dxa" w:w="1046"/>
          </w:tcPr>
          <w:p>
            <w:r/>
            <w:r>
              <w:rPr>
                <w:sz w:val="15"/>
              </w:rPr>
              <w:t>[+14.8%, +79.9%]</w:t>
            </w:r>
          </w:p>
        </w:tc>
        <w:tc>
          <w:tcPr>
            <w:tcW w:type="dxa" w:w="1046"/>
          </w:tcPr>
          <w:p>
            <w:r/>
            <w:r>
              <w:rPr>
                <w:sz w:val="15"/>
              </w:rPr>
              <w:t>0.001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Saturday</w:t>
            </w:r>
          </w:p>
        </w:tc>
        <w:tc>
          <w:tcPr>
            <w:tcW w:type="dxa" w:w="1046"/>
          </w:tcPr>
          <w:p>
            <w:r/>
            <w:r>
              <w:rPr>
                <w:sz w:val="15"/>
              </w:rPr>
              <w:t>ad vs psa</w:t>
            </w:r>
          </w:p>
        </w:tc>
        <w:tc>
          <w:tcPr>
            <w:tcW w:type="dxa" w:w="1046"/>
          </w:tcPr>
          <w:p>
            <w:r/>
            <w:r>
              <w:rPr>
                <w:sz w:val="15"/>
              </w:rPr>
              <w:t>1.40%</w:t>
            </w:r>
          </w:p>
        </w:tc>
        <w:tc>
          <w:tcPr>
            <w:tcW w:type="dxa" w:w="1046"/>
          </w:tcPr>
          <w:p>
            <w:r/>
            <w:r>
              <w:rPr>
                <w:sz w:val="15"/>
              </w:rPr>
              <w:t>2.13%</w:t>
            </w:r>
          </w:p>
        </w:tc>
        <w:tc>
          <w:tcPr>
            <w:tcW w:type="dxa" w:w="1046"/>
          </w:tcPr>
          <w:p>
            <w:r/>
            <w:r>
              <w:rPr>
                <w:sz w:val="15"/>
              </w:rPr>
              <w:t>+52.2%</w:t>
            </w:r>
          </w:p>
        </w:tc>
        <w:tc>
          <w:tcPr>
            <w:tcW w:type="dxa" w:w="1046"/>
          </w:tcPr>
          <w:p>
            <w:r/>
            <w:r>
              <w:rPr>
                <w:sz w:val="15"/>
              </w:rPr>
              <w:t>[+4.8%, +99.6%]</w:t>
            </w:r>
          </w:p>
        </w:tc>
        <w:tc>
          <w:tcPr>
            <w:tcW w:type="dxa" w:w="1046"/>
          </w:tcPr>
          <w:p>
            <w:r/>
            <w:r>
              <w:rPr>
                <w:sz w:val="15"/>
              </w:rPr>
              <w:t>0.013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Sunday</w:t>
            </w:r>
          </w:p>
        </w:tc>
        <w:tc>
          <w:tcPr>
            <w:tcW w:type="dxa" w:w="1046"/>
          </w:tcPr>
          <w:p>
            <w:r/>
            <w:r>
              <w:rPr>
                <w:sz w:val="15"/>
              </w:rPr>
              <w:t>ad vs psa</w:t>
            </w:r>
          </w:p>
        </w:tc>
        <w:tc>
          <w:tcPr>
            <w:tcW w:type="dxa" w:w="1046"/>
          </w:tcPr>
          <w:p>
            <w:r/>
            <w:r>
              <w:rPr>
                <w:sz w:val="15"/>
              </w:rPr>
              <w:t>2.06%</w:t>
            </w:r>
          </w:p>
        </w:tc>
        <w:tc>
          <w:tcPr>
            <w:tcW w:type="dxa" w:w="1046"/>
          </w:tcPr>
          <w:p>
            <w:r/>
            <w:r>
              <w:rPr>
                <w:sz w:val="15"/>
              </w:rPr>
              <w:t>2.46%</w:t>
            </w:r>
          </w:p>
        </w:tc>
        <w:tc>
          <w:tcPr>
            <w:tcW w:type="dxa" w:w="1046"/>
          </w:tcPr>
          <w:p>
            <w:r/>
            <w:r>
              <w:rPr>
                <w:sz w:val="15"/>
              </w:rPr>
              <w:t>+19.5%</w:t>
            </w:r>
          </w:p>
        </w:tc>
        <w:tc>
          <w:tcPr>
            <w:tcW w:type="dxa" w:w="1046"/>
          </w:tcPr>
          <w:p>
            <w:r/>
            <w:r>
              <w:rPr>
                <w:sz w:val="15"/>
              </w:rPr>
              <w:t>[−10.1%, +49.2%]</w:t>
            </w:r>
          </w:p>
        </w:tc>
        <w:tc>
          <w:tcPr>
            <w:tcW w:type="dxa" w:w="1046"/>
          </w:tcPr>
          <w:p>
            <w:r/>
            <w:r>
              <w:rPr>
                <w:sz w:val="15"/>
              </w:rPr>
              <w:t>0.183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Thursday</w:t>
            </w:r>
          </w:p>
        </w:tc>
        <w:tc>
          <w:tcPr>
            <w:tcW w:type="dxa" w:w="1046"/>
          </w:tcPr>
          <w:p>
            <w:r/>
            <w:r>
              <w:rPr>
                <w:sz w:val="15"/>
              </w:rPr>
              <w:t>ad vs psa</w:t>
            </w:r>
          </w:p>
        </w:tc>
        <w:tc>
          <w:tcPr>
            <w:tcW w:type="dxa" w:w="1046"/>
          </w:tcPr>
          <w:p>
            <w:r/>
            <w:r>
              <w:rPr>
                <w:sz w:val="15"/>
              </w:rPr>
              <w:t>2.02%</w:t>
            </w:r>
          </w:p>
        </w:tc>
        <w:tc>
          <w:tcPr>
            <w:tcW w:type="dxa" w:w="1046"/>
          </w:tcPr>
          <w:p>
            <w:r/>
            <w:r>
              <w:rPr>
                <w:sz w:val="15"/>
              </w:rPr>
              <w:t>2.16%</w:t>
            </w:r>
          </w:p>
        </w:tc>
        <w:tc>
          <w:tcPr>
            <w:tcW w:type="dxa" w:w="1046"/>
          </w:tcPr>
          <w:p>
            <w:r/>
            <w:r>
              <w:rPr>
                <w:sz w:val="15"/>
              </w:rPr>
              <w:t>+7.0%</w:t>
            </w:r>
          </w:p>
        </w:tc>
        <w:tc>
          <w:tcPr>
            <w:tcW w:type="dxa" w:w="1046"/>
          </w:tcPr>
          <w:p>
            <w:r/>
            <w:r>
              <w:rPr>
                <w:sz w:val="15"/>
              </w:rPr>
              <w:t>[−16.9%, +30.8%]</w:t>
            </w:r>
          </w:p>
        </w:tc>
        <w:tc>
          <w:tcPr>
            <w:tcW w:type="dxa" w:w="1046"/>
          </w:tcPr>
          <w:p>
            <w:r/>
            <w:r>
              <w:rPr>
                <w:sz w:val="15"/>
              </w:rPr>
              <w:t>0.555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Tuesday</w:t>
            </w:r>
          </w:p>
        </w:tc>
        <w:tc>
          <w:tcPr>
            <w:tcW w:type="dxa" w:w="1046"/>
          </w:tcPr>
          <w:p>
            <w:r/>
            <w:r>
              <w:rPr>
                <w:sz w:val="15"/>
              </w:rPr>
              <w:t>ad vs psa</w:t>
            </w:r>
          </w:p>
        </w:tc>
        <w:tc>
          <w:tcPr>
            <w:tcW w:type="dxa" w:w="1046"/>
          </w:tcPr>
          <w:p>
            <w:r/>
            <w:r>
              <w:rPr>
                <w:sz w:val="15"/>
              </w:rPr>
              <w:t>1.44%</w:t>
            </w:r>
          </w:p>
        </w:tc>
        <w:tc>
          <w:tcPr>
            <w:tcW w:type="dxa" w:w="1046"/>
          </w:tcPr>
          <w:p>
            <w:r/>
            <w:r>
              <w:rPr>
                <w:sz w:val="15"/>
              </w:rPr>
              <w:t>3.04%</w:t>
            </w:r>
          </w:p>
        </w:tc>
        <w:tc>
          <w:tcPr>
            <w:tcW w:type="dxa" w:w="1046"/>
          </w:tcPr>
          <w:p>
            <w:r/>
            <w:r>
              <w:rPr>
                <w:sz w:val="15"/>
              </w:rPr>
              <w:t>+110.7%</w:t>
            </w:r>
          </w:p>
        </w:tc>
        <w:tc>
          <w:tcPr>
            <w:tcW w:type="dxa" w:w="1046"/>
          </w:tcPr>
          <w:p>
            <w:r/>
            <w:r>
              <w:rPr>
                <w:sz w:val="15"/>
              </w:rPr>
              <w:t>[+46.9%, +174.5%]</w:t>
            </w:r>
          </w:p>
        </w:tc>
        <w:tc>
          <w:tcPr>
            <w:tcW w:type="dxa" w:w="1046"/>
          </w:tcPr>
          <w:p>
            <w:r/>
            <w:r>
              <w:rPr>
                <w:sz w:val="15"/>
              </w:rPr>
              <w:t>&lt;0.001 (adj.)</w:t>
            </w:r>
          </w:p>
        </w:tc>
        <w:tc>
          <w:tcPr>
            <w:tcW w:type="dxa" w:w="1046"/>
          </w:tcPr>
          <w:p>
            <w:r/>
            <w:r>
              <w:rPr>
                <w:sz w:val="15"/>
              </w:rPr>
              <w:t>two proportion ztest</w:t>
            </w:r>
          </w:p>
        </w:tc>
      </w:tr>
      <w:tr>
        <w:tc>
          <w:tcPr>
            <w:tcW w:type="dxa" w:w="1046"/>
          </w:tcPr>
          <w:p>
            <w:r/>
            <w:r>
              <w:rPr>
                <w:sz w:val="15"/>
              </w:rPr>
              <w:t>converted</w:t>
            </w:r>
          </w:p>
        </w:tc>
        <w:tc>
          <w:tcPr>
            <w:tcW w:type="dxa" w:w="1046"/>
          </w:tcPr>
          <w:p>
            <w:r/>
            <w:r>
              <w:rPr>
                <w:sz w:val="15"/>
              </w:rPr>
              <w:t>Wednesday</w:t>
            </w:r>
          </w:p>
        </w:tc>
        <w:tc>
          <w:tcPr>
            <w:tcW w:type="dxa" w:w="1046"/>
          </w:tcPr>
          <w:p>
            <w:r/>
            <w:r>
              <w:rPr>
                <w:sz w:val="15"/>
              </w:rPr>
              <w:t>ad vs psa</w:t>
            </w:r>
          </w:p>
        </w:tc>
        <w:tc>
          <w:tcPr>
            <w:tcW w:type="dxa" w:w="1046"/>
          </w:tcPr>
          <w:p>
            <w:r/>
            <w:r>
              <w:rPr>
                <w:sz w:val="15"/>
              </w:rPr>
              <w:t>1.58%</w:t>
            </w:r>
          </w:p>
        </w:tc>
        <w:tc>
          <w:tcPr>
            <w:tcW w:type="dxa" w:w="1046"/>
          </w:tcPr>
          <w:p>
            <w:r/>
            <w:r>
              <w:rPr>
                <w:sz w:val="15"/>
              </w:rPr>
              <w:t>2.54%</w:t>
            </w:r>
          </w:p>
        </w:tc>
        <w:tc>
          <w:tcPr>
            <w:tcW w:type="dxa" w:w="1046"/>
          </w:tcPr>
          <w:p>
            <w:r/>
            <w:r>
              <w:rPr>
                <w:sz w:val="15"/>
              </w:rPr>
              <w:t>+60.9%</w:t>
            </w:r>
          </w:p>
        </w:tc>
        <w:tc>
          <w:tcPr>
            <w:tcW w:type="dxa" w:w="1046"/>
          </w:tcPr>
          <w:p>
            <w:r/>
            <w:r>
              <w:rPr>
                <w:sz w:val="15"/>
              </w:rPr>
              <w:t>[+18.1%, +103.7%]</w:t>
            </w:r>
          </w:p>
        </w:tc>
        <w:tc>
          <w:tcPr>
            <w:tcW w:type="dxa" w:w="1046"/>
          </w:tcPr>
          <w:p>
            <w:r/>
            <w:r>
              <w:rPr>
                <w:sz w:val="15"/>
              </w:rPr>
              <w:t>0.001 (adj.)</w:t>
            </w:r>
          </w:p>
        </w:tc>
        <w:tc>
          <w:tcPr>
            <w:tcW w:type="dxa" w:w="1046"/>
          </w:tcPr>
          <w:p>
            <w:r/>
            <w:r>
              <w:rPr>
                <w:sz w:val="15"/>
              </w:rPr>
              <w:t>two proportion ztest</w:t>
            </w:r>
          </w:p>
        </w:tc>
      </w:tr>
    </w:tbl>
    <w:p/>
    <w:p>
      <w:pPr>
        <w:pStyle w:val="Heading2"/>
      </w:pPr>
      <w:r>
        <w:t>Code index</w:t>
      </w:r>
    </w:p>
    <w:p>
      <w:pPr>
        <w:pStyle w:val="ListBullet"/>
      </w:pPr>
      <w:r>
        <w:rPr>
          <w:b/>
        </w:rPr>
        <w:t xml:space="preserve">10_validate_profile.py: </w:t>
      </w:r>
      <w:r>
        <w:t>Validate and profile the marketing ads-vs-PSA CSV (schema, duplicates, SRM vs the intended split in state.json, outliers, balance) and write data_profile.md.</w:t>
      </w:r>
    </w:p>
    <w:p>
      <w:pPr>
        <w:pStyle w:val="ListBullet"/>
      </w:pPr>
      <w:r>
        <w:rPr>
          <w:b/>
        </w:rPr>
        <w:t xml:space="preserve">11_validate_srm.py: </w:t>
      </w:r>
      <w:r>
        <w:t>SRM check against the intended split (read from state.json design.expected_split) and its localisation:</w:t>
      </w:r>
    </w:p>
    <w:p>
      <w:pPr>
        <w:pStyle w:val="ListBullet"/>
      </w:pPr>
      <w:r>
        <w:rPr>
          <w:b/>
        </w:rPr>
        <w:t xml:space="preserve">20_analysis_bayesian.py: </w:t>
      </w:r>
      <w:r>
        <w:t>Bayesian readout of conversion (ads vs PSA): beta-binomial, prior from settings. Step: bayesian.</w:t>
      </w:r>
    </w:p>
    <w:p>
      <w:pPr>
        <w:pStyle w:val="ListBullet"/>
      </w:pPr>
      <w:r>
        <w:rPr>
          <w:b/>
        </w:rPr>
        <w:t xml:space="preserve">20_analysis_exposure_explore.py: </w:t>
      </w:r>
      <w:r>
        <w:t>EXPLORATORY, non-causal: ads-vs-PSA conversion lift by total-ads bucket and by most-ads day (BH), plus an</w:t>
      </w:r>
    </w:p>
    <w:p>
      <w:pPr>
        <w:pStyle w:val="ListBullet"/>
      </w:pPr>
      <w:r>
        <w:rPr>
          <w:b/>
        </w:rPr>
        <w:t xml:space="preserve">20_analysis_impact.py: </w:t>
      </w:r>
      <w:r>
        <w:t>Incremental impact of the ads, translated from the primary conversion effect. Step: impact.</w:t>
      </w:r>
    </w:p>
    <w:p>
      <w:pPr>
        <w:pStyle w:val="ListBullet"/>
      </w:pPr>
      <w:r>
        <w:rPr>
          <w:b/>
        </w:rPr>
        <w:t xml:space="preserve">20_analysis_primary_test.py: </w:t>
      </w:r>
      <w:r>
        <w:t>Primary test: conversion, ads vs PSA, two-proportion z-test (one pre-registered primary, no correction). Step: primary_test.</w:t>
      </w:r>
    </w:p>
    <w:p>
      <w:pPr>
        <w:pStyle w:val="ListBullet"/>
      </w:pPr>
      <w:r>
        <w:rPr>
          <w:b/>
        </w:rPr>
        <w:t xml:space="preserve">20_analysis_summary.py: </w:t>
      </w:r>
      <w:r>
        <w:t>Decision summary for the ads-vs-PSA test: verdict vs the practical threshold, key numbers, caveats and next steps.</w:t>
      </w:r>
    </w:p>
    <w:p>
      <w:pPr>
        <w:pStyle w:val="ListBullet"/>
      </w:pPr>
      <w:r>
        <w:rPr>
          <w:b/>
        </w:rPr>
        <w:t xml:space="preserve">30_charts_bayes.py: </w:t>
      </w:r>
      <w:r>
        <w:t>Charts for 2026-10-01_marketing-ads: posterior_distributions, prob_to_beat_control (numbers from results.json).</w:t>
      </w:r>
    </w:p>
    <w:p>
      <w:pPr>
        <w:pStyle w:val="ListBullet"/>
      </w:pPr>
      <w:r>
        <w:rPr>
          <w:b/>
        </w:rPr>
        <w:t xml:space="preserve">30_charts_results.py: </w:t>
      </w:r>
      <w:r>
        <w:t>Charts for 2026-10-01_marketing-ads: srm_bar, lift_ci, metric_by_variant (all numbers from results.json).</w:t>
      </w:r>
    </w:p>
    <w:p>
      <w:pPr>
        <w:pStyle w:val="ListBullet"/>
      </w:pPr>
      <w:r>
        <w:rPr>
          <w:b/>
        </w:rPr>
        <w:t xml:space="preserve">30_charts_segments.py: </w:t>
      </w:r>
      <w:r>
        <w:t>Charts for 2026-10-01_marketing-ads: segment_forest by ads-seen bucket (exploratory, not causal).</w:t>
      </w:r>
    </w:p>
    <w:p>
      <w:pPr>
        <w:pStyle w:val="ListBullet"/>
      </w:pPr>
      <w:r>
        <w:rPr>
          <w:b/>
        </w:rPr>
        <w:t xml:space="preserve">40_deck_build.py: </w:t>
      </w:r>
      <w:r>
        <w:t>Build deck.pptx from results.json and charts/manifest.json.</w:t>
      </w:r>
    </w:p>
    <w:p>
      <w:pPr>
        <w:pStyle w:val="ListBullet"/>
      </w:pPr>
      <w:r>
        <w:rPr>
          <w:b/>
        </w:rPr>
        <w:t xml:space="preserve">50_report_build.py: </w:t>
      </w:r>
      <w:r>
        <w:t>Build summary.docx from results.json, intake.md, review.md and charts/manifest.json.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8C8C8C"/>
        <w:sz w:val="16"/>
      </w:rPr>
      <w:t>Marketing campaign: ads vs PSA | 2026-10-01_marketing-ads | every number is sourced from results.json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b w:val="0"/>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b w:val="0"/>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val="0"/>
      <w:color w:val="8C8C8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