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Quarterly Report</w:t>
      </w:r>
    </w:p>
    <w:p>
      <w:r>
        <w:t xml:space="preserve">Sales grew by </w:t>
      </w:r>
      <w:r>
        <w:rPr>
          <w:b/>
        </w:rPr>
        <w:t>24 percent</w:t>
      </w:r>
      <w:r>
        <w:t xml:space="preserve"> this quarter, led by the </w:t>
      </w:r>
      <w:r>
        <w:rPr>
          <w:i/>
        </w:rPr>
        <w:t>western region</w:t>
      </w:r>
      <w:r>
        <w:t>.</w:t>
      </w:r>
    </w:p>
    <w:p>
      <w:pPr>
        <w:pStyle w:val="Heading2"/>
      </w:pPr>
      <w:r>
        <w:t>Highlights</w:t>
      </w:r>
    </w:p>
    <w:p>
      <w:pPr>
        <w:pStyle w:val="ListBullet"/>
      </w:pPr>
      <w:r>
        <w:t>New store in Pune</w:t>
      </w:r>
    </w:p>
    <w:p>
      <w:pPr>
        <w:pStyle w:val="ListBullet"/>
      </w:pPr>
      <w:r>
        <w:t>Online orders doubled</w:t>
      </w:r>
    </w:p>
    <w:p>
      <w:pPr>
        <w:pStyle w:val="ListBullet"/>
      </w:pPr>
      <w:r>
        <w:t>Costs down 8%</w:t>
      </w:r>
    </w:p>
    <w:p>
      <w:pPr>
        <w:pStyle w:val="ListNumber"/>
      </w:pPr>
      <w:r>
        <w:t>Hire two analysts</w:t>
      </w:r>
    </w:p>
    <w:p>
      <w:pPr>
        <w:pStyle w:val="ListNumber"/>
      </w:pPr>
      <w:r>
        <w:t>Open the Nagpur office</w:t>
      </w:r>
    </w:p>
    <w:tbl>
      <w:tblPr>
        <w:tblStyle w:val="TableGrid"/>
        <w:tblW w:type="auto" w:w="0"/>
        <w:tblLook w:firstColumn="1" w:firstRow="1" w:lastColumn="0" w:lastRow="0" w:noHBand="0" w:noVBand="1" w:val="04A0"/>
      </w:tblPr>
      <w:tblGrid>
        <w:gridCol w:w="2880"/>
        <w:gridCol w:w="2880"/>
        <w:gridCol w:w="2880"/>
      </w:tblGrid>
      <w:tr>
        <w:tc>
          <w:tcPr>
            <w:tcW w:type="dxa" w:w="2880"/>
          </w:tcPr>
          <w:p>
            <w:r>
              <w:t>Region</w:t>
            </w:r>
          </w:p>
        </w:tc>
        <w:tc>
          <w:tcPr>
            <w:tcW w:type="dxa" w:w="2880"/>
          </w:tcPr>
          <w:p>
            <w:r>
              <w:t>Q1</w:t>
            </w:r>
          </w:p>
        </w:tc>
        <w:tc>
          <w:tcPr>
            <w:tcW w:type="dxa" w:w="2880"/>
          </w:tcPr>
          <w:p>
            <w:r>
              <w:t>Q2</w:t>
            </w:r>
          </w:p>
        </w:tc>
      </w:tr>
      <w:tr>
        <w:tc>
          <w:tcPr>
            <w:tcW w:type="dxa" w:w="2880"/>
          </w:tcPr>
          <w:p>
            <w:r>
              <w:t>West</w:t>
            </w:r>
          </w:p>
        </w:tc>
        <w:tc>
          <w:tcPr>
            <w:tcW w:type="dxa" w:w="2880"/>
          </w:tcPr>
          <w:p>
            <w:r>
              <w:t>120</w:t>
            </w:r>
          </w:p>
        </w:tc>
        <w:tc>
          <w:tcPr>
            <w:tcW w:type="dxa" w:w="2880"/>
          </w:tcPr>
          <w:p>
            <w:r>
              <w:t>149</w:t>
            </w:r>
          </w:p>
        </w:tc>
      </w:tr>
      <w:tr>
        <w:tc>
          <w:tcPr>
            <w:tcW w:type="dxa" w:w="2880"/>
          </w:tcPr>
          <w:p>
            <w:r>
              <w:t>North</w:t>
            </w:r>
          </w:p>
        </w:tc>
        <w:tc>
          <w:tcPr>
            <w:tcW w:type="dxa" w:w="2880"/>
          </w:tcPr>
          <w:p>
            <w:r>
              <w:t>98</w:t>
            </w:r>
          </w:p>
        </w:tc>
        <w:tc>
          <w:tcPr>
            <w:tcW w:type="dxa" w:w="2880"/>
          </w:tcPr>
          <w:p>
            <w:r>
              <w:t>103</w:t>
            </w:r>
          </w:p>
        </w:tc>
      </w:tr>
    </w:tbl>
    <w:p>
      <w:r>
        <w:drawing>
          <wp:inline xmlns:a="http://schemas.openxmlformats.org/drawingml/2006/main" xmlns:pic="http://schemas.openxmlformats.org/drawingml/2006/picture">
            <wp:extent cx="1828800" cy="914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28800" cy="914400"/>
                    </a:xfrm>
                    <a:prstGeom prst="rect"/>
                  </pic:spPr>
                </pic:pic>
              </a:graphicData>
            </a:graphic>
          </wp:inline>
        </w:drawing>
      </w:r>
    </w:p>
    <w:p>
      <w:r>
        <w:t xml:space="preserve">Long paragraph. Long paragraph. Long paragraph. Long paragraph. Long paragraph. Long paragraph. Long paragraph. Long paragraph. Long paragraph. Long paragraph. Long paragraph. Long paragraph. Long paragraph. Long paragraph. Long paragraph. Long paragraph. Long paragraph. Long paragraph. Long paragraph. Long paragraph. Long paragraph. Long paragraph. Long paragraph. Long paragraph. Long paragraph. Long paragraph. Long paragraph. Long paragraph. Long paragraph. Long paragraph. Long paragraph. Long paragraph. Long paragraph. Long paragraph. Long paragraph. Long paragraph. Long paragraph. Long paragraph. Long paragraph. Long paragraph. Long paragraph. Long paragraph. Long paragraph. Long paragraph. Long paragraph. Long paragraph. Long paragraph. Long paragraph. Long paragraph. Long paragraph. Long paragraph. Long paragraph. Long paragraph. Long paragraph. Long paragraph. Long paragraph. Long paragraph. Long paragraph. Long paragraph. Long paragraph. </w:t>
      </w:r>
    </w:p>
    <w:p>
      <w:r>
        <w:br w:type="page"/>
      </w:r>
    </w:p>
    <w:p>
      <w:pPr>
        <w:pStyle w:val="Heading1"/>
      </w:pPr>
      <w:r>
        <w:t>Appendix</w:t>
      </w:r>
    </w:p>
    <w:p>
      <w:r>
        <w:t>Prepared by Happy PDF tests. Price: ₹1,250.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