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pPr>
      <w:r>
        <w:rPr>
          <w:rFonts w:ascii="Inter" w:hAnsi="Inter"/>
          <w:b/>
          <w:i w:val="0"/>
          <w:color w:val="0F6B78"/>
          <w:sz w:val="16"/>
        </w:rPr>
        <w:t>FINAL PROJECT DELIVERABLE REPORT</w:t>
      </w:r>
    </w:p>
    <w:p>
      <w:pPr>
        <w:spacing w:before="0" w:after="40" w:line="235" w:lineRule="auto"/>
      </w:pPr>
      <w:r>
        <w:rPr>
          <w:rFonts w:ascii="Inter Display" w:hAnsi="Inter Display"/>
          <w:b/>
          <w:i w:val="0"/>
          <w:color w:val="17365D"/>
          <w:sz w:val="46"/>
        </w:rPr>
        <w:t>OrgMind: RAG for</w:t>
        <w:br/>
        <w:t>Organizational Knowledge</w:t>
      </w:r>
    </w:p>
    <w:p>
      <w:pPr>
        <w:spacing w:before="0" w:after="140" w:line="252" w:lineRule="auto"/>
      </w:pPr>
      <w:r>
        <w:rPr>
          <w:rFonts w:ascii="Inter" w:hAnsi="Inter"/>
          <w:b/>
          <w:i w:val="0"/>
          <w:color w:val="2F5597"/>
          <w:sz w:val="18"/>
        </w:rPr>
        <w:t>GraphRAG + Vector RAG + Agentic RAG with LangGraph  |  Neo4j  |  LlamaIndex  |  Nebius  |  Streamlit</w:t>
      </w:r>
    </w:p>
    <w:tbl>
      <w:tblPr>
        <w:tblW w:type="auto" w:w="0"/>
        <w:jc w:val="center"/>
        <w:tblLook w:firstColumn="1" w:firstRow="1" w:lastColumn="0" w:lastRow="0" w:noHBand="0" w:noVBand="1" w:val="04A0"/>
      </w:tblPr>
      <w:tblGrid>
        <w:gridCol w:w="10570"/>
      </w:tblGrid>
      <w:tr>
        <w:tc>
          <w:tcPr>
            <w:tcW w:type="dxa" w:w="10570"/>
            <w:shd w:fill="EAF1F8"/>
            <w:tcMar>
              <w:top w:w="90" w:type="dxa"/>
              <w:start w:w="110" w:type="dxa"/>
              <w:bottom w:w="90" w:type="dxa"/>
              <w:end w:w="110" w:type="dxa"/>
            </w:tcMar>
            <w:tcBorders>
              <w:top w:val="single" w:sz="10" w:color="2F5597"/>
              <w:left w:val="single" w:sz="18" w:color="2F5597"/>
              <w:bottom w:val="single" w:sz="10" w:color="2F5597"/>
              <w:right w:val="single" w:sz="10" w:color="2F5597"/>
            </w:tcBorders>
          </w:tcPr>
          <w:p>
            <w:pPr>
              <w:spacing w:before="0" w:after="40" w:line="252" w:lineRule="auto"/>
            </w:pPr>
            <w:r>
              <w:rPr>
                <w:rFonts w:ascii="Inter" w:hAnsi="Inter"/>
                <w:b/>
                <w:i w:val="0"/>
                <w:color w:val="2F5597"/>
                <w:sz w:val="17"/>
              </w:rPr>
              <w:t xml:space="preserve">Executive summary.  </w:t>
            </w:r>
            <w:r>
              <w:rPr>
                <w:rFonts w:ascii="Inter" w:hAnsi="Inter"/>
                <w:b w:val="0"/>
                <w:i w:val="0"/>
                <w:color w:val="1F2937"/>
                <w:sz w:val="17"/>
              </w:rPr>
              <w:t>OrgMind is a retrieval-augmented assistant for organizational knowledge spanning people, teams, projects, skills, technologies, meetings, documents, and architecture decisions. I first built independent GraphRAG and Vector RAG baselines, evaluated them on the same 10 questions, and then added a LangGraph agent that chooses Graph, Vector, or Hybrid retrieval, grades the evidence, and replans when needed. The final agent achieved the highest average quality score while preserving a transparent, auditable retrieval path.</w:t>
            </w:r>
          </w:p>
        </w:tc>
      </w:tr>
    </w:tbl>
    <w:p>
      <w:pPr>
        <w:keepNext/>
        <w:pageBreakBefore w:val="0"/>
        <w:spacing w:before="100" w:after="80" w:line="240" w:lineRule="auto"/>
      </w:pPr>
      <w:r>
        <w:rPr>
          <w:rFonts w:ascii="Inter Display" w:hAnsi="Inter Display"/>
          <w:b/>
          <w:i w:val="0"/>
          <w:color w:val="17365D"/>
          <w:sz w:val="30"/>
        </w:rPr>
        <w:t>1. Project Overview</w:t>
      </w:r>
    </w:p>
    <w:p>
      <w:pPr>
        <w:spacing w:before="0" w:after="80" w:line="259" w:lineRule="auto"/>
      </w:pPr>
      <w:r>
        <w:rPr>
          <w:rFonts w:ascii="Inter" w:hAnsi="Inter"/>
          <w:b w:val="0"/>
          <w:i w:val="0"/>
          <w:color w:val="1F2937"/>
          <w:sz w:val="18"/>
        </w:rPr>
        <w:t>The project addresses questions where semantic similarity alone may not be enough—for example, identifying people who satisfy both a project and skill constraint, tracing who approved a decision, or following a multi-hop path from team membership to project ownership to architecture decisions. The Week 2 requirement was to build a 20+ node organizational knowledge graph and compare GraphRAG with traditional vector RAG on the same 10 queries. OrgMind extends that scope with an agentic orchestration layer and a Streamlit application.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880"/>
            <w:shd w:fill="17365D"/>
            <w:tcMar>
              <w:top w:w="60" w:type="dxa"/>
              <w:start w:w="80" w:type="dxa"/>
              <w:bottom w:w="60" w:type="dxa"/>
              <w:end w:w="80" w:type="dxa"/>
            </w:tcMar>
          </w:tcPr>
          <w:p>
            <w:r>
              <w:rPr>
                <w:rFonts w:ascii="Inter" w:hAnsi="Inter"/>
                <w:b/>
                <w:i w:val="0"/>
                <w:color w:val="FFFFFF"/>
                <w:sz w:val="16"/>
              </w:rPr>
              <w:t>Objective</w:t>
            </w:r>
          </w:p>
        </w:tc>
        <w:tc>
          <w:tcPr>
            <w:tcW w:type="dxa" w:w="7200"/>
            <w:shd w:fill="17365D"/>
            <w:tcMar>
              <w:top w:w="60" w:type="dxa"/>
              <w:start w:w="80" w:type="dxa"/>
              <w:bottom w:w="60" w:type="dxa"/>
              <w:end w:w="80" w:type="dxa"/>
            </w:tcMar>
          </w:tcPr>
          <w:p>
            <w:r>
              <w:rPr>
                <w:rFonts w:ascii="Inter" w:hAnsi="Inter"/>
                <w:b/>
                <w:i w:val="0"/>
                <w:color w:val="FFFFFF"/>
                <w:sz w:val="16"/>
              </w:rPr>
              <w:t>Implementation</w:t>
            </w:r>
          </w:p>
        </w:tc>
      </w:tr>
      <w:tr>
        <w:tc>
          <w:tcPr>
            <w:tcW w:type="dxa" w:w="2880"/>
            <w:shd w:fill="FFFFFF"/>
            <w:tcMar>
              <w:top w:w="55" w:type="dxa"/>
              <w:start w:w="80" w:type="dxa"/>
              <w:bottom w:w="55" w:type="dxa"/>
              <w:end w:w="80" w:type="dxa"/>
            </w:tcMar>
          </w:tcPr>
          <w:p>
            <w:pPr>
              <w:spacing w:before="0" w:after="0" w:line="240" w:lineRule="auto"/>
            </w:pPr>
            <w:r>
              <w:rPr>
                <w:rFonts w:ascii="Inter" w:hAnsi="Inter"/>
                <w:b/>
                <w:i w:val="0"/>
                <w:color w:val="1F2937"/>
                <w:sz w:val="16"/>
              </w:rPr>
              <w:t>Model organizational knowledge</w:t>
            </w:r>
          </w:p>
        </w:tc>
        <w:tc>
          <w:tcPr>
            <w:tcW w:type="dxa" w:w="7200"/>
            <w:shd w:fill="FFFFFF"/>
            <w:tcMar>
              <w:top w:w="55" w:type="dxa"/>
              <w:start w:w="80" w:type="dxa"/>
              <w:bottom w:w="55" w:type="dxa"/>
              <w:end w:w="80" w:type="dxa"/>
            </w:tcMar>
          </w:tcPr>
          <w:p>
            <w:pPr>
              <w:spacing w:before="0" w:after="0" w:line="240" w:lineRule="auto"/>
            </w:pPr>
            <w:r>
              <w:rPr>
                <w:rFonts w:ascii="Inter" w:hAnsi="Inter"/>
                <w:b w:val="0"/>
                <w:i w:val="0"/>
                <w:color w:val="1F2937"/>
                <w:sz w:val="16"/>
              </w:rPr>
              <w:t>Neo4j graph across people, teams, projects, skills, technologies, decisions, meetings, and documents.</w:t>
            </w:r>
          </w:p>
        </w:tc>
      </w:tr>
      <w:tr>
        <w:tc>
          <w:tcPr>
            <w:tcW w:type="dxa" w:w="2880"/>
            <w:shd w:fill="F2F4F7"/>
            <w:tcMar>
              <w:top w:w="55" w:type="dxa"/>
              <w:start w:w="80" w:type="dxa"/>
              <w:bottom w:w="55" w:type="dxa"/>
              <w:end w:w="80" w:type="dxa"/>
            </w:tcMar>
          </w:tcPr>
          <w:p>
            <w:pPr>
              <w:spacing w:before="0" w:after="0" w:line="240" w:lineRule="auto"/>
            </w:pPr>
            <w:r>
              <w:rPr>
                <w:rFonts w:ascii="Inter" w:hAnsi="Inter"/>
                <w:b/>
                <w:i w:val="0"/>
                <w:color w:val="1F2937"/>
                <w:sz w:val="16"/>
              </w:rPr>
              <w:t>Compare retrieval approaches</w:t>
            </w:r>
          </w:p>
        </w:tc>
        <w:tc>
          <w:tcPr>
            <w:tcW w:type="dxa" w:w="7200"/>
            <w:shd w:fill="F2F4F7"/>
            <w:tcMar>
              <w:top w:w="55" w:type="dxa"/>
              <w:start w:w="80" w:type="dxa"/>
              <w:bottom w:w="55" w:type="dxa"/>
              <w:end w:w="80" w:type="dxa"/>
            </w:tcMar>
          </w:tcPr>
          <w:p>
            <w:pPr>
              <w:spacing w:before="0" w:after="0" w:line="240" w:lineRule="auto"/>
            </w:pPr>
            <w:r>
              <w:rPr>
                <w:rFonts w:ascii="Inter" w:hAnsi="Inter"/>
                <w:b w:val="0"/>
                <w:i w:val="0"/>
                <w:color w:val="1F2937"/>
                <w:sz w:val="16"/>
              </w:rPr>
              <w:t>Controlled GraphRAG vs. Vector RAG benchmark using the same 10 questions, answer model, and evaluation rubric.</w:t>
            </w:r>
          </w:p>
        </w:tc>
      </w:tr>
      <w:tr>
        <w:tc>
          <w:tcPr>
            <w:tcW w:type="dxa" w:w="2880"/>
            <w:shd w:fill="FFFFFF"/>
            <w:tcMar>
              <w:top w:w="55" w:type="dxa"/>
              <w:start w:w="80" w:type="dxa"/>
              <w:bottom w:w="55" w:type="dxa"/>
              <w:end w:w="80" w:type="dxa"/>
            </w:tcMar>
          </w:tcPr>
          <w:p>
            <w:pPr>
              <w:spacing w:before="0" w:after="0" w:line="240" w:lineRule="auto"/>
            </w:pPr>
            <w:r>
              <w:rPr>
                <w:rFonts w:ascii="Inter" w:hAnsi="Inter"/>
                <w:b/>
                <w:i w:val="0"/>
                <w:color w:val="1F2937"/>
                <w:sz w:val="16"/>
              </w:rPr>
              <w:t>Add agentic behavior</w:t>
            </w:r>
          </w:p>
        </w:tc>
        <w:tc>
          <w:tcPr>
            <w:tcW w:type="dxa" w:w="7200"/>
            <w:shd w:fill="FFFFFF"/>
            <w:tcMar>
              <w:top w:w="55" w:type="dxa"/>
              <w:start w:w="80" w:type="dxa"/>
              <w:bottom w:w="55" w:type="dxa"/>
              <w:end w:w="80" w:type="dxa"/>
            </w:tcMar>
          </w:tcPr>
          <w:p>
            <w:pPr>
              <w:spacing w:before="0" w:after="0" w:line="240" w:lineRule="auto"/>
            </w:pPr>
            <w:r>
              <w:rPr>
                <w:rFonts w:ascii="Inter" w:hAnsi="Inter"/>
                <w:b w:val="0"/>
                <w:i w:val="0"/>
                <w:color w:val="1F2937"/>
                <w:sz w:val="16"/>
              </w:rPr>
              <w:t>LangGraph planner → Graph / Vector / Hybrid retrieval → evidence grader → optional replanning → grounded answer.</w:t>
            </w:r>
          </w:p>
        </w:tc>
      </w:tr>
      <w:tr>
        <w:tc>
          <w:tcPr>
            <w:tcW w:type="dxa" w:w="2880"/>
            <w:shd w:fill="F2F4F7"/>
            <w:tcMar>
              <w:top w:w="55" w:type="dxa"/>
              <w:start w:w="80" w:type="dxa"/>
              <w:bottom w:w="55" w:type="dxa"/>
              <w:end w:w="80" w:type="dxa"/>
            </w:tcMar>
          </w:tcPr>
          <w:p>
            <w:pPr>
              <w:spacing w:before="0" w:after="0" w:line="240" w:lineRule="auto"/>
            </w:pPr>
            <w:r>
              <w:rPr>
                <w:rFonts w:ascii="Inter" w:hAnsi="Inter"/>
                <w:b/>
                <w:i w:val="0"/>
                <w:color w:val="1F2937"/>
                <w:sz w:val="16"/>
              </w:rPr>
              <w:t>Make behavior observable</w:t>
            </w:r>
          </w:p>
        </w:tc>
        <w:tc>
          <w:tcPr>
            <w:tcW w:type="dxa" w:w="7200"/>
            <w:shd w:fill="F2F4F7"/>
            <w:tcMar>
              <w:top w:w="55" w:type="dxa"/>
              <w:start w:w="80" w:type="dxa"/>
              <w:bottom w:w="55" w:type="dxa"/>
              <w:end w:w="80" w:type="dxa"/>
            </w:tcMar>
          </w:tcPr>
          <w:p>
            <w:pPr>
              <w:spacing w:before="0" w:after="0" w:line="240" w:lineRule="auto"/>
            </w:pPr>
            <w:r>
              <w:rPr>
                <w:rFonts w:ascii="Inter" w:hAnsi="Inter"/>
                <w:b w:val="0"/>
                <w:i w:val="0"/>
                <w:color w:val="1F2937"/>
                <w:sz w:val="16"/>
              </w:rPr>
              <w:t>Streamlit UI exposes the selected route, attempts, final answer, and retrieval evidence instead of hiding agent decisions.</w:t>
            </w:r>
          </w:p>
        </w:tc>
      </w:tr>
    </w:tbl>
    <w:p>
      <w:pPr>
        <w:keepNext/>
        <w:pageBreakBefore w:val="0"/>
        <w:spacing w:before="60" w:after="80" w:line="240" w:lineRule="auto"/>
      </w:pPr>
      <w:r>
        <w:rPr>
          <w:rFonts w:ascii="Inter Display" w:hAnsi="Inter Display"/>
          <w:b/>
          <w:i w:val="0"/>
          <w:color w:val="2F5597"/>
          <w:sz w:val="23"/>
        </w:rPr>
        <w:t>System Architecture</w:t>
      </w:r>
    </w:p>
    <w:tbl>
      <w:tblPr>
        <w:tblW w:type="auto" w:w="0"/>
        <w:jc w:val="center"/>
        <w:tblLayout w:type="fixed"/>
        <w:tblLook w:firstColumn="1" w:firstRow="1" w:lastColumn="0" w:lastRow="0" w:noHBand="0" w:noVBand="1" w:val="04A0"/>
      </w:tblPr>
      <w:tblGrid>
        <w:gridCol w:w="2114"/>
        <w:gridCol w:w="2114"/>
        <w:gridCol w:w="2114"/>
        <w:gridCol w:w="2114"/>
        <w:gridCol w:w="2114"/>
      </w:tblGrid>
      <w:tr>
        <w:tc>
          <w:tcPr>
            <w:tcW w:type="dxa" w:w="2015"/>
            <w:shd w:fill="17365D"/>
            <w:tcMar>
              <w:top w:w="70" w:type="dxa"/>
              <w:start w:w="45" w:type="dxa"/>
              <w:bottom w:w="70" w:type="dxa"/>
              <w:end w:w="45" w:type="dxa"/>
            </w:tcMar>
          </w:tcPr>
          <w:p>
            <w:pPr>
              <w:spacing w:before="0" w:after="0" w:line="252" w:lineRule="auto"/>
              <w:jc w:val="center"/>
            </w:pPr>
            <w:r>
              <w:rPr>
                <w:rFonts w:ascii="Inter" w:hAnsi="Inter"/>
                <w:b/>
                <w:i w:val="0"/>
                <w:color w:val="FFFFFF"/>
                <w:sz w:val="15"/>
              </w:rPr>
              <w:t>Question</w:t>
            </w:r>
          </w:p>
        </w:tc>
        <w:tc>
          <w:tcPr>
            <w:tcW w:type="dxa" w:w="2015"/>
            <w:shd w:fill="2F5597"/>
            <w:tcMar>
              <w:top w:w="70" w:type="dxa"/>
              <w:start w:w="45" w:type="dxa"/>
              <w:bottom w:w="70" w:type="dxa"/>
              <w:end w:w="45" w:type="dxa"/>
            </w:tcMar>
          </w:tcPr>
          <w:p>
            <w:pPr>
              <w:spacing w:before="0" w:after="0" w:line="252" w:lineRule="auto"/>
              <w:jc w:val="center"/>
            </w:pPr>
            <w:r>
              <w:rPr>
                <w:rFonts w:ascii="Inter" w:hAnsi="Inter"/>
                <w:b/>
                <w:i w:val="0"/>
                <w:color w:val="FFFFFF"/>
                <w:sz w:val="15"/>
              </w:rPr>
              <w:t>LLM Planner</w:t>
            </w:r>
          </w:p>
        </w:tc>
        <w:tc>
          <w:tcPr>
            <w:tcW w:type="dxa" w:w="2015"/>
            <w:shd w:fill="0F6B78"/>
            <w:tcMar>
              <w:top w:w="70" w:type="dxa"/>
              <w:start w:w="45" w:type="dxa"/>
              <w:bottom w:w="70" w:type="dxa"/>
              <w:end w:w="45" w:type="dxa"/>
            </w:tcMar>
          </w:tcPr>
          <w:p>
            <w:pPr>
              <w:spacing w:before="0" w:after="0" w:line="252" w:lineRule="auto"/>
              <w:jc w:val="center"/>
            </w:pPr>
            <w:r>
              <w:rPr>
                <w:rFonts w:ascii="Inter" w:hAnsi="Inter"/>
                <w:b/>
                <w:i w:val="0"/>
                <w:color w:val="FFFFFF"/>
                <w:sz w:val="15"/>
              </w:rPr>
              <w:t>Graph / Vector /</w:t>
              <w:br/>
              <w:t>Hybrid</w:t>
            </w:r>
          </w:p>
        </w:tc>
        <w:tc>
          <w:tcPr>
            <w:tcW w:type="dxa" w:w="2015"/>
            <w:shd w:fill="2F5597"/>
            <w:tcMar>
              <w:top w:w="70" w:type="dxa"/>
              <w:start w:w="45" w:type="dxa"/>
              <w:bottom w:w="70" w:type="dxa"/>
              <w:end w:w="45" w:type="dxa"/>
            </w:tcMar>
          </w:tcPr>
          <w:p>
            <w:pPr>
              <w:spacing w:before="0" w:after="0" w:line="252" w:lineRule="auto"/>
              <w:jc w:val="center"/>
            </w:pPr>
            <w:r>
              <w:rPr>
                <w:rFonts w:ascii="Inter" w:hAnsi="Inter"/>
                <w:b/>
                <w:i w:val="0"/>
                <w:color w:val="FFFFFF"/>
                <w:sz w:val="15"/>
              </w:rPr>
              <w:t>Evidence Grader</w:t>
            </w:r>
          </w:p>
        </w:tc>
        <w:tc>
          <w:tcPr>
            <w:tcW w:type="dxa" w:w="2015"/>
            <w:shd w:fill="17365D"/>
            <w:tcMar>
              <w:top w:w="70" w:type="dxa"/>
              <w:start w:w="45" w:type="dxa"/>
              <w:bottom w:w="70" w:type="dxa"/>
              <w:end w:w="45" w:type="dxa"/>
            </w:tcMar>
          </w:tcPr>
          <w:p>
            <w:pPr>
              <w:spacing w:before="0" w:after="0" w:line="252" w:lineRule="auto"/>
              <w:jc w:val="center"/>
            </w:pPr>
            <w:r>
              <w:rPr>
                <w:rFonts w:ascii="Inter" w:hAnsi="Inter"/>
                <w:b/>
                <w:i w:val="0"/>
                <w:color w:val="FFFFFF"/>
                <w:sz w:val="15"/>
              </w:rPr>
              <w:t>Grounded Answer</w:t>
            </w:r>
          </w:p>
        </w:tc>
      </w:tr>
      <w:tr>
        <w:tc>
          <w:tcPr>
            <w:tcW w:type="dxa" w:w="2015"/>
            <w:shd w:fill="F2F4F7"/>
            <w:tcMar>
              <w:top w:w="55" w:type="dxa"/>
              <w:start w:w="45" w:type="dxa"/>
              <w:bottom w:w="55" w:type="dxa"/>
              <w:end w:w="45" w:type="dxa"/>
            </w:tcMar>
          </w:tcPr>
          <w:p>
            <w:pPr>
              <w:spacing w:before="0" w:after="0" w:line="252" w:lineRule="auto"/>
              <w:jc w:val="center"/>
            </w:pPr>
            <w:r>
              <w:rPr>
                <w:rFonts w:ascii="Inter" w:hAnsi="Inter"/>
                <w:b w:val="0"/>
                <w:i w:val="0"/>
                <w:color w:val="1F2937"/>
                <w:sz w:val="14"/>
              </w:rPr>
              <w:t>User query</w:t>
            </w:r>
          </w:p>
        </w:tc>
        <w:tc>
          <w:tcPr>
            <w:tcW w:type="dxa" w:w="2015"/>
            <w:shd w:fill="F2F4F7"/>
            <w:tcMar>
              <w:top w:w="55" w:type="dxa"/>
              <w:start w:w="45" w:type="dxa"/>
              <w:bottom w:w="55" w:type="dxa"/>
              <w:end w:w="45" w:type="dxa"/>
            </w:tcMar>
          </w:tcPr>
          <w:p>
            <w:pPr>
              <w:spacing w:before="0" w:after="0" w:line="252" w:lineRule="auto"/>
              <w:jc w:val="center"/>
            </w:pPr>
            <w:r>
              <w:rPr>
                <w:rFonts w:ascii="Inter" w:hAnsi="Inter"/>
                <w:b w:val="0"/>
                <w:i w:val="0"/>
                <w:color w:val="1F2937"/>
                <w:sz w:val="14"/>
              </w:rPr>
              <w:t>Select route +</w:t>
              <w:br/>
              <w:t>graph intent</w:t>
            </w:r>
          </w:p>
        </w:tc>
        <w:tc>
          <w:tcPr>
            <w:tcW w:type="dxa" w:w="2015"/>
            <w:shd w:fill="F2F4F7"/>
            <w:tcMar>
              <w:top w:w="55" w:type="dxa"/>
              <w:start w:w="45" w:type="dxa"/>
              <w:bottom w:w="55" w:type="dxa"/>
              <w:end w:w="45" w:type="dxa"/>
            </w:tcMar>
          </w:tcPr>
          <w:p>
            <w:pPr>
              <w:spacing w:before="0" w:after="0" w:line="252" w:lineRule="auto"/>
              <w:jc w:val="center"/>
            </w:pPr>
            <w:r>
              <w:rPr>
                <w:rFonts w:ascii="Inter" w:hAnsi="Inter"/>
                <w:b w:val="0"/>
                <w:i w:val="0"/>
                <w:color w:val="1F2937"/>
                <w:sz w:val="14"/>
              </w:rPr>
              <w:t>Neo4j graph and/or</w:t>
              <w:br/>
              <w:t>vector index</w:t>
            </w:r>
          </w:p>
        </w:tc>
        <w:tc>
          <w:tcPr>
            <w:tcW w:type="dxa" w:w="2015"/>
            <w:shd w:fill="F2F4F7"/>
            <w:tcMar>
              <w:top w:w="55" w:type="dxa"/>
              <w:start w:w="45" w:type="dxa"/>
              <w:bottom w:w="55" w:type="dxa"/>
              <w:end w:w="45" w:type="dxa"/>
            </w:tcMar>
          </w:tcPr>
          <w:p>
            <w:pPr>
              <w:spacing w:before="0" w:after="0" w:line="252" w:lineRule="auto"/>
              <w:jc w:val="center"/>
            </w:pPr>
            <w:r>
              <w:rPr>
                <w:rFonts w:ascii="Inter" w:hAnsi="Inter"/>
                <w:b w:val="0"/>
                <w:i w:val="0"/>
                <w:color w:val="1F2937"/>
                <w:sz w:val="14"/>
              </w:rPr>
              <w:t>Check sufficiency;</w:t>
              <w:br/>
              <w:t>replan if needed</w:t>
            </w:r>
          </w:p>
        </w:tc>
        <w:tc>
          <w:tcPr>
            <w:tcW w:type="dxa" w:w="2015"/>
            <w:shd w:fill="F2F4F7"/>
            <w:tcMar>
              <w:top w:w="55" w:type="dxa"/>
              <w:start w:w="45" w:type="dxa"/>
              <w:bottom w:w="55" w:type="dxa"/>
              <w:end w:w="45" w:type="dxa"/>
            </w:tcMar>
          </w:tcPr>
          <w:p>
            <w:pPr>
              <w:spacing w:before="0" w:after="0" w:line="252" w:lineRule="auto"/>
              <w:jc w:val="center"/>
            </w:pPr>
            <w:r>
              <w:rPr>
                <w:rFonts w:ascii="Inter" w:hAnsi="Inter"/>
                <w:b w:val="0"/>
                <w:i w:val="0"/>
                <w:color w:val="1F2937"/>
                <w:sz w:val="14"/>
              </w:rPr>
              <w:t>Use retrieved</w:t>
              <w:br/>
              <w:t>evidence only</w:t>
            </w:r>
          </w:p>
        </w:tc>
      </w:tr>
    </w:tbl>
    <w:p>
      <w:pPr>
        <w:spacing w:before="120" w:after="40" w:line="252" w:lineRule="auto"/>
      </w:pPr>
      <w:r>
        <w:rPr>
          <w:rFonts w:ascii="Inter" w:hAnsi="Inter"/>
          <w:b/>
          <w:i w:val="0"/>
          <w:color w:val="17365D"/>
          <w:sz w:val="16"/>
        </w:rPr>
        <w:t>Final evaluation snapshot</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2592"/>
            <w:shd w:fill="EAF1F8"/>
            <w:tcMar>
              <w:top w:w="90" w:type="dxa"/>
              <w:start w:w="85" w:type="dxa"/>
              <w:bottom w:w="80" w:type="dxa"/>
              <w:end w:w="85" w:type="dxa"/>
            </w:tcMar>
            <w:tcBorders>
              <w:top w:val="single" w:sz="8" w:color="EAF1F8"/>
              <w:left w:val="single" w:sz="8" w:color="EAF1F8"/>
              <w:bottom w:val="single" w:sz="8" w:color="EAF1F8"/>
              <w:right w:val="single" w:sz="8" w:color="EAF1F8"/>
            </w:tcBorders>
            <w:vAlign w:val="center"/>
          </w:tcPr>
          <w:p>
            <w:pPr>
              <w:spacing w:before="0" w:after="20" w:line="252" w:lineRule="auto"/>
              <w:jc w:val="center"/>
            </w:pPr>
            <w:r>
              <w:rPr>
                <w:rFonts w:ascii="Inter" w:hAnsi="Inter"/>
                <w:b/>
                <w:i w:val="0"/>
                <w:color w:val="17365D"/>
                <w:sz w:val="30"/>
              </w:rPr>
              <w:t>88.3%</w:t>
            </w:r>
          </w:p>
          <w:p>
            <w:pPr>
              <w:spacing w:before="0" w:after="0" w:line="252" w:lineRule="auto"/>
              <w:jc w:val="center"/>
            </w:pPr>
            <w:r>
              <w:rPr>
                <w:rFonts w:ascii="Inter" w:hAnsi="Inter"/>
                <w:b/>
                <w:i w:val="0"/>
                <w:color w:val="1F2937"/>
                <w:sz w:val="14"/>
              </w:rPr>
              <w:t>GraphRAG avg. quality</w:t>
            </w:r>
          </w:p>
          <w:p>
            <w:pPr>
              <w:spacing w:before="0" w:after="0" w:line="252" w:lineRule="auto"/>
              <w:jc w:val="center"/>
            </w:pPr>
            <w:r>
              <w:rPr>
                <w:rFonts w:ascii="Inter" w:hAnsi="Inter"/>
                <w:b w:val="0"/>
                <w:i w:val="0"/>
                <w:color w:val="667085"/>
                <w:sz w:val="13"/>
              </w:rPr>
              <w:t>static baseline</w:t>
            </w:r>
          </w:p>
        </w:tc>
        <w:tc>
          <w:tcPr>
            <w:tcW w:type="dxa" w:w="2592"/>
            <w:shd w:fill="F2F4F7"/>
            <w:tcMar>
              <w:top w:w="90" w:type="dxa"/>
              <w:start w:w="85" w:type="dxa"/>
              <w:bottom w:w="80" w:type="dxa"/>
              <w:end w:w="85" w:type="dxa"/>
            </w:tcMar>
            <w:tcBorders>
              <w:top w:val="single" w:sz="8" w:color="F2F4F7"/>
              <w:left w:val="single" w:sz="8" w:color="F2F4F7"/>
              <w:bottom w:val="single" w:sz="8" w:color="F2F4F7"/>
              <w:right w:val="single" w:sz="8" w:color="F2F4F7"/>
            </w:tcBorders>
            <w:vAlign w:val="center"/>
          </w:tcPr>
          <w:p>
            <w:pPr>
              <w:spacing w:before="0" w:after="20" w:line="252" w:lineRule="auto"/>
              <w:jc w:val="center"/>
            </w:pPr>
            <w:r>
              <w:rPr>
                <w:rFonts w:ascii="Inter" w:hAnsi="Inter"/>
                <w:b/>
                <w:i w:val="0"/>
                <w:color w:val="17365D"/>
                <w:sz w:val="30"/>
              </w:rPr>
              <w:t>85.0%</w:t>
            </w:r>
          </w:p>
          <w:p>
            <w:pPr>
              <w:spacing w:before="0" w:after="0" w:line="252" w:lineRule="auto"/>
              <w:jc w:val="center"/>
            </w:pPr>
            <w:r>
              <w:rPr>
                <w:rFonts w:ascii="Inter" w:hAnsi="Inter"/>
                <w:b/>
                <w:i w:val="0"/>
                <w:color w:val="1F2937"/>
                <w:sz w:val="14"/>
              </w:rPr>
              <w:t>VectorRAG avg. quality</w:t>
            </w:r>
          </w:p>
          <w:p>
            <w:pPr>
              <w:spacing w:before="0" w:after="0" w:line="252" w:lineRule="auto"/>
              <w:jc w:val="center"/>
            </w:pPr>
            <w:r>
              <w:rPr>
                <w:rFonts w:ascii="Inter" w:hAnsi="Inter"/>
                <w:b w:val="0"/>
                <w:i w:val="0"/>
                <w:color w:val="667085"/>
                <w:sz w:val="13"/>
              </w:rPr>
              <w:t>static baseline</w:t>
            </w:r>
          </w:p>
        </w:tc>
        <w:tc>
          <w:tcPr>
            <w:tcW w:type="dxa" w:w="2592"/>
            <w:shd w:fill="E8F5EE"/>
            <w:tcMar>
              <w:top w:w="90" w:type="dxa"/>
              <w:start w:w="85" w:type="dxa"/>
              <w:bottom w:w="80" w:type="dxa"/>
              <w:end w:w="85" w:type="dxa"/>
            </w:tcMar>
            <w:tcBorders>
              <w:top w:val="single" w:sz="8" w:color="E8F5EE"/>
              <w:left w:val="single" w:sz="8" w:color="E8F5EE"/>
              <w:bottom w:val="single" w:sz="8" w:color="E8F5EE"/>
              <w:right w:val="single" w:sz="8" w:color="E8F5EE"/>
            </w:tcBorders>
            <w:vAlign w:val="center"/>
          </w:tcPr>
          <w:p>
            <w:pPr>
              <w:spacing w:before="0" w:after="20" w:line="252" w:lineRule="auto"/>
              <w:jc w:val="center"/>
            </w:pPr>
            <w:r>
              <w:rPr>
                <w:rFonts w:ascii="Inter" w:hAnsi="Inter"/>
                <w:b/>
                <w:i w:val="0"/>
                <w:color w:val="17365D"/>
                <w:sz w:val="30"/>
              </w:rPr>
              <w:t>98.3%</w:t>
            </w:r>
          </w:p>
          <w:p>
            <w:pPr>
              <w:spacing w:before="0" w:after="0" w:line="252" w:lineRule="auto"/>
              <w:jc w:val="center"/>
            </w:pPr>
            <w:r>
              <w:rPr>
                <w:rFonts w:ascii="Inter" w:hAnsi="Inter"/>
                <w:b/>
                <w:i w:val="0"/>
                <w:color w:val="1F2937"/>
                <w:sz w:val="14"/>
              </w:rPr>
              <w:t>Agentic RAG avg. quality</w:t>
            </w:r>
          </w:p>
          <w:p>
            <w:pPr>
              <w:spacing w:before="0" w:after="0" w:line="252" w:lineRule="auto"/>
              <w:jc w:val="center"/>
            </w:pPr>
            <w:r>
              <w:rPr>
                <w:rFonts w:ascii="Inter" w:hAnsi="Inter"/>
                <w:b w:val="0"/>
                <w:i w:val="0"/>
                <w:color w:val="667085"/>
                <w:sz w:val="13"/>
              </w:rPr>
              <w:t>best overall</w:t>
            </w:r>
          </w:p>
        </w:tc>
        <w:tc>
          <w:tcPr>
            <w:tcW w:type="dxa" w:w="2592"/>
            <w:shd w:fill="FFF3E0"/>
            <w:tcMar>
              <w:top w:w="90" w:type="dxa"/>
              <w:start w:w="85" w:type="dxa"/>
              <w:bottom w:w="80" w:type="dxa"/>
              <w:end w:w="85" w:type="dxa"/>
            </w:tcMar>
            <w:tcBorders>
              <w:top w:val="single" w:sz="8" w:color="FFF3E0"/>
              <w:left w:val="single" w:sz="8" w:color="FFF3E0"/>
              <w:bottom w:val="single" w:sz="8" w:color="FFF3E0"/>
              <w:right w:val="single" w:sz="8" w:color="FFF3E0"/>
            </w:tcBorders>
            <w:vAlign w:val="center"/>
          </w:tcPr>
          <w:p>
            <w:pPr>
              <w:spacing w:before="0" w:after="20" w:line="252" w:lineRule="auto"/>
              <w:jc w:val="center"/>
            </w:pPr>
            <w:r>
              <w:rPr>
                <w:rFonts w:ascii="Inter" w:hAnsi="Inter"/>
                <w:b/>
                <w:i w:val="0"/>
                <w:color w:val="17365D"/>
                <w:sz w:val="30"/>
              </w:rPr>
              <w:t>15.4s</w:t>
            </w:r>
          </w:p>
          <w:p>
            <w:pPr>
              <w:spacing w:before="0" w:after="0" w:line="252" w:lineRule="auto"/>
              <w:jc w:val="center"/>
            </w:pPr>
            <w:r>
              <w:rPr>
                <w:rFonts w:ascii="Inter" w:hAnsi="Inter"/>
                <w:b/>
                <w:i w:val="0"/>
                <w:color w:val="1F2937"/>
                <w:sz w:val="14"/>
              </w:rPr>
              <w:t>Agentic avg. latency</w:t>
            </w:r>
          </w:p>
          <w:p>
            <w:pPr>
              <w:spacing w:before="0" w:after="0" w:line="252" w:lineRule="auto"/>
              <w:jc w:val="center"/>
            </w:pPr>
            <w:r>
              <w:rPr>
                <w:rFonts w:ascii="Inter" w:hAnsi="Inter"/>
                <w:b w:val="0"/>
                <w:i w:val="0"/>
                <w:color w:val="667085"/>
                <w:sz w:val="13"/>
              </w:rPr>
              <w:t>vs. 1.5s Graph / 2.3s Vector</w:t>
            </w:r>
          </w:p>
        </w:tc>
      </w:tr>
    </w:tbl>
    <w:p>
      <w:pPr>
        <w:keepNext/>
        <w:pageBreakBefore/>
        <w:spacing w:before="100" w:after="80" w:line="240" w:lineRule="auto"/>
      </w:pPr>
      <w:r>
        <w:rPr>
          <w:rFonts w:ascii="Inter Display" w:hAnsi="Inter Display"/>
          <w:b/>
          <w:i w:val="0"/>
          <w:color w:val="17365D"/>
          <w:sz w:val="30"/>
        </w:rPr>
        <w:t>2. Dataset, Knowledge Model, and Retrieval Design</w:t>
      </w:r>
    </w:p>
    <w:p>
      <w:pPr>
        <w:spacing w:before="0" w:after="80" w:line="259" w:lineRule="auto"/>
      </w:pPr>
      <w:r>
        <w:rPr>
          <w:rFonts w:ascii="Inter" w:hAnsi="Inter"/>
          <w:b w:val="0"/>
          <w:i w:val="0"/>
          <w:color w:val="1F2937"/>
          <w:sz w:val="18"/>
        </w:rPr>
        <w:t>To keep the experiment reproducible and avoid using private company data, I created a synthetic but internally consistent “Acme AI” organizational corpus. The dataset deliberately mixes direct facts, narrative explanations, and cross-entity relationships so that some questions are easy for vector search while others require graph traversal.</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376"/>
            <w:shd w:fill="17365D"/>
            <w:tcMar>
              <w:top w:w="55" w:type="dxa"/>
              <w:start w:w="70" w:type="dxa"/>
              <w:bottom w:w="55" w:type="dxa"/>
              <w:end w:w="70" w:type="dxa"/>
            </w:tcMar>
          </w:tcPr>
          <w:p>
            <w:r>
              <w:rPr>
                <w:rFonts w:ascii="Inter" w:hAnsi="Inter"/>
                <w:b/>
                <w:i w:val="0"/>
                <w:color w:val="FFFFFF"/>
                <w:sz w:val="15"/>
              </w:rPr>
              <w:t>Document type</w:t>
            </w:r>
          </w:p>
        </w:tc>
        <w:tc>
          <w:tcPr>
            <w:tcW w:type="dxa" w:w="936"/>
            <w:shd w:fill="17365D"/>
            <w:tcMar>
              <w:top w:w="55" w:type="dxa"/>
              <w:start w:w="70" w:type="dxa"/>
              <w:bottom w:w="55" w:type="dxa"/>
              <w:end w:w="70" w:type="dxa"/>
            </w:tcMar>
          </w:tcPr>
          <w:p>
            <w:r>
              <w:rPr>
                <w:rFonts w:ascii="Inter" w:hAnsi="Inter"/>
                <w:b/>
                <w:i w:val="0"/>
                <w:color w:val="FFFFFF"/>
                <w:sz w:val="15"/>
              </w:rPr>
              <w:t>Count</w:t>
            </w:r>
          </w:p>
        </w:tc>
        <w:tc>
          <w:tcPr>
            <w:tcW w:type="dxa" w:w="6768"/>
            <w:shd w:fill="17365D"/>
            <w:tcMar>
              <w:top w:w="55" w:type="dxa"/>
              <w:start w:w="70" w:type="dxa"/>
              <w:bottom w:w="55" w:type="dxa"/>
              <w:end w:w="70" w:type="dxa"/>
            </w:tcMar>
          </w:tcPr>
          <w:p>
            <w:r>
              <w:rPr>
                <w:rFonts w:ascii="Inter" w:hAnsi="Inter"/>
                <w:b/>
                <w:i w:val="0"/>
                <w:color w:val="FFFFFF"/>
                <w:sz w:val="15"/>
              </w:rPr>
              <w:t>Primary information</w:t>
            </w:r>
          </w:p>
        </w:tc>
      </w:tr>
      <w:tr>
        <w:tc>
          <w:tcPr>
            <w:tcW w:type="dxa" w:w="2376"/>
            <w:shd w:fill="FFFFFF"/>
            <w:tcMar>
              <w:top w:w="48" w:type="dxa"/>
              <w:start w:w="70" w:type="dxa"/>
              <w:bottom w:w="48" w:type="dxa"/>
              <w:end w:w="70" w:type="dxa"/>
            </w:tcMar>
          </w:tcPr>
          <w:p>
            <w:pPr>
              <w:spacing w:before="0" w:after="0" w:line="240" w:lineRule="auto"/>
            </w:pPr>
            <w:r>
              <w:rPr>
                <w:rFonts w:ascii="Inter" w:hAnsi="Inter"/>
                <w:b/>
                <w:i w:val="0"/>
                <w:color w:val="1F2937"/>
                <w:sz w:val="16"/>
              </w:rPr>
              <w:t>People profiles</w:t>
            </w:r>
          </w:p>
        </w:tc>
        <w:tc>
          <w:tcPr>
            <w:tcW w:type="dxa" w:w="936"/>
            <w:shd w:fill="FFFFFF"/>
            <w:tcMar>
              <w:top w:w="48" w:type="dxa"/>
              <w:start w:w="70" w:type="dxa"/>
              <w:bottom w:w="48" w:type="dxa"/>
              <w:end w:w="70" w:type="dxa"/>
            </w:tcMar>
          </w:tcPr>
          <w:p>
            <w:pPr>
              <w:spacing w:before="0" w:after="0" w:line="240" w:lineRule="auto"/>
            </w:pPr>
            <w:r>
              <w:rPr>
                <w:rFonts w:ascii="Inter" w:hAnsi="Inter"/>
                <w:b w:val="0"/>
                <w:i w:val="0"/>
                <w:color w:val="1F2937"/>
                <w:sz w:val="16"/>
              </w:rPr>
              <w:t>10</w:t>
            </w:r>
          </w:p>
        </w:tc>
        <w:tc>
          <w:tcPr>
            <w:tcW w:type="dxa" w:w="6768"/>
            <w:shd w:fill="FFFFFF"/>
            <w:tcMar>
              <w:top w:w="48" w:type="dxa"/>
              <w:start w:w="70" w:type="dxa"/>
              <w:bottom w:w="48" w:type="dxa"/>
              <w:end w:w="70" w:type="dxa"/>
            </w:tcMar>
          </w:tcPr>
          <w:p>
            <w:pPr>
              <w:spacing w:before="0" w:after="0" w:line="240" w:lineRule="auto"/>
            </w:pPr>
            <w:r>
              <w:rPr>
                <w:rFonts w:ascii="Inter" w:hAnsi="Inter"/>
                <w:b w:val="0"/>
                <w:i w:val="0"/>
                <w:color w:val="1F2937"/>
                <w:sz w:val="16"/>
              </w:rPr>
              <w:t>Team membership, roles, skills, project participation, leadership</w:t>
            </w:r>
          </w:p>
        </w:tc>
      </w:tr>
      <w:tr>
        <w:tc>
          <w:tcPr>
            <w:tcW w:type="dxa" w:w="2376"/>
            <w:shd w:fill="F2F4F7"/>
            <w:tcMar>
              <w:top w:w="48" w:type="dxa"/>
              <w:start w:w="70" w:type="dxa"/>
              <w:bottom w:w="48" w:type="dxa"/>
              <w:end w:w="70" w:type="dxa"/>
            </w:tcMar>
          </w:tcPr>
          <w:p>
            <w:pPr>
              <w:spacing w:before="0" w:after="0" w:line="240" w:lineRule="auto"/>
            </w:pPr>
            <w:r>
              <w:rPr>
                <w:rFonts w:ascii="Inter" w:hAnsi="Inter"/>
                <w:b/>
                <w:i w:val="0"/>
                <w:color w:val="1F2937"/>
                <w:sz w:val="16"/>
              </w:rPr>
              <w:t>Project overviews</w:t>
            </w:r>
          </w:p>
        </w:tc>
        <w:tc>
          <w:tcPr>
            <w:tcW w:type="dxa" w:w="936"/>
            <w:shd w:fill="F2F4F7"/>
            <w:tcMar>
              <w:top w:w="48" w:type="dxa"/>
              <w:start w:w="70" w:type="dxa"/>
              <w:bottom w:w="48" w:type="dxa"/>
              <w:end w:w="70" w:type="dxa"/>
            </w:tcMar>
          </w:tcPr>
          <w:p>
            <w:pPr>
              <w:spacing w:before="0" w:after="0" w:line="240" w:lineRule="auto"/>
            </w:pPr>
            <w:r>
              <w:rPr>
                <w:rFonts w:ascii="Inter" w:hAnsi="Inter"/>
                <w:b w:val="0"/>
                <w:i w:val="0"/>
                <w:color w:val="1F2937"/>
                <w:sz w:val="16"/>
              </w:rPr>
              <w:t>4</w:t>
            </w:r>
          </w:p>
        </w:tc>
        <w:tc>
          <w:tcPr>
            <w:tcW w:type="dxa" w:w="6768"/>
            <w:shd w:fill="F2F4F7"/>
            <w:tcMar>
              <w:top w:w="48" w:type="dxa"/>
              <w:start w:w="70" w:type="dxa"/>
              <w:bottom w:w="48" w:type="dxa"/>
              <w:end w:w="70" w:type="dxa"/>
            </w:tcMar>
          </w:tcPr>
          <w:p>
            <w:pPr>
              <w:spacing w:before="0" w:after="0" w:line="240" w:lineRule="auto"/>
            </w:pPr>
            <w:r>
              <w:rPr>
                <w:rFonts w:ascii="Inter" w:hAnsi="Inter"/>
                <w:b w:val="0"/>
                <w:i w:val="0"/>
                <w:color w:val="1F2937"/>
                <w:sz w:val="16"/>
              </w:rPr>
              <w:t>Ownership, leads, purpose, contributors, technology stack</w:t>
            </w:r>
          </w:p>
        </w:tc>
      </w:tr>
      <w:tr>
        <w:tc>
          <w:tcPr>
            <w:tcW w:type="dxa" w:w="2376"/>
            <w:shd w:fill="FFFFFF"/>
            <w:tcMar>
              <w:top w:w="48" w:type="dxa"/>
              <w:start w:w="70" w:type="dxa"/>
              <w:bottom w:w="48" w:type="dxa"/>
              <w:end w:w="70" w:type="dxa"/>
            </w:tcMar>
          </w:tcPr>
          <w:p>
            <w:pPr>
              <w:spacing w:before="0" w:after="0" w:line="240" w:lineRule="auto"/>
            </w:pPr>
            <w:r>
              <w:rPr>
                <w:rFonts w:ascii="Inter" w:hAnsi="Inter"/>
                <w:b/>
                <w:i w:val="0"/>
                <w:color w:val="1F2937"/>
                <w:sz w:val="16"/>
              </w:rPr>
              <w:t>Decision records</w:t>
            </w:r>
          </w:p>
        </w:tc>
        <w:tc>
          <w:tcPr>
            <w:tcW w:type="dxa" w:w="936"/>
            <w:shd w:fill="FFFFFF"/>
            <w:tcMar>
              <w:top w:w="48" w:type="dxa"/>
              <w:start w:w="70" w:type="dxa"/>
              <w:bottom w:w="48" w:type="dxa"/>
              <w:end w:w="70" w:type="dxa"/>
            </w:tcMar>
          </w:tcPr>
          <w:p>
            <w:pPr>
              <w:spacing w:before="0" w:after="0" w:line="240" w:lineRule="auto"/>
            </w:pPr>
            <w:r>
              <w:rPr>
                <w:rFonts w:ascii="Inter" w:hAnsi="Inter"/>
                <w:b w:val="0"/>
                <w:i w:val="0"/>
                <w:color w:val="1F2937"/>
                <w:sz w:val="16"/>
              </w:rPr>
              <w:t>8</w:t>
            </w:r>
          </w:p>
        </w:tc>
        <w:tc>
          <w:tcPr>
            <w:tcW w:type="dxa" w:w="6768"/>
            <w:shd w:fill="FFFFFF"/>
            <w:tcMar>
              <w:top w:w="48" w:type="dxa"/>
              <w:start w:w="70" w:type="dxa"/>
              <w:bottom w:w="48" w:type="dxa"/>
              <w:end w:w="70" w:type="dxa"/>
            </w:tcMar>
          </w:tcPr>
          <w:p>
            <w:pPr>
              <w:spacing w:before="0" w:after="0" w:line="240" w:lineRule="auto"/>
            </w:pPr>
            <w:r>
              <w:rPr>
                <w:rFonts w:ascii="Inter" w:hAnsi="Inter"/>
                <w:b w:val="0"/>
                <w:i w:val="0"/>
                <w:color w:val="1F2937"/>
                <w:sz w:val="16"/>
              </w:rPr>
              <w:t>Architecture choice, affected project, proposer/approver, rationale</w:t>
            </w:r>
          </w:p>
        </w:tc>
      </w:tr>
      <w:tr>
        <w:tc>
          <w:tcPr>
            <w:tcW w:type="dxa" w:w="2376"/>
            <w:shd w:fill="F2F4F7"/>
            <w:tcMar>
              <w:top w:w="48" w:type="dxa"/>
              <w:start w:w="70" w:type="dxa"/>
              <w:bottom w:w="48" w:type="dxa"/>
              <w:end w:w="70" w:type="dxa"/>
            </w:tcMar>
          </w:tcPr>
          <w:p>
            <w:pPr>
              <w:spacing w:before="0" w:after="0" w:line="240" w:lineRule="auto"/>
            </w:pPr>
            <w:r>
              <w:rPr>
                <w:rFonts w:ascii="Inter" w:hAnsi="Inter"/>
                <w:b/>
                <w:i w:val="0"/>
                <w:color w:val="1F2937"/>
                <w:sz w:val="16"/>
              </w:rPr>
              <w:t>Meeting notes</w:t>
            </w:r>
          </w:p>
        </w:tc>
        <w:tc>
          <w:tcPr>
            <w:tcW w:type="dxa" w:w="936"/>
            <w:shd w:fill="F2F4F7"/>
            <w:tcMar>
              <w:top w:w="48" w:type="dxa"/>
              <w:start w:w="70" w:type="dxa"/>
              <w:bottom w:w="48" w:type="dxa"/>
              <w:end w:w="70" w:type="dxa"/>
            </w:tcMar>
          </w:tcPr>
          <w:p>
            <w:pPr>
              <w:spacing w:before="0" w:after="0" w:line="240" w:lineRule="auto"/>
            </w:pPr>
            <w:r>
              <w:rPr>
                <w:rFonts w:ascii="Inter" w:hAnsi="Inter"/>
                <w:b w:val="0"/>
                <w:i w:val="0"/>
                <w:color w:val="1F2937"/>
                <w:sz w:val="16"/>
              </w:rPr>
              <w:t>6</w:t>
            </w:r>
          </w:p>
        </w:tc>
        <w:tc>
          <w:tcPr>
            <w:tcW w:type="dxa" w:w="6768"/>
            <w:shd w:fill="F2F4F7"/>
            <w:tcMar>
              <w:top w:w="48" w:type="dxa"/>
              <w:start w:w="70" w:type="dxa"/>
              <w:bottom w:w="48" w:type="dxa"/>
              <w:end w:w="70" w:type="dxa"/>
            </w:tcMar>
          </w:tcPr>
          <w:p>
            <w:pPr>
              <w:spacing w:before="0" w:after="0" w:line="240" w:lineRule="auto"/>
            </w:pPr>
            <w:r>
              <w:rPr>
                <w:rFonts w:ascii="Inter" w:hAnsi="Inter"/>
                <w:b w:val="0"/>
                <w:i w:val="0"/>
                <w:color w:val="1F2937"/>
                <w:sz w:val="16"/>
              </w:rPr>
              <w:t>Attendees and decisions discussed</w:t>
            </w:r>
          </w:p>
        </w:tc>
      </w:tr>
      <w:tr>
        <w:tc>
          <w:tcPr>
            <w:tcW w:type="dxa" w:w="2376"/>
            <w:shd w:fill="FFFFFF"/>
            <w:tcMar>
              <w:top w:w="48" w:type="dxa"/>
              <w:start w:w="70" w:type="dxa"/>
              <w:bottom w:w="48" w:type="dxa"/>
              <w:end w:w="70" w:type="dxa"/>
            </w:tcMar>
          </w:tcPr>
          <w:p>
            <w:pPr>
              <w:spacing w:before="0" w:after="0" w:line="240" w:lineRule="auto"/>
            </w:pPr>
            <w:r>
              <w:rPr>
                <w:rFonts w:ascii="Inter" w:hAnsi="Inter"/>
                <w:b/>
                <w:i w:val="0"/>
                <w:color w:val="1F2937"/>
                <w:sz w:val="16"/>
              </w:rPr>
              <w:t>Technical references</w:t>
            </w:r>
          </w:p>
        </w:tc>
        <w:tc>
          <w:tcPr>
            <w:tcW w:type="dxa" w:w="936"/>
            <w:shd w:fill="FFFFFF"/>
            <w:tcMar>
              <w:top w:w="48" w:type="dxa"/>
              <w:start w:w="70" w:type="dxa"/>
              <w:bottom w:w="48" w:type="dxa"/>
              <w:end w:w="70" w:type="dxa"/>
            </w:tcMar>
          </w:tcPr>
          <w:p>
            <w:pPr>
              <w:spacing w:before="0" w:after="0" w:line="240" w:lineRule="auto"/>
            </w:pPr>
            <w:r>
              <w:rPr>
                <w:rFonts w:ascii="Inter" w:hAnsi="Inter"/>
                <w:b w:val="0"/>
                <w:i w:val="0"/>
                <w:color w:val="1F2937"/>
                <w:sz w:val="16"/>
              </w:rPr>
              <w:t>5</w:t>
            </w:r>
          </w:p>
        </w:tc>
        <w:tc>
          <w:tcPr>
            <w:tcW w:type="dxa" w:w="6768"/>
            <w:shd w:fill="FFFFFF"/>
            <w:tcMar>
              <w:top w:w="48" w:type="dxa"/>
              <w:start w:w="70" w:type="dxa"/>
              <w:bottom w:w="48" w:type="dxa"/>
              <w:end w:w="70" w:type="dxa"/>
            </w:tcMar>
          </w:tcPr>
          <w:p>
            <w:pPr>
              <w:spacing w:before="0" w:after="0" w:line="240" w:lineRule="auto"/>
            </w:pPr>
            <w:r>
              <w:rPr>
                <w:rFonts w:ascii="Inter" w:hAnsi="Inter"/>
                <w:b w:val="0"/>
                <w:i w:val="0"/>
                <w:color w:val="1F2937"/>
                <w:sz w:val="16"/>
              </w:rPr>
              <w:t>Cross-project standards and technical context</w:t>
            </w:r>
          </w:p>
        </w:tc>
      </w:tr>
    </w:tbl>
    <w:p>
      <w:pPr>
        <w:spacing w:before="0" w:after="60" w:line="259" w:lineRule="auto"/>
      </w:pPr>
      <w:r>
        <w:rPr>
          <w:rFonts w:ascii="Inter" w:hAnsi="Inter"/>
          <w:b w:val="0"/>
          <w:i w:val="0"/>
          <w:color w:val="1F2937"/>
          <w:sz w:val="18"/>
        </w:rPr>
        <w:t>The final corpus contains 33 Markdown documents. The canonical knowledge graph contains 81 business entities: 10 people, 5 teams, 4 projects, 8 skills, 7 technologies, 8 decisions, 6 meetings, and 33 documents. The ground-truth graph defines 174 relationships. After deterministic canonicalization, entity precision/recall/F1 were 100%; relationship precision was 95.42%, recall 91.91%, and F1 93.63%.</w:t>
      </w:r>
    </w:p>
    <w:p>
      <w:pPr>
        <w:keepNext/>
        <w:pageBreakBefore w:val="0"/>
        <w:spacing w:before="60" w:after="80" w:line="240" w:lineRule="auto"/>
      </w:pPr>
      <w:r>
        <w:rPr>
          <w:rFonts w:ascii="Inter Display" w:hAnsi="Inter Display"/>
          <w:b/>
          <w:i w:val="0"/>
          <w:color w:val="2F5597"/>
          <w:sz w:val="23"/>
        </w:rPr>
        <w:t>Three Retrieval Approaches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7365D"/>
            <w:tcMar>
              <w:top w:w="60" w:type="dxa"/>
              <w:start w:w="80" w:type="dxa"/>
              <w:bottom w:w="60" w:type="dxa"/>
              <w:end w:w="80" w:type="dxa"/>
            </w:tcMar>
          </w:tcPr>
          <w:p>
            <w:r>
              <w:rPr>
                <w:rFonts w:ascii="Inter" w:hAnsi="Inter"/>
                <w:b/>
                <w:i w:val="0"/>
                <w:color w:val="FFFFFF"/>
                <w:sz w:val="16"/>
              </w:rPr>
              <w:t>Approach</w:t>
            </w:r>
          </w:p>
        </w:tc>
        <w:tc>
          <w:tcPr>
            <w:tcW w:type="dxa" w:w="7992"/>
            <w:shd w:fill="17365D"/>
            <w:tcMar>
              <w:top w:w="60" w:type="dxa"/>
              <w:start w:w="80" w:type="dxa"/>
              <w:bottom w:w="60" w:type="dxa"/>
              <w:end w:w="80" w:type="dxa"/>
            </w:tcMar>
          </w:tcPr>
          <w:p>
            <w:r>
              <w:rPr>
                <w:rFonts w:ascii="Inter" w:hAnsi="Inter"/>
                <w:b/>
                <w:i w:val="0"/>
                <w:color w:val="FFFFFF"/>
                <w:sz w:val="16"/>
              </w:rPr>
              <w:t>Design</w:t>
            </w:r>
          </w:p>
        </w:tc>
      </w:tr>
      <w:tr>
        <w:tc>
          <w:tcPr>
            <w:tcW w:type="dxa" w:w="2088"/>
            <w:shd w:fill="FFFFFF"/>
            <w:tcMar>
              <w:top w:w="55" w:type="dxa"/>
              <w:start w:w="80" w:type="dxa"/>
              <w:bottom w:w="55" w:type="dxa"/>
              <w:end w:w="80" w:type="dxa"/>
            </w:tcMar>
          </w:tcPr>
          <w:p>
            <w:pPr>
              <w:spacing w:before="0" w:after="0" w:line="240" w:lineRule="auto"/>
            </w:pPr>
            <w:r>
              <w:rPr>
                <w:rFonts w:ascii="Inter" w:hAnsi="Inter"/>
                <w:b/>
                <w:i w:val="0"/>
                <w:color w:val="1F2937"/>
                <w:sz w:val="16"/>
              </w:rPr>
              <w:t>GraphRAG</w:t>
            </w:r>
          </w:p>
        </w:tc>
        <w:tc>
          <w:tcPr>
            <w:tcW w:type="dxa" w:w="7992"/>
            <w:shd w:fill="FFFFFF"/>
            <w:tcMar>
              <w:top w:w="55" w:type="dxa"/>
              <w:start w:w="80" w:type="dxa"/>
              <w:bottom w:w="55" w:type="dxa"/>
              <w:end w:w="80" w:type="dxa"/>
            </w:tcMar>
          </w:tcPr>
          <w:p>
            <w:pPr>
              <w:spacing w:before="0" w:after="0" w:line="240" w:lineRule="auto"/>
            </w:pPr>
            <w:r>
              <w:rPr>
                <w:rFonts w:ascii="Inter" w:hAnsi="Inter"/>
                <w:b w:val="0"/>
                <w:i w:val="0"/>
                <w:color w:val="1F2937"/>
                <w:sz w:val="16"/>
              </w:rPr>
              <w:t>Parameterized Cypher templates for 10 trusted graph intents. Best suited to explicit relationships, set intersections, and multi-hop traversal. The LLM selects an intent and parameters but never writes arbitrary Cypher.</w:t>
            </w:r>
          </w:p>
        </w:tc>
      </w:tr>
      <w:tr>
        <w:tc>
          <w:tcPr>
            <w:tcW w:type="dxa" w:w="2088"/>
            <w:shd w:fill="F2F4F7"/>
            <w:tcMar>
              <w:top w:w="55" w:type="dxa"/>
              <w:start w:w="80" w:type="dxa"/>
              <w:bottom w:w="55" w:type="dxa"/>
              <w:end w:w="80" w:type="dxa"/>
            </w:tcMar>
          </w:tcPr>
          <w:p>
            <w:pPr>
              <w:spacing w:before="0" w:after="0" w:line="240" w:lineRule="auto"/>
            </w:pPr>
            <w:r>
              <w:rPr>
                <w:rFonts w:ascii="Inter" w:hAnsi="Inter"/>
                <w:b/>
                <w:i w:val="0"/>
                <w:color w:val="1F2937"/>
                <w:sz w:val="16"/>
              </w:rPr>
              <w:t>Vector RAG</w:t>
            </w:r>
          </w:p>
        </w:tc>
        <w:tc>
          <w:tcPr>
            <w:tcW w:type="dxa" w:w="7992"/>
            <w:shd w:fill="F2F4F7"/>
            <w:tcMar>
              <w:top w:w="55" w:type="dxa"/>
              <w:start w:w="80" w:type="dxa"/>
              <w:bottom w:w="55" w:type="dxa"/>
              <w:end w:w="80" w:type="dxa"/>
            </w:tcMar>
          </w:tcPr>
          <w:p>
            <w:pPr>
              <w:spacing w:before="0" w:after="0" w:line="240" w:lineRule="auto"/>
            </w:pPr>
            <w:r>
              <w:rPr>
                <w:rFonts w:ascii="Inter" w:hAnsi="Inter"/>
                <w:b w:val="0"/>
                <w:i w:val="0"/>
                <w:color w:val="1F2937"/>
                <w:sz w:val="16"/>
              </w:rPr>
              <w:t>The same 33 documents are chunked with SentenceSplitter (256 tokens, 40-token overlap), embedded locally with BAAI/bge-small-en-v1.5 (384 dimensions), stored in Neo4j VectorChunk nodes, and retrieved with top-k = 5.</w:t>
            </w:r>
          </w:p>
        </w:tc>
      </w:tr>
      <w:tr>
        <w:tc>
          <w:tcPr>
            <w:tcW w:type="dxa" w:w="2088"/>
            <w:shd w:fill="FFFFFF"/>
            <w:tcMar>
              <w:top w:w="55" w:type="dxa"/>
              <w:start w:w="80" w:type="dxa"/>
              <w:bottom w:w="55" w:type="dxa"/>
              <w:end w:w="80" w:type="dxa"/>
            </w:tcMar>
          </w:tcPr>
          <w:p>
            <w:pPr>
              <w:spacing w:before="0" w:after="0" w:line="240" w:lineRule="auto"/>
            </w:pPr>
            <w:r>
              <w:rPr>
                <w:rFonts w:ascii="Inter" w:hAnsi="Inter"/>
                <w:b/>
                <w:i w:val="0"/>
                <w:color w:val="1F2937"/>
                <w:sz w:val="16"/>
              </w:rPr>
              <w:t>Agentic RAG</w:t>
            </w:r>
          </w:p>
        </w:tc>
        <w:tc>
          <w:tcPr>
            <w:tcW w:type="dxa" w:w="7992"/>
            <w:shd w:fill="FFFFFF"/>
            <w:tcMar>
              <w:top w:w="55" w:type="dxa"/>
              <w:start w:w="80" w:type="dxa"/>
              <w:bottom w:w="55" w:type="dxa"/>
              <w:end w:w="80" w:type="dxa"/>
            </w:tcMar>
          </w:tcPr>
          <w:p>
            <w:pPr>
              <w:spacing w:before="0" w:after="0" w:line="240" w:lineRule="auto"/>
            </w:pPr>
            <w:r>
              <w:rPr>
                <w:rFonts w:ascii="Inter" w:hAnsi="Inter"/>
                <w:b w:val="0"/>
                <w:i w:val="0"/>
                <w:color w:val="1F2937"/>
                <w:sz w:val="16"/>
              </w:rPr>
              <w:t>A LangGraph state machine dynamically chooses Graph, Vector, or Hybrid retrieval, grades whether evidence is sufficient, optionally replans, and synthesizes the final grounded answer.</w:t>
            </w:r>
          </w:p>
        </w:tc>
      </w:tr>
    </w:tbl>
    <w:p>
      <w:pPr>
        <w:keepNext/>
        <w:pageBreakBefore w:val="0"/>
        <w:spacing w:before="60" w:after="80" w:line="240" w:lineRule="auto"/>
      </w:pPr>
      <w:r>
        <w:rPr>
          <w:rFonts w:ascii="Inter Display" w:hAnsi="Inter Display"/>
          <w:b/>
          <w:i w:val="0"/>
          <w:color w:val="2F5597"/>
          <w:sz w:val="23"/>
        </w:rPr>
        <w:t>Agentic RAG: What Makes It Agentic</w:t>
      </w:r>
    </w:p>
    <w:p>
      <w:pPr>
        <w:spacing w:before="0" w:after="80" w:line="259" w:lineRule="auto"/>
      </w:pPr>
      <w:r>
        <w:rPr>
          <w:rFonts w:ascii="Inter" w:hAnsi="Inter"/>
          <w:b w:val="0"/>
          <w:i w:val="0"/>
          <w:color w:val="1F2937"/>
          <w:sz w:val="18"/>
        </w:rPr>
        <w:t>The final system is not a fixed router. It follows a plan → act → evaluate → adapt loop. The planner produces structured JSON containing strategy, graph intent, parameters, and a short reason. Retrieval executes only trusted tools. The evidence grader evaluates sufficiency without seeing the expected evaluation answer. If evidence is insufficient, the replanner can broaden the route, with deterministic protections against repeating a failed plan and a two-attempt cap.</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7365D"/>
            <w:tcMar>
              <w:top w:w="60" w:type="dxa"/>
              <w:start w:w="80" w:type="dxa"/>
              <w:bottom w:w="60" w:type="dxa"/>
              <w:end w:w="80" w:type="dxa"/>
            </w:tcMar>
          </w:tcPr>
          <w:p>
            <w:r>
              <w:rPr>
                <w:rFonts w:ascii="Inter" w:hAnsi="Inter"/>
                <w:b/>
                <w:i w:val="0"/>
                <w:color w:val="FFFFFF"/>
                <w:sz w:val="16"/>
              </w:rPr>
              <w:t>Agent component</w:t>
            </w:r>
          </w:p>
        </w:tc>
        <w:tc>
          <w:tcPr>
            <w:tcW w:type="dxa" w:w="7848"/>
            <w:shd w:fill="17365D"/>
            <w:tcMar>
              <w:top w:w="60" w:type="dxa"/>
              <w:start w:w="80" w:type="dxa"/>
              <w:bottom w:w="60" w:type="dxa"/>
              <w:end w:w="80" w:type="dxa"/>
            </w:tcMar>
          </w:tcPr>
          <w:p>
            <w:r>
              <w:rPr>
                <w:rFonts w:ascii="Inter" w:hAnsi="Inter"/>
                <w:b/>
                <w:i w:val="0"/>
                <w:color w:val="FFFFFF"/>
                <w:sz w:val="16"/>
              </w:rPr>
              <w:t>Core instruction / control</w:t>
            </w:r>
          </w:p>
        </w:tc>
      </w:tr>
      <w:tr>
        <w:tc>
          <w:tcPr>
            <w:tcW w:type="dxa" w:w="2232"/>
            <w:shd w:fill="FFFFFF"/>
            <w:tcMar>
              <w:top w:w="55" w:type="dxa"/>
              <w:start w:w="80" w:type="dxa"/>
              <w:bottom w:w="55" w:type="dxa"/>
              <w:end w:w="80" w:type="dxa"/>
            </w:tcMar>
          </w:tcPr>
          <w:p>
            <w:pPr>
              <w:spacing w:before="0" w:after="0" w:line="240" w:lineRule="auto"/>
            </w:pPr>
            <w:r>
              <w:rPr>
                <w:rFonts w:ascii="Inter" w:hAnsi="Inter"/>
                <w:b/>
                <w:i w:val="0"/>
                <w:color w:val="1F2937"/>
                <w:sz w:val="16"/>
              </w:rPr>
              <w:t>Planner</w:t>
            </w:r>
          </w:p>
        </w:tc>
        <w:tc>
          <w:tcPr>
            <w:tcW w:type="dxa" w:w="7848"/>
            <w:shd w:fill="FFFFFF"/>
            <w:tcMar>
              <w:top w:w="55" w:type="dxa"/>
              <w:start w:w="80" w:type="dxa"/>
              <w:bottom w:w="55" w:type="dxa"/>
              <w:end w:w="80" w:type="dxa"/>
            </w:tcMar>
          </w:tcPr>
          <w:p>
            <w:pPr>
              <w:spacing w:before="0" w:after="0" w:line="240" w:lineRule="auto"/>
            </w:pPr>
            <w:r>
              <w:rPr>
                <w:rFonts w:ascii="Inter" w:hAnsi="Inter"/>
                <w:b w:val="0"/>
                <w:i w:val="0"/>
                <w:color w:val="1F2937"/>
                <w:sz w:val="16"/>
              </w:rPr>
              <w:t>Choose Graph, Vector, or Hybrid; select only known graph intents; use canonical entity names; populate every required Cypher parameter.</w:t>
            </w:r>
          </w:p>
        </w:tc>
      </w:tr>
      <w:tr>
        <w:tc>
          <w:tcPr>
            <w:tcW w:type="dxa" w:w="2232"/>
            <w:shd w:fill="F2F4F7"/>
            <w:tcMar>
              <w:top w:w="55" w:type="dxa"/>
              <w:start w:w="80" w:type="dxa"/>
              <w:bottom w:w="55" w:type="dxa"/>
              <w:end w:w="80" w:type="dxa"/>
            </w:tcMar>
          </w:tcPr>
          <w:p>
            <w:pPr>
              <w:spacing w:before="0" w:after="0" w:line="240" w:lineRule="auto"/>
            </w:pPr>
            <w:r>
              <w:rPr>
                <w:rFonts w:ascii="Inter" w:hAnsi="Inter"/>
                <w:b/>
                <w:i w:val="0"/>
                <w:color w:val="1F2937"/>
                <w:sz w:val="16"/>
              </w:rPr>
              <w:t>Tool guardrails</w:t>
            </w:r>
          </w:p>
        </w:tc>
        <w:tc>
          <w:tcPr>
            <w:tcW w:type="dxa" w:w="7848"/>
            <w:shd w:fill="F2F4F7"/>
            <w:tcMar>
              <w:top w:w="55" w:type="dxa"/>
              <w:start w:w="80" w:type="dxa"/>
              <w:bottom w:w="55" w:type="dxa"/>
              <w:end w:w="80" w:type="dxa"/>
            </w:tcMar>
          </w:tcPr>
          <w:p>
            <w:pPr>
              <w:spacing w:before="0" w:after="0" w:line="240" w:lineRule="auto"/>
            </w:pPr>
            <w:r>
              <w:rPr>
                <w:rFonts w:ascii="Inter" w:hAnsi="Inter"/>
                <w:b w:val="0"/>
                <w:i w:val="0"/>
                <w:color w:val="1F2937"/>
                <w:sz w:val="16"/>
              </w:rPr>
              <w:t>Required parameters are derived from the Cypher templates and validated before Neo4j execution; arbitrary Cypher generation is not allowed.</w:t>
            </w:r>
          </w:p>
        </w:tc>
      </w:tr>
      <w:tr>
        <w:tc>
          <w:tcPr>
            <w:tcW w:type="dxa" w:w="2232"/>
            <w:shd w:fill="FFFFFF"/>
            <w:tcMar>
              <w:top w:w="55" w:type="dxa"/>
              <w:start w:w="80" w:type="dxa"/>
              <w:bottom w:w="55" w:type="dxa"/>
              <w:end w:w="80" w:type="dxa"/>
            </w:tcMar>
          </w:tcPr>
          <w:p>
            <w:pPr>
              <w:spacing w:before="0" w:after="0" w:line="240" w:lineRule="auto"/>
            </w:pPr>
            <w:r>
              <w:rPr>
                <w:rFonts w:ascii="Inter" w:hAnsi="Inter"/>
                <w:b/>
                <w:i w:val="0"/>
                <w:color w:val="1F2937"/>
                <w:sz w:val="16"/>
              </w:rPr>
              <w:t>Evidence grader</w:t>
            </w:r>
          </w:p>
        </w:tc>
        <w:tc>
          <w:tcPr>
            <w:tcW w:type="dxa" w:w="7848"/>
            <w:shd w:fill="FFFFFF"/>
            <w:tcMar>
              <w:top w:w="55" w:type="dxa"/>
              <w:start w:w="80" w:type="dxa"/>
              <w:bottom w:w="55" w:type="dxa"/>
              <w:end w:w="80" w:type="dxa"/>
            </w:tcMar>
          </w:tcPr>
          <w:p>
            <w:pPr>
              <w:spacing w:before="0" w:after="0" w:line="240" w:lineRule="auto"/>
            </w:pPr>
            <w:r>
              <w:rPr>
                <w:rFonts w:ascii="Inter" w:hAnsi="Inter"/>
                <w:b w:val="0"/>
                <w:i w:val="0"/>
                <w:color w:val="1F2937"/>
                <w:sz w:val="16"/>
              </w:rPr>
              <w:t>Judge only whether the retrieved evidence is sufficient for a complete, faithful answer. Do not use outside knowledge or the benchmark answer.</w:t>
            </w:r>
          </w:p>
        </w:tc>
      </w:tr>
      <w:tr>
        <w:tc>
          <w:tcPr>
            <w:tcW w:type="dxa" w:w="2232"/>
            <w:shd w:fill="F2F4F7"/>
            <w:tcMar>
              <w:top w:w="55" w:type="dxa"/>
              <w:start w:w="80" w:type="dxa"/>
              <w:bottom w:w="55" w:type="dxa"/>
              <w:end w:w="80" w:type="dxa"/>
            </w:tcMar>
          </w:tcPr>
          <w:p>
            <w:pPr>
              <w:spacing w:before="0" w:after="0" w:line="240" w:lineRule="auto"/>
            </w:pPr>
            <w:r>
              <w:rPr>
                <w:rFonts w:ascii="Inter" w:hAnsi="Inter"/>
                <w:b/>
                <w:i w:val="0"/>
                <w:color w:val="1F2937"/>
                <w:sz w:val="16"/>
              </w:rPr>
              <w:t>Replanner / fallback</w:t>
            </w:r>
          </w:p>
        </w:tc>
        <w:tc>
          <w:tcPr>
            <w:tcW w:type="dxa" w:w="7848"/>
            <w:shd w:fill="F2F4F7"/>
            <w:tcMar>
              <w:top w:w="55" w:type="dxa"/>
              <w:start w:w="80" w:type="dxa"/>
              <w:bottom w:w="55" w:type="dxa"/>
              <w:end w:w="80" w:type="dxa"/>
            </w:tcMar>
          </w:tcPr>
          <w:p>
            <w:pPr>
              <w:spacing w:before="0" w:after="0" w:line="240" w:lineRule="auto"/>
            </w:pPr>
            <w:r>
              <w:rPr>
                <w:rFonts w:ascii="Inter" w:hAnsi="Inter"/>
                <w:b w:val="0"/>
                <w:i w:val="0"/>
                <w:color w:val="1F2937"/>
                <w:sz w:val="16"/>
              </w:rPr>
              <w:t>If Graph returns zero evidence, broaden to Hybrid; never repeat the exact same failed retrieval plan; stop after two attempts.</w:t>
            </w:r>
          </w:p>
        </w:tc>
      </w:tr>
      <w:tr>
        <w:tc>
          <w:tcPr>
            <w:tcW w:type="dxa" w:w="2232"/>
            <w:shd w:fill="FFFFFF"/>
            <w:tcMar>
              <w:top w:w="55" w:type="dxa"/>
              <w:start w:w="80" w:type="dxa"/>
              <w:bottom w:w="55" w:type="dxa"/>
              <w:end w:w="80" w:type="dxa"/>
            </w:tcMar>
          </w:tcPr>
          <w:p>
            <w:pPr>
              <w:spacing w:before="0" w:after="0" w:line="240" w:lineRule="auto"/>
            </w:pPr>
            <w:r>
              <w:rPr>
                <w:rFonts w:ascii="Inter" w:hAnsi="Inter"/>
                <w:b/>
                <w:i w:val="0"/>
                <w:color w:val="1F2937"/>
                <w:sz w:val="16"/>
              </w:rPr>
              <w:t>Answer synthesis</w:t>
            </w:r>
          </w:p>
        </w:tc>
        <w:tc>
          <w:tcPr>
            <w:tcW w:type="dxa" w:w="7848"/>
            <w:shd w:fill="FFFFFF"/>
            <w:tcMar>
              <w:top w:w="55" w:type="dxa"/>
              <w:start w:w="80" w:type="dxa"/>
              <w:bottom w:w="55" w:type="dxa"/>
              <w:end w:w="80" w:type="dxa"/>
            </w:tcMar>
          </w:tcPr>
          <w:p>
            <w:pPr>
              <w:spacing w:before="0" w:after="0" w:line="240" w:lineRule="auto"/>
            </w:pPr>
            <w:r>
              <w:rPr>
                <w:rFonts w:ascii="Inter" w:hAnsi="Inter"/>
                <w:b w:val="0"/>
                <w:i w:val="0"/>
                <w:color w:val="1F2937"/>
                <w:sz w:val="16"/>
              </w:rPr>
              <w:t>Use retrieved evidence only. Graph rows are authoritative for structured list/relationship questions; vector passages provide narrative context and rationale.</w:t>
            </w:r>
          </w:p>
        </w:tc>
      </w:tr>
    </w:tbl>
    <w:p>
      <w:pPr>
        <w:keepNext w:val="0"/>
        <w:keepLines/>
        <w:spacing w:before="80" w:after="100" w:line="240" w:lineRule="auto"/>
        <w:jc w:val="left"/>
        <w:shd w:val="clear" w:color="auto" w:fill="E8F5F7"/>
        <w:pBdr>
          <w:top w:val="single" w:sz="10" w:space="4" w:color="138D9D"/>
          <w:left w:val="single" w:sz="10" w:space="4" w:color="138D9D"/>
          <w:bottom w:val="single" w:sz="10" w:space="4" w:color="138D9D"/>
          <w:right w:val="single" w:sz="10" w:space="4" w:color="138D9D"/>
        </w:pBdr>
        <w:keepLines/>
        <w:widowControl/>
      </w:pPr>
      <w:r>
        <w:rPr>
          <w:rFonts w:ascii="Inter" w:hAnsi="Inter"/>
          <w:b/>
          <w:sz w:val="18"/>
          <w:color w:val="0E7181"/>
        </w:rPr>
        <w:t xml:space="preserve">Design principle. </w:t>
      </w:r>
      <w:r>
        <w:rPr>
          <w:rFonts w:ascii="Inter" w:hAnsi="Inter"/>
          <w:b w:val="0"/>
          <w:sz w:val="18"/>
          <w:color w:val="26364A"/>
        </w:rPr>
        <w:t>The LLM decides WHAT retrieval action to take; deterministic Python controls HOW that action is executed. This separation keeps the workflow flexible without sacrificing safety, auditability, or reproducibility.</w:t>
      </w:r>
    </w:p>
    <w:p>
      <w:pPr>
        <w:keepNext/>
        <w:pageBreakBefore/>
        <w:spacing w:before="100" w:after="80" w:line="240" w:lineRule="auto"/>
      </w:pPr>
      <w:r>
        <w:rPr>
          <w:rFonts w:ascii="Inter Display" w:hAnsi="Inter Display"/>
          <w:b/>
          <w:i w:val="0"/>
          <w:color w:val="17365D"/>
          <w:sz w:val="30"/>
        </w:rPr>
        <w:t>3. Evaluation Methodology and Final 10-Question Comparison</w:t>
      </w:r>
    </w:p>
    <w:p>
      <w:pPr>
        <w:spacing w:before="0" w:after="80" w:line="259" w:lineRule="auto"/>
      </w:pPr>
      <w:r>
        <w:rPr>
          <w:rFonts w:ascii="Inter" w:hAnsi="Inter"/>
          <w:b w:val="0"/>
          <w:i w:val="0"/>
          <w:color w:val="1F2937"/>
          <w:sz w:val="18"/>
        </w:rPr>
        <w:t>GraphRAG and Vector RAG were first frozen as independent baselines and evaluated on the same 10 questions using the same answer-generation model and grounding rules. A separate GPT-OSS-120B judge scored correctness, completeness, and faithfulness on a 0–2 scale; the normalized quality score is shown below as a percentage. Agentic RAG was then run on the identical benchmark with route history, attempts, evidence, latency, answer, and judge results saved.</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2592"/>
            <w:shd w:fill="EAF1F8"/>
            <w:tcMar>
              <w:top w:w="90" w:type="dxa"/>
              <w:start w:w="85" w:type="dxa"/>
              <w:bottom w:w="80" w:type="dxa"/>
              <w:end w:w="85" w:type="dxa"/>
            </w:tcMar>
            <w:tcBorders>
              <w:top w:val="single" w:sz="8" w:color="EAF1F8"/>
              <w:left w:val="single" w:sz="8" w:color="EAF1F8"/>
              <w:bottom w:val="single" w:sz="8" w:color="EAF1F8"/>
              <w:right w:val="single" w:sz="8" w:color="EAF1F8"/>
            </w:tcBorders>
            <w:vAlign w:val="center"/>
          </w:tcPr>
          <w:p>
            <w:pPr>
              <w:spacing w:before="0" w:after="20" w:line="252" w:lineRule="auto"/>
              <w:jc w:val="center"/>
            </w:pPr>
            <w:r>
              <w:rPr>
                <w:rFonts w:ascii="Inter" w:hAnsi="Inter"/>
                <w:b/>
                <w:i w:val="0"/>
                <w:color w:val="17365D"/>
                <w:sz w:val="30"/>
              </w:rPr>
              <w:t>6 ties</w:t>
            </w:r>
          </w:p>
          <w:p>
            <w:pPr>
              <w:spacing w:before="0" w:after="0" w:line="252" w:lineRule="auto"/>
              <w:jc w:val="center"/>
            </w:pPr>
            <w:r>
              <w:rPr>
                <w:rFonts w:ascii="Inter" w:hAnsi="Inter"/>
                <w:b/>
                <w:i w:val="0"/>
                <w:color w:val="1F2937"/>
                <w:sz w:val="14"/>
              </w:rPr>
              <w:t>Baseline comparison</w:t>
            </w:r>
          </w:p>
          <w:p>
            <w:pPr>
              <w:spacing w:before="0" w:after="0" w:line="252" w:lineRule="auto"/>
              <w:jc w:val="center"/>
            </w:pPr>
            <w:r>
              <w:rPr>
                <w:rFonts w:ascii="Inter" w:hAnsi="Inter"/>
                <w:b w:val="0"/>
                <w:i w:val="0"/>
                <w:color w:val="667085"/>
                <w:sz w:val="13"/>
              </w:rPr>
              <w:t>2 Graph wins • 2 Vector wins</w:t>
            </w:r>
          </w:p>
        </w:tc>
        <w:tc>
          <w:tcPr>
            <w:tcW w:type="dxa" w:w="2592"/>
            <w:shd w:fill="E7F3F4"/>
            <w:tcMar>
              <w:top w:w="90" w:type="dxa"/>
              <w:start w:w="85" w:type="dxa"/>
              <w:bottom w:w="80" w:type="dxa"/>
              <w:end w:w="85" w:type="dxa"/>
            </w:tcMar>
            <w:tcBorders>
              <w:top w:val="single" w:sz="8" w:color="E7F3F4"/>
              <w:left w:val="single" w:sz="8" w:color="E7F3F4"/>
              <w:bottom w:val="single" w:sz="8" w:color="E7F3F4"/>
              <w:right w:val="single" w:sz="8" w:color="E7F3F4"/>
            </w:tcBorders>
            <w:vAlign w:val="center"/>
          </w:tcPr>
          <w:p>
            <w:pPr>
              <w:spacing w:before="0" w:after="20" w:line="252" w:lineRule="auto"/>
              <w:jc w:val="center"/>
            </w:pPr>
            <w:r>
              <w:rPr>
                <w:rFonts w:ascii="Inter" w:hAnsi="Inter"/>
                <w:b/>
                <w:i w:val="0"/>
                <w:color w:val="17365D"/>
                <w:sz w:val="30"/>
              </w:rPr>
              <w:t>8 ties</w:t>
            </w:r>
          </w:p>
          <w:p>
            <w:pPr>
              <w:spacing w:before="0" w:after="0" w:line="252" w:lineRule="auto"/>
              <w:jc w:val="center"/>
            </w:pPr>
            <w:r>
              <w:rPr>
                <w:rFonts w:ascii="Inter" w:hAnsi="Inter"/>
                <w:b/>
                <w:i w:val="0"/>
                <w:color w:val="1F2937"/>
                <w:sz w:val="14"/>
              </w:rPr>
              <w:t>Three-way comparison</w:t>
            </w:r>
          </w:p>
          <w:p>
            <w:pPr>
              <w:spacing w:before="0" w:after="0" w:line="252" w:lineRule="auto"/>
              <w:jc w:val="center"/>
            </w:pPr>
            <w:r>
              <w:rPr>
                <w:rFonts w:ascii="Inter" w:hAnsi="Inter"/>
                <w:b w:val="0"/>
                <w:i w:val="0"/>
                <w:color w:val="667085"/>
                <w:sz w:val="13"/>
              </w:rPr>
              <w:t>1 Vector win • 1 Agent win</w:t>
            </w:r>
          </w:p>
        </w:tc>
        <w:tc>
          <w:tcPr>
            <w:tcW w:type="dxa" w:w="2592"/>
            <w:shd w:fill="FFF3E0"/>
            <w:tcMar>
              <w:top w:w="90" w:type="dxa"/>
              <w:start w:w="85" w:type="dxa"/>
              <w:bottom w:w="80" w:type="dxa"/>
              <w:end w:w="85" w:type="dxa"/>
            </w:tcMar>
            <w:tcBorders>
              <w:top w:val="single" w:sz="8" w:color="FFF3E0"/>
              <w:left w:val="single" w:sz="8" w:color="FFF3E0"/>
              <w:bottom w:val="single" w:sz="8" w:color="FFF3E0"/>
              <w:right w:val="single" w:sz="8" w:color="FFF3E0"/>
            </w:tcBorders>
            <w:vAlign w:val="center"/>
          </w:tcPr>
          <w:p>
            <w:pPr>
              <w:spacing w:before="0" w:after="20" w:line="252" w:lineRule="auto"/>
              <w:jc w:val="center"/>
            </w:pPr>
            <w:r>
              <w:rPr>
                <w:rFonts w:ascii="Inter" w:hAnsi="Inter"/>
                <w:b/>
                <w:i w:val="0"/>
                <w:color w:val="17365D"/>
                <w:sz w:val="30"/>
              </w:rPr>
              <w:t>1 query</w:t>
            </w:r>
          </w:p>
          <w:p>
            <w:pPr>
              <w:spacing w:before="0" w:after="0" w:line="252" w:lineRule="auto"/>
              <w:jc w:val="center"/>
            </w:pPr>
            <w:r>
              <w:rPr>
                <w:rFonts w:ascii="Inter" w:hAnsi="Inter"/>
                <w:b/>
                <w:i w:val="0"/>
                <w:color w:val="1F2937"/>
                <w:sz w:val="14"/>
              </w:rPr>
              <w:t>Agent replanning</w:t>
            </w:r>
          </w:p>
          <w:p>
            <w:pPr>
              <w:spacing w:before="0" w:after="0" w:line="252" w:lineRule="auto"/>
              <w:jc w:val="center"/>
            </w:pPr>
            <w:r>
              <w:rPr>
                <w:rFonts w:ascii="Inter" w:hAnsi="Inter"/>
                <w:b w:val="0"/>
                <w:i w:val="0"/>
                <w:color w:val="667085"/>
                <w:sz w:val="13"/>
              </w:rPr>
              <w:t>Q8: Graph → Hybrid</w:t>
            </w:r>
          </w:p>
        </w:tc>
        <w:tc>
          <w:tcPr>
            <w:tcW w:type="dxa" w:w="2592"/>
            <w:shd w:fill="E8F5EE"/>
            <w:tcMar>
              <w:top w:w="90" w:type="dxa"/>
              <w:start w:w="85" w:type="dxa"/>
              <w:bottom w:w="80" w:type="dxa"/>
              <w:end w:w="85" w:type="dxa"/>
            </w:tcMar>
            <w:tcBorders>
              <w:top w:val="single" w:sz="8" w:color="E8F5EE"/>
              <w:left w:val="single" w:sz="8" w:color="E8F5EE"/>
              <w:bottom w:val="single" w:sz="8" w:color="E8F5EE"/>
              <w:right w:val="single" w:sz="8" w:color="E8F5EE"/>
            </w:tcBorders>
            <w:vAlign w:val="center"/>
          </w:tcPr>
          <w:p>
            <w:pPr>
              <w:spacing w:before="0" w:after="20" w:line="252" w:lineRule="auto"/>
              <w:jc w:val="center"/>
            </w:pPr>
            <w:r>
              <w:rPr>
                <w:rFonts w:ascii="Inter" w:hAnsi="Inter"/>
                <w:b/>
                <w:i w:val="0"/>
                <w:color w:val="17365D"/>
                <w:sz w:val="30"/>
              </w:rPr>
              <w:t>+1.66 pp</w:t>
            </w:r>
          </w:p>
          <w:p>
            <w:pPr>
              <w:spacing w:before="0" w:after="0" w:line="252" w:lineRule="auto"/>
              <w:jc w:val="center"/>
            </w:pPr>
            <w:r>
              <w:rPr>
                <w:rFonts w:ascii="Inter" w:hAnsi="Inter"/>
                <w:b/>
                <w:i w:val="0"/>
                <w:color w:val="1F2937"/>
                <w:sz w:val="14"/>
              </w:rPr>
              <w:t>Agent vs. best static</w:t>
            </w:r>
          </w:p>
          <w:p>
            <w:pPr>
              <w:spacing w:before="0" w:after="0" w:line="252" w:lineRule="auto"/>
              <w:jc w:val="center"/>
            </w:pPr>
            <w:r>
              <w:rPr>
                <w:rFonts w:ascii="Inter" w:hAnsi="Inter"/>
                <w:b w:val="0"/>
                <w:i w:val="0"/>
                <w:color w:val="667085"/>
                <w:sz w:val="13"/>
              </w:rPr>
              <w:t>average across 10 queries</w:t>
            </w:r>
          </w:p>
        </w:tc>
      </w:tr>
    </w:tbl>
    <w:p>
      <w:pPr>
        <w:spacing w:before="80" w:after="40" w:line="252" w:lineRule="auto"/>
      </w:pPr>
      <w:r>
        <w:rPr>
          <w:rFonts w:ascii="Inter" w:hAnsi="Inter"/>
          <w:b/>
          <w:i w:val="0"/>
          <w:color w:val="17365D"/>
          <w:sz w:val="18"/>
        </w:rPr>
        <w:t>Final per-question results</w:t>
      </w:r>
    </w:p>
    <w:tbl>
      <w:tblPr>
        <w:tblW w:type="auto" w:w="0"/>
        <w:jc w:val="center"/>
        <w:tblLayout w:type="fixed"/>
        <w:tblLook w:firstColumn="1" w:firstRow="1" w:lastColumn="0" w:lastRow="0" w:noHBand="0" w:noVBand="1" w:val="04A0"/>
      </w:tblPr>
      <w:tblGrid>
        <w:gridCol w:w="1321"/>
        <w:gridCol w:w="1321"/>
        <w:gridCol w:w="1321"/>
        <w:gridCol w:w="1321"/>
        <w:gridCol w:w="1321"/>
        <w:gridCol w:w="1321"/>
        <w:gridCol w:w="1321"/>
        <w:gridCol w:w="1321"/>
      </w:tblGrid>
      <w:tr>
        <w:trPr>
          <w:tblHeader w:val="true"/>
        </w:trPr>
        <w:tc>
          <w:tcPr>
            <w:tcW w:type="dxa" w:w="503"/>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Q</w:t>
            </w:r>
          </w:p>
        </w:tc>
        <w:tc>
          <w:tcPr>
            <w:tcW w:type="dxa" w:w="1483"/>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Category</w:t>
            </w:r>
          </w:p>
        </w:tc>
        <w:tc>
          <w:tcPr>
            <w:tcW w:type="dxa" w:w="907"/>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Graph</w:t>
            </w:r>
          </w:p>
        </w:tc>
        <w:tc>
          <w:tcPr>
            <w:tcW w:type="dxa" w:w="907"/>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Vector</w:t>
            </w:r>
          </w:p>
        </w:tc>
        <w:tc>
          <w:tcPr>
            <w:tcW w:type="dxa" w:w="907"/>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Agent</w:t>
            </w:r>
          </w:p>
        </w:tc>
        <w:tc>
          <w:tcPr>
            <w:tcW w:type="dxa" w:w="1756"/>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Agent route</w:t>
            </w:r>
          </w:p>
        </w:tc>
        <w:tc>
          <w:tcPr>
            <w:tcW w:type="dxa" w:w="792"/>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Attempts</w:t>
            </w:r>
          </w:p>
        </w:tc>
        <w:tc>
          <w:tcPr>
            <w:tcW w:type="dxa" w:w="1612"/>
            <w:shd w:fill="17365D"/>
            <w:tcMar>
              <w:top w:w="45" w:type="dxa"/>
              <w:start w:w="35" w:type="dxa"/>
              <w:bottom w:w="45" w:type="dxa"/>
              <w:end w:w="35" w:type="dxa"/>
            </w:tcMar>
          </w:tcPr>
          <w:p>
            <w:pPr>
              <w:spacing w:before="0" w:after="0" w:line="252" w:lineRule="auto"/>
              <w:jc w:val="center"/>
            </w:pPr>
            <w:r>
              <w:rPr>
                <w:rFonts w:ascii="Inter" w:hAnsi="Inter"/>
                <w:b/>
                <w:i w:val="0"/>
                <w:color w:val="FFFFFF"/>
                <w:sz w:val="14"/>
              </w:rPr>
              <w:t>Winner</w:t>
            </w:r>
          </w:p>
        </w:tc>
      </w:tr>
      <w:tr>
        <w:tc>
          <w:tcPr>
            <w:tcW w:type="dxa" w:w="503"/>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1</w:t>
            </w:r>
          </w:p>
        </w:tc>
        <w:tc>
          <w:tcPr>
            <w:tcW w:type="dxa" w:w="1483"/>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single fact</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graph</w:t>
            </w:r>
          </w:p>
        </w:tc>
        <w:tc>
          <w:tcPr>
            <w:tcW w:type="dxa" w:w="792"/>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2</w:t>
            </w:r>
          </w:p>
        </w:tc>
        <w:tc>
          <w:tcPr>
            <w:tcW w:type="dxa" w:w="1483"/>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single fact</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vector</w:t>
            </w:r>
          </w:p>
        </w:tc>
        <w:tc>
          <w:tcPr>
            <w:tcW w:type="dxa" w:w="792"/>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3</w:t>
            </w:r>
          </w:p>
        </w:tc>
        <w:tc>
          <w:tcPr>
            <w:tcW w:type="dxa" w:w="1483"/>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semantic</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hybrid</w:t>
            </w:r>
          </w:p>
        </w:tc>
        <w:tc>
          <w:tcPr>
            <w:tcW w:type="dxa" w:w="792"/>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4</w:t>
            </w:r>
          </w:p>
        </w:tc>
        <w:tc>
          <w:tcPr>
            <w:tcW w:type="dxa" w:w="1483"/>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relationship</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graph</w:t>
            </w:r>
          </w:p>
        </w:tc>
        <w:tc>
          <w:tcPr>
            <w:tcW w:type="dxa" w:w="792"/>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FF3E0"/>
            <w:tcMar>
              <w:top w:w="42" w:type="dxa"/>
              <w:start w:w="30" w:type="dxa"/>
              <w:bottom w:w="42" w:type="dxa"/>
              <w:end w:w="30" w:type="dxa"/>
            </w:tcMar>
          </w:tcPr>
          <w:p>
            <w:pPr>
              <w:spacing w:before="0" w:after="0" w:line="240" w:lineRule="auto"/>
              <w:jc w:val="center"/>
            </w:pPr>
            <w:r>
              <w:rPr>
                <w:rFonts w:ascii="Inter" w:hAnsi="Inter"/>
                <w:b/>
                <w:i w:val="0"/>
                <w:color w:val="1F2937"/>
                <w:sz w:val="13"/>
              </w:rPr>
              <w:t>5</w:t>
            </w:r>
          </w:p>
        </w:tc>
        <w:tc>
          <w:tcPr>
            <w:tcW w:type="dxa" w:w="1483"/>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relationship</w:t>
            </w:r>
          </w:p>
        </w:tc>
        <w:tc>
          <w:tcPr>
            <w:tcW w:type="dxa" w:w="907"/>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83.3</w:t>
            </w:r>
          </w:p>
        </w:tc>
        <w:tc>
          <w:tcPr>
            <w:tcW w:type="dxa" w:w="907"/>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83.3</w:t>
            </w:r>
          </w:p>
        </w:tc>
        <w:tc>
          <w:tcPr>
            <w:tcW w:type="dxa" w:w="1756"/>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graph</w:t>
            </w:r>
          </w:p>
        </w:tc>
        <w:tc>
          <w:tcPr>
            <w:tcW w:type="dxa" w:w="792"/>
            <w:shd w:fill="FFF3E0"/>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FF3E0"/>
            <w:tcMar>
              <w:top w:w="42" w:type="dxa"/>
              <w:start w:w="30" w:type="dxa"/>
              <w:bottom w:w="42" w:type="dxa"/>
              <w:end w:w="30" w:type="dxa"/>
            </w:tcMar>
          </w:tcPr>
          <w:p>
            <w:pPr>
              <w:spacing w:before="0" w:after="0" w:line="240" w:lineRule="auto"/>
              <w:jc w:val="center"/>
            </w:pPr>
            <w:r>
              <w:rPr>
                <w:rFonts w:ascii="Inter" w:hAnsi="Inter"/>
                <w:b/>
                <w:i w:val="0"/>
                <w:color w:val="1F2937"/>
                <w:sz w:val="13"/>
              </w:rPr>
              <w:t>VectorRAG</w:t>
            </w:r>
          </w:p>
        </w:tc>
      </w:tr>
      <w:tr>
        <w:tc>
          <w:tcPr>
            <w:tcW w:type="dxa" w:w="503"/>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6</w:t>
            </w:r>
          </w:p>
        </w:tc>
        <w:tc>
          <w:tcPr>
            <w:tcW w:type="dxa" w:w="1483"/>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multi hop</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hybrid</w:t>
            </w:r>
          </w:p>
        </w:tc>
        <w:tc>
          <w:tcPr>
            <w:tcW w:type="dxa" w:w="792"/>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7</w:t>
            </w:r>
          </w:p>
        </w:tc>
        <w:tc>
          <w:tcPr>
            <w:tcW w:type="dxa" w:w="1483"/>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relationship</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33.3</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graph</w:t>
            </w:r>
          </w:p>
        </w:tc>
        <w:tc>
          <w:tcPr>
            <w:tcW w:type="dxa" w:w="792"/>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8</w:t>
            </w:r>
          </w:p>
        </w:tc>
        <w:tc>
          <w:tcPr>
            <w:tcW w:type="dxa" w:w="1483"/>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multi hop</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33.3</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2F4F7"/>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graph → hybrid</w:t>
            </w:r>
          </w:p>
        </w:tc>
        <w:tc>
          <w:tcPr>
            <w:tcW w:type="dxa" w:w="792"/>
            <w:shd w:fill="F2F4F7"/>
            <w:tcMar>
              <w:top w:w="42" w:type="dxa"/>
              <w:start w:w="30" w:type="dxa"/>
              <w:bottom w:w="42" w:type="dxa"/>
              <w:end w:w="30" w:type="dxa"/>
            </w:tcMar>
          </w:tcPr>
          <w:p>
            <w:pPr>
              <w:spacing w:before="0" w:after="0" w:line="240" w:lineRule="auto"/>
              <w:jc w:val="center"/>
            </w:pPr>
            <w:r>
              <w:rPr>
                <w:rFonts w:ascii="Inter" w:hAnsi="Inter"/>
                <w:b w:val="0"/>
                <w:i w:val="0"/>
                <w:color w:val="1F2937"/>
                <w:sz w:val="13"/>
              </w:rPr>
              <w:t>2</w:t>
            </w:r>
          </w:p>
        </w:tc>
        <w:tc>
          <w:tcPr>
            <w:tcW w:type="dxa" w:w="1612"/>
            <w:shd w:fill="F2F4F7"/>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9</w:t>
            </w:r>
          </w:p>
        </w:tc>
        <w:tc>
          <w:tcPr>
            <w:tcW w:type="dxa" w:w="1483"/>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multi hop</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100.0</w:t>
            </w:r>
          </w:p>
        </w:tc>
        <w:tc>
          <w:tcPr>
            <w:tcW w:type="dxa" w:w="907"/>
            <w:shd w:fill="FFFFFF"/>
            <w:tcMar>
              <w:top w:w="42" w:type="dxa"/>
              <w:start w:w="30" w:type="dxa"/>
              <w:bottom w:w="42" w:type="dxa"/>
              <w:end w:w="30" w:type="dxa"/>
            </w:tcMar>
          </w:tcPr>
          <w:p>
            <w:pPr>
              <w:spacing w:before="0" w:after="0" w:line="240" w:lineRule="auto"/>
              <w:jc w:val="center"/>
            </w:pPr>
            <w:r>
              <w:rPr>
                <w:rFonts w:ascii="Inter" w:hAnsi="Inter"/>
                <w:b w:val="0"/>
                <w:i w:val="0"/>
                <w:color w:val="0B6E4F"/>
                <w:sz w:val="13"/>
              </w:rPr>
              <w:t>100.0</w:t>
            </w:r>
          </w:p>
        </w:tc>
        <w:tc>
          <w:tcPr>
            <w:tcW w:type="dxa" w:w="1756"/>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hybrid</w:t>
            </w:r>
          </w:p>
        </w:tc>
        <w:tc>
          <w:tcPr>
            <w:tcW w:type="dxa" w:w="792"/>
            <w:shd w:fill="FFFFFF"/>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FFFFFF"/>
            <w:tcMar>
              <w:top w:w="42" w:type="dxa"/>
              <w:start w:w="30" w:type="dxa"/>
              <w:bottom w:w="42" w:type="dxa"/>
              <w:end w:w="30" w:type="dxa"/>
            </w:tcMar>
          </w:tcPr>
          <w:p>
            <w:pPr>
              <w:spacing w:before="0" w:after="0" w:line="240" w:lineRule="auto"/>
              <w:jc w:val="center"/>
            </w:pPr>
            <w:r>
              <w:rPr>
                <w:rFonts w:ascii="Inter" w:hAnsi="Inter"/>
                <w:b/>
                <w:i w:val="0"/>
                <w:color w:val="1F2937"/>
                <w:sz w:val="13"/>
              </w:rPr>
              <w:t>Tie</w:t>
            </w:r>
          </w:p>
        </w:tc>
      </w:tr>
      <w:tr>
        <w:tc>
          <w:tcPr>
            <w:tcW w:type="dxa" w:w="503"/>
            <w:shd w:fill="E8F5EE"/>
            <w:tcMar>
              <w:top w:w="42" w:type="dxa"/>
              <w:start w:w="30" w:type="dxa"/>
              <w:bottom w:w="42" w:type="dxa"/>
              <w:end w:w="30" w:type="dxa"/>
            </w:tcMar>
          </w:tcPr>
          <w:p>
            <w:pPr>
              <w:spacing w:before="0" w:after="0" w:line="240" w:lineRule="auto"/>
              <w:jc w:val="center"/>
            </w:pPr>
            <w:r>
              <w:rPr>
                <w:rFonts w:ascii="Inter" w:hAnsi="Inter"/>
                <w:b/>
                <w:i w:val="0"/>
                <w:color w:val="1F2937"/>
                <w:sz w:val="13"/>
              </w:rPr>
              <w:t>10</w:t>
            </w:r>
          </w:p>
        </w:tc>
        <w:tc>
          <w:tcPr>
            <w:tcW w:type="dxa" w:w="1483"/>
            <w:shd w:fill="E8F5EE"/>
            <w:tcMar>
              <w:top w:w="42" w:type="dxa"/>
              <w:start w:w="30" w:type="dxa"/>
              <w:bottom w:w="42" w:type="dxa"/>
              <w:end w:w="30" w:type="dxa"/>
            </w:tcMar>
          </w:tcPr>
          <w:p>
            <w:pPr>
              <w:spacing w:before="0" w:after="0" w:line="240" w:lineRule="auto"/>
              <w:jc w:val="center"/>
            </w:pPr>
            <w:r>
              <w:rPr>
                <w:rFonts w:ascii="Inter" w:hAnsi="Inter"/>
                <w:b w:val="0"/>
                <w:i w:val="0"/>
                <w:color w:val="1F2937"/>
                <w:sz w:val="13"/>
              </w:rPr>
              <w:t>multi hop</w:t>
            </w:r>
          </w:p>
        </w:tc>
        <w:tc>
          <w:tcPr>
            <w:tcW w:type="dxa" w:w="907"/>
            <w:shd w:fill="E8F5EE"/>
            <w:tcMar>
              <w:top w:w="42" w:type="dxa"/>
              <w:start w:w="30" w:type="dxa"/>
              <w:bottom w:w="42" w:type="dxa"/>
              <w:end w:w="30" w:type="dxa"/>
            </w:tcMar>
          </w:tcPr>
          <w:p>
            <w:pPr>
              <w:spacing w:before="0" w:after="0" w:line="240" w:lineRule="auto"/>
              <w:jc w:val="center"/>
            </w:pPr>
            <w:r>
              <w:rPr>
                <w:rFonts w:ascii="Inter" w:hAnsi="Inter"/>
                <w:b w:val="0"/>
                <w:i w:val="0"/>
                <w:color w:val="1F2937"/>
                <w:sz w:val="13"/>
              </w:rPr>
              <w:t>66.7</w:t>
            </w:r>
          </w:p>
        </w:tc>
        <w:tc>
          <w:tcPr>
            <w:tcW w:type="dxa" w:w="907"/>
            <w:shd w:fill="E8F5EE"/>
            <w:tcMar>
              <w:top w:w="42" w:type="dxa"/>
              <w:start w:w="30" w:type="dxa"/>
              <w:bottom w:w="42" w:type="dxa"/>
              <w:end w:w="30" w:type="dxa"/>
            </w:tcMar>
          </w:tcPr>
          <w:p>
            <w:pPr>
              <w:spacing w:before="0" w:after="0" w:line="240" w:lineRule="auto"/>
              <w:jc w:val="center"/>
            </w:pPr>
            <w:r>
              <w:rPr>
                <w:rFonts w:ascii="Inter" w:hAnsi="Inter"/>
                <w:b w:val="0"/>
                <w:i w:val="0"/>
                <w:color w:val="1F2937"/>
                <w:sz w:val="13"/>
              </w:rPr>
              <w:t>16.7</w:t>
            </w:r>
          </w:p>
        </w:tc>
        <w:tc>
          <w:tcPr>
            <w:tcW w:type="dxa" w:w="907"/>
            <w:shd w:fill="E8F5EE"/>
            <w:tcMar>
              <w:top w:w="42" w:type="dxa"/>
              <w:start w:w="30" w:type="dxa"/>
              <w:bottom w:w="42" w:type="dxa"/>
              <w:end w:w="30" w:type="dxa"/>
            </w:tcMar>
          </w:tcPr>
          <w:p>
            <w:pPr>
              <w:spacing w:before="0" w:after="0" w:line="240" w:lineRule="auto"/>
              <w:jc w:val="center"/>
            </w:pPr>
            <w:r>
              <w:rPr>
                <w:rFonts w:ascii="Inter" w:hAnsi="Inter"/>
                <w:b/>
                <w:i w:val="0"/>
                <w:color w:val="0B6E4F"/>
                <w:sz w:val="13"/>
              </w:rPr>
              <w:t>100.0</w:t>
            </w:r>
          </w:p>
        </w:tc>
        <w:tc>
          <w:tcPr>
            <w:tcW w:type="dxa" w:w="1756"/>
            <w:shd w:fill="E8F5EE"/>
            <w:tcMar>
              <w:top w:w="42" w:type="dxa"/>
              <w:start w:w="30" w:type="dxa"/>
              <w:bottom w:w="42" w:type="dxa"/>
              <w:end w:w="30" w:type="dxa"/>
            </w:tcMar>
          </w:tcPr>
          <w:p>
            <w:pPr>
              <w:spacing w:before="0" w:after="0" w:line="240" w:lineRule="auto"/>
              <w:jc w:val="center"/>
            </w:pPr>
            <w:r>
              <w:rPr>
                <w:rFonts w:ascii="Inter" w:hAnsi="Inter"/>
                <w:b w:val="0"/>
                <w:i w:val="0"/>
                <w:color w:val="1F2937"/>
                <w:sz w:val="13"/>
              </w:rPr>
              <w:t>hybrid</w:t>
            </w:r>
          </w:p>
        </w:tc>
        <w:tc>
          <w:tcPr>
            <w:tcW w:type="dxa" w:w="792"/>
            <w:shd w:fill="E8F5EE"/>
            <w:tcMar>
              <w:top w:w="42" w:type="dxa"/>
              <w:start w:w="30" w:type="dxa"/>
              <w:bottom w:w="42" w:type="dxa"/>
              <w:end w:w="30" w:type="dxa"/>
            </w:tcMar>
          </w:tcPr>
          <w:p>
            <w:pPr>
              <w:spacing w:before="0" w:after="0" w:line="240" w:lineRule="auto"/>
              <w:jc w:val="center"/>
            </w:pPr>
            <w:r>
              <w:rPr>
                <w:rFonts w:ascii="Inter" w:hAnsi="Inter"/>
                <w:b w:val="0"/>
                <w:i w:val="0"/>
                <w:color w:val="1F2937"/>
                <w:sz w:val="13"/>
              </w:rPr>
              <w:t>1</w:t>
            </w:r>
          </w:p>
        </w:tc>
        <w:tc>
          <w:tcPr>
            <w:tcW w:type="dxa" w:w="1612"/>
            <w:shd w:fill="E8F5EE"/>
            <w:tcMar>
              <w:top w:w="42" w:type="dxa"/>
              <w:start w:w="30" w:type="dxa"/>
              <w:bottom w:w="42" w:type="dxa"/>
              <w:end w:w="30" w:type="dxa"/>
            </w:tcMar>
          </w:tcPr>
          <w:p>
            <w:pPr>
              <w:spacing w:before="0" w:after="0" w:line="240" w:lineRule="auto"/>
              <w:jc w:val="center"/>
            </w:pPr>
            <w:r>
              <w:rPr>
                <w:rFonts w:ascii="Inter" w:hAnsi="Inter"/>
                <w:b/>
                <w:i w:val="0"/>
                <w:color w:val="1F2937"/>
                <w:sz w:val="13"/>
              </w:rPr>
              <w:t>Agentic RAG</w:t>
            </w:r>
          </w:p>
        </w:tc>
      </w:tr>
    </w:tbl>
    <w:p>
      <w:pPr>
        <w:spacing w:before="40" w:after="40" w:line="252" w:lineRule="auto"/>
      </w:pPr>
      <w:r>
        <w:rPr>
          <w:rFonts w:ascii="Inter" w:hAnsi="Inter"/>
          <w:b w:val="0"/>
          <w:i/>
          <w:color w:val="667085"/>
          <w:sz w:val="13"/>
        </w:rPr>
        <w:t>Scores are normalized judge scores (%). “Tie” uses the same 5 percentage-point threshold used in the baseline comparison.</w:t>
      </w:r>
    </w:p>
    <w:p>
      <w:pPr>
        <w:keepNext/>
        <w:pageBreakBefore w:val="0"/>
        <w:spacing w:before="60" w:after="80" w:line="240" w:lineRule="auto"/>
      </w:pPr>
      <w:r>
        <w:rPr>
          <w:rFonts w:ascii="Inter Display" w:hAnsi="Inter Display"/>
          <w:b/>
          <w:i w:val="0"/>
          <w:color w:val="2F5597"/>
          <w:sz w:val="23"/>
        </w:rPr>
        <w:t>What the Results Show</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951"/>
            <w:shd w:fill="17365D"/>
            <w:tcMar>
              <w:top w:w="60" w:type="dxa"/>
              <w:start w:w="80" w:type="dxa"/>
              <w:bottom w:w="60" w:type="dxa"/>
              <w:end w:w="80" w:type="dxa"/>
            </w:tcMar>
          </w:tcPr>
          <w:p>
            <w:r>
              <w:rPr>
                <w:rFonts w:ascii="Inter" w:hAnsi="Inter"/>
                <w:b/>
                <w:i w:val="0"/>
                <w:color w:val="FFFFFF"/>
                <w:sz w:val="16"/>
              </w:rPr>
              <w:t>Finding</w:t>
            </w:r>
          </w:p>
        </w:tc>
        <w:tc>
          <w:tcPr>
            <w:tcW w:type="dxa" w:w="7128"/>
            <w:shd w:fill="17365D"/>
            <w:tcMar>
              <w:top w:w="60" w:type="dxa"/>
              <w:start w:w="80" w:type="dxa"/>
              <w:bottom w:w="60" w:type="dxa"/>
              <w:end w:w="80" w:type="dxa"/>
            </w:tcMar>
          </w:tcPr>
          <w:p>
            <w:r>
              <w:rPr>
                <w:rFonts w:ascii="Inter" w:hAnsi="Inter"/>
                <w:b/>
                <w:i w:val="0"/>
                <w:color w:val="FFFFFF"/>
                <w:sz w:val="16"/>
              </w:rPr>
              <w:t>Interpretation</w:t>
            </w:r>
          </w:p>
        </w:tc>
      </w:tr>
      <w:tr>
        <w:tc>
          <w:tcPr>
            <w:tcW w:type="dxa" w:w="2951"/>
            <w:shd w:fill="FFFFFF"/>
            <w:tcMar>
              <w:top w:w="55" w:type="dxa"/>
              <w:start w:w="80" w:type="dxa"/>
              <w:bottom w:w="55" w:type="dxa"/>
              <w:end w:w="80" w:type="dxa"/>
            </w:tcMar>
          </w:tcPr>
          <w:p>
            <w:pPr>
              <w:spacing w:before="0" w:after="0" w:line="240" w:lineRule="auto"/>
            </w:pPr>
            <w:r>
              <w:rPr>
                <w:rFonts w:ascii="Inter" w:hAnsi="Inter"/>
                <w:b/>
                <w:i w:val="0"/>
                <w:color w:val="1F2937"/>
                <w:sz w:val="16"/>
              </w:rPr>
              <w:t>Agentic RAG delivered the best overall quality</w:t>
            </w:r>
          </w:p>
        </w:tc>
        <w:tc>
          <w:tcPr>
            <w:tcW w:type="dxa" w:w="7128"/>
            <w:shd w:fill="FFFFFF"/>
            <w:tcMar>
              <w:top w:w="55" w:type="dxa"/>
              <w:start w:w="80" w:type="dxa"/>
              <w:bottom w:w="55" w:type="dxa"/>
              <w:end w:w="80" w:type="dxa"/>
            </w:tcMar>
          </w:tcPr>
          <w:p>
            <w:pPr>
              <w:spacing w:before="0" w:after="0" w:line="240" w:lineRule="auto"/>
            </w:pPr>
            <w:r>
              <w:rPr>
                <w:rFonts w:ascii="Inter" w:hAnsi="Inter"/>
                <w:b w:val="0"/>
                <w:i w:val="0"/>
                <w:color w:val="1F2937"/>
                <w:sz w:val="16"/>
              </w:rPr>
              <w:t>Average quality was 98.3% vs. 88.3% for GraphRAG and 85.0% for Vector RAG. It matched the best static system on eight questions, underperformed on Q5, and uniquely outperformed both baselines on Q10.</w:t>
            </w:r>
          </w:p>
        </w:tc>
      </w:tr>
      <w:tr>
        <w:tc>
          <w:tcPr>
            <w:tcW w:type="dxa" w:w="2951"/>
            <w:shd w:fill="F2F4F7"/>
            <w:tcMar>
              <w:top w:w="55" w:type="dxa"/>
              <w:start w:w="80" w:type="dxa"/>
              <w:bottom w:w="55" w:type="dxa"/>
              <w:end w:w="80" w:type="dxa"/>
            </w:tcMar>
          </w:tcPr>
          <w:p>
            <w:pPr>
              <w:spacing w:before="0" w:after="0" w:line="240" w:lineRule="auto"/>
            </w:pPr>
            <w:r>
              <w:rPr>
                <w:rFonts w:ascii="Inter" w:hAnsi="Inter"/>
                <w:b/>
                <w:i w:val="0"/>
                <w:color w:val="1F2937"/>
                <w:sz w:val="16"/>
              </w:rPr>
              <w:t>Q8 demonstrated useful recovery</w:t>
            </w:r>
          </w:p>
        </w:tc>
        <w:tc>
          <w:tcPr>
            <w:tcW w:type="dxa" w:w="7128"/>
            <w:shd w:fill="F2F4F7"/>
            <w:tcMar>
              <w:top w:w="55" w:type="dxa"/>
              <w:start w:w="80" w:type="dxa"/>
              <w:bottom w:w="55" w:type="dxa"/>
              <w:end w:w="80" w:type="dxa"/>
            </w:tcMar>
          </w:tcPr>
          <w:p>
            <w:pPr>
              <w:spacing w:before="0" w:after="0" w:line="240" w:lineRule="auto"/>
            </w:pPr>
            <w:r>
              <w:rPr>
                <w:rFonts w:ascii="Inter" w:hAnsi="Inter"/>
                <w:b w:val="0"/>
                <w:i w:val="0"/>
                <w:color w:val="1F2937"/>
                <w:sz w:val="16"/>
              </w:rPr>
              <w:t>The planner initially chose Graph, but the graph returned no evidence because the required relationship path was incomplete. The grader marked the evidence insufficient; deterministic fallback broadened the second attempt to Hybrid, allowing vector evidence to recover the answer.</w:t>
            </w:r>
          </w:p>
        </w:tc>
      </w:tr>
      <w:tr>
        <w:tc>
          <w:tcPr>
            <w:tcW w:type="dxa" w:w="2951"/>
            <w:shd w:fill="FFFFFF"/>
            <w:tcMar>
              <w:top w:w="55" w:type="dxa"/>
              <w:start w:w="80" w:type="dxa"/>
              <w:bottom w:w="55" w:type="dxa"/>
              <w:end w:w="80" w:type="dxa"/>
            </w:tcMar>
          </w:tcPr>
          <w:p>
            <w:pPr>
              <w:spacing w:before="0" w:after="0" w:line="240" w:lineRule="auto"/>
            </w:pPr>
            <w:r>
              <w:rPr>
                <w:rFonts w:ascii="Inter" w:hAnsi="Inter"/>
                <w:b/>
                <w:i w:val="0"/>
                <w:color w:val="1F2937"/>
                <w:sz w:val="16"/>
              </w:rPr>
              <w:t>Q10 demonstrated agentic synthesis value</w:t>
            </w:r>
          </w:p>
        </w:tc>
        <w:tc>
          <w:tcPr>
            <w:tcW w:type="dxa" w:w="7128"/>
            <w:shd w:fill="FFFFFF"/>
            <w:tcMar>
              <w:top w:w="55" w:type="dxa"/>
              <w:start w:w="80" w:type="dxa"/>
              <w:bottom w:w="55" w:type="dxa"/>
              <w:end w:w="80" w:type="dxa"/>
            </w:tcMar>
          </w:tcPr>
          <w:p>
            <w:pPr>
              <w:spacing w:before="0" w:after="0" w:line="240" w:lineRule="auto"/>
            </w:pPr>
            <w:r>
              <w:rPr>
                <w:rFonts w:ascii="Inter" w:hAnsi="Inter"/>
                <w:b w:val="0"/>
                <w:i w:val="0"/>
                <w:color w:val="1F2937"/>
                <w:sz w:val="16"/>
              </w:rPr>
              <w:t>GraphRAG scored 66.7 and Vector RAG 16.7, while the final agent scored 100. After fixing list-completeness instructions, Hybrid retrieval preserved all seven valid graph decisions instead of allowing narrower vector passages to suppress structured results.</w:t>
            </w:r>
          </w:p>
        </w:tc>
      </w:tr>
    </w:tbl>
    <w:tbl>
      <w:tblPr>
        <w:tblW w:type="auto" w:w="0"/>
        <w:jc w:val="center"/>
        <w:tblLook w:firstColumn="1" w:firstRow="1" w:lastColumn="0" w:lastRow="0" w:noHBand="0" w:noVBand="1" w:val="04A0"/>
      </w:tblPr>
      <w:tblGrid>
        <w:gridCol w:w="10570"/>
      </w:tblGrid>
      <w:tr>
        <w:tc>
          <w:tcPr>
            <w:tcW w:type="dxa" w:w="10570"/>
            <w:shd w:fill="FFF3E0"/>
            <w:tcMar>
              <w:top w:w="90" w:type="dxa"/>
              <w:start w:w="110" w:type="dxa"/>
              <w:bottom w:w="90" w:type="dxa"/>
              <w:end w:w="110" w:type="dxa"/>
            </w:tcMar>
            <w:tcBorders>
              <w:top w:val="single" w:sz="10" w:color="A15C00"/>
              <w:left w:val="single" w:sz="18" w:color="A15C00"/>
              <w:bottom w:val="single" w:sz="10" w:color="A15C00"/>
              <w:right w:val="single" w:sz="10" w:color="A15C00"/>
            </w:tcBorders>
          </w:tcPr>
          <w:p>
            <w:pPr>
              <w:spacing w:before="0" w:after="40" w:line="252" w:lineRule="auto"/>
            </w:pPr>
            <w:r>
              <w:rPr>
                <w:rFonts w:ascii="Inter" w:hAnsi="Inter"/>
                <w:b/>
                <w:i w:val="0"/>
                <w:color w:val="A15C00"/>
                <w:sz w:val="17"/>
              </w:rPr>
              <w:t xml:space="preserve">Quality–latency tradeoff.  </w:t>
            </w:r>
            <w:r>
              <w:rPr>
                <w:rFonts w:ascii="Inter" w:hAnsi="Inter"/>
                <w:b w:val="0"/>
                <w:i w:val="0"/>
                <w:color w:val="1F2937"/>
                <w:sz w:val="17"/>
              </w:rPr>
              <w:t>The agent’s average latency was 15.43s, compared with 1.47s for GraphRAG and 2.29s for Vector RAG. The extra time comes from planner, grader, possible replanning, and final generation calls. For this project I prioritized traceability and answer quality over minimum latency.</w:t>
            </w:r>
          </w:p>
        </w:tc>
      </w:tr>
    </w:tbl>
    <w:p>
      <w:pPr>
        <w:keepNext/>
        <w:spacing w:before="100" w:after="40" w:line="240" w:lineRule="auto"/>
      </w:pPr>
      <w:r>
        <w:rPr>
          <w:rFonts w:ascii="Inter Display" w:hAnsi="Inter Display" w:eastAsia="Inter Display"/>
          <w:b/>
          <w:i w:val="0"/>
          <w:color w:val="2F5597"/>
          <w:sz w:val="24"/>
        </w:rPr>
        <w:t>4. Prompts and Agent Instructions</w:t>
      </w:r>
    </w:p>
    <w:p>
      <w:pPr>
        <w:spacing w:before="0" w:after="40" w:line="240" w:lineRule="auto"/>
      </w:pPr>
      <w:r>
        <w:rPr>
          <w:rFonts w:ascii="Inter" w:hAnsi="Inter" w:eastAsia="Inter"/>
          <w:b w:val="0"/>
          <w:i w:val="0"/>
          <w:color w:val="1F2937"/>
          <w:sz w:val="15"/>
        </w:rPr>
        <w:t>The workflow used separate, tightly scoped prompts for extraction, retrieval planning, evidence grading/replanning, and final synthesis. The full prompts live in the notebooks/code; the key instructions are summarized below.</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285"/>
        <w:gridCol w:w="5285"/>
      </w:tblGrid>
      <w:tr>
        <w:trPr>
          <w:tblHeader w:val="true"/>
          <w:cantSplit/>
        </w:trPr>
        <w:tc>
          <w:tcPr>
            <w:tcW w:type="dxa" w:w="2376"/>
            <w:shd w:fill="17365D"/>
            <w:tcMar>
              <w:top w:w="30" w:type="dxa"/>
              <w:start w:w="45" w:type="dxa"/>
              <w:bottom w:w="30" w:type="dxa"/>
              <w:end w:w="45" w:type="dxa"/>
            </w:tcMar>
            <w:vAlign w:val="center"/>
          </w:tcPr>
          <w:p>
            <w:pPr>
              <w:spacing w:before="0" w:after="0" w:line="240" w:lineRule="auto"/>
            </w:pPr>
            <w:r>
              <w:rPr>
                <w:rFonts w:ascii="Inter" w:hAnsi="Inter" w:eastAsia="Inter"/>
                <w:b/>
                <w:i w:val="0"/>
                <w:color w:val="FFFFFF"/>
                <w:sz w:val="13"/>
              </w:rPr>
              <w:t>Prompt / agent stage</w:t>
            </w:r>
          </w:p>
        </w:tc>
        <w:tc>
          <w:tcPr>
            <w:tcW w:type="dxa" w:w="7703"/>
            <w:shd w:fill="17365D"/>
            <w:tcMar>
              <w:top w:w="30" w:type="dxa"/>
              <w:start w:w="45" w:type="dxa"/>
              <w:bottom w:w="30" w:type="dxa"/>
              <w:end w:w="45" w:type="dxa"/>
            </w:tcMar>
            <w:vAlign w:val="center"/>
          </w:tcPr>
          <w:p>
            <w:pPr>
              <w:spacing w:before="0" w:after="0" w:line="240" w:lineRule="auto"/>
            </w:pPr>
            <w:r>
              <w:rPr>
                <w:rFonts w:ascii="Inter" w:hAnsi="Inter" w:eastAsia="Inter"/>
                <w:b/>
                <w:i w:val="0"/>
                <w:color w:val="FFFFFF"/>
                <w:sz w:val="13"/>
              </w:rPr>
              <w:t>Core instructions</w:t>
            </w:r>
          </w:p>
        </w:tc>
      </w:tr>
      <w:tr>
        <w:trPr>
          <w:cantSplit/>
        </w:trPr>
        <w:tc>
          <w:tcPr>
            <w:tcW w:type="dxa" w:w="2376"/>
            <w:shd w:fill="FFFFFF"/>
            <w:tcMar>
              <w:top w:w="28" w:type="dxa"/>
              <w:start w:w="45" w:type="dxa"/>
              <w:bottom w:w="28" w:type="dxa"/>
              <w:end w:w="45" w:type="dxa"/>
            </w:tcMar>
            <w:vAlign w:val="center"/>
          </w:tcPr>
          <w:p>
            <w:pPr>
              <w:spacing w:before="0" w:after="0" w:line="228" w:lineRule="auto"/>
            </w:pPr>
            <w:r>
              <w:rPr>
                <w:rFonts w:ascii="Inter" w:hAnsi="Inter" w:eastAsia="Inter"/>
                <w:b/>
                <w:i w:val="0"/>
                <w:color w:val="1F2937"/>
                <w:sz w:val="13"/>
              </w:rPr>
              <w:t>Knowledge-graph extraction</w:t>
            </w:r>
          </w:p>
        </w:tc>
        <w:tc>
          <w:tcPr>
            <w:tcW w:type="dxa" w:w="7703"/>
            <w:shd w:fill="FFFFFF"/>
            <w:tcMar>
              <w:top w:w="28" w:type="dxa"/>
              <w:start w:w="45" w:type="dxa"/>
              <w:bottom w:w="28" w:type="dxa"/>
              <w:end w:w="45" w:type="dxa"/>
            </w:tcMar>
            <w:vAlign w:val="center"/>
          </w:tcPr>
          <w:p>
            <w:pPr>
              <w:spacing w:before="0" w:after="0" w:line="228" w:lineRule="auto"/>
            </w:pPr>
            <w:r>
              <w:rPr>
                <w:rFonts w:ascii="Inter" w:hAnsi="Inter" w:eastAsia="Inter"/>
                <w:b w:val="0"/>
                <w:i w:val="0"/>
                <w:color w:val="1F2937"/>
                <w:sz w:val="13"/>
              </w:rPr>
              <w:t>Extract every explicit relationship; expand lists into individual paths; use human-readable canonical names; distinguish Skill from Technology; do not infer facts that are not stated.</w:t>
            </w:r>
          </w:p>
        </w:tc>
      </w:tr>
      <w:tr>
        <w:trPr>
          <w:cantSplit/>
        </w:trPr>
        <w:tc>
          <w:tcPr>
            <w:tcW w:type="dxa" w:w="2376"/>
            <w:shd w:fill="F3F4F6"/>
            <w:tcMar>
              <w:top w:w="28" w:type="dxa"/>
              <w:start w:w="45" w:type="dxa"/>
              <w:bottom w:w="28" w:type="dxa"/>
              <w:end w:w="45" w:type="dxa"/>
            </w:tcMar>
            <w:vAlign w:val="center"/>
          </w:tcPr>
          <w:p>
            <w:pPr>
              <w:spacing w:before="0" w:after="0" w:line="228" w:lineRule="auto"/>
            </w:pPr>
            <w:r>
              <w:rPr>
                <w:rFonts w:ascii="Inter" w:hAnsi="Inter" w:eastAsia="Inter"/>
                <w:b/>
                <w:i w:val="0"/>
                <w:color w:val="1F2937"/>
                <w:sz w:val="13"/>
              </w:rPr>
              <w:t>Planner + tool calling</w:t>
            </w:r>
          </w:p>
        </w:tc>
        <w:tc>
          <w:tcPr>
            <w:tcW w:type="dxa" w:w="7703"/>
            <w:shd w:fill="F3F4F6"/>
            <w:tcMar>
              <w:top w:w="28" w:type="dxa"/>
              <w:start w:w="45" w:type="dxa"/>
              <w:bottom w:w="28" w:type="dxa"/>
              <w:end w:w="45" w:type="dxa"/>
            </w:tcMar>
            <w:vAlign w:val="center"/>
          </w:tcPr>
          <w:p>
            <w:pPr>
              <w:spacing w:before="0" w:after="0" w:line="228" w:lineRule="auto"/>
            </w:pPr>
            <w:r>
              <w:rPr>
                <w:rFonts w:ascii="Inter" w:hAnsi="Inter" w:eastAsia="Inter"/>
                <w:b w:val="0"/>
                <w:i w:val="0"/>
                <w:color w:val="1F2937"/>
                <w:sz w:val="13"/>
              </w:rPr>
              <w:t>Choose Graph, Vector, or Hybrid; select only a trusted graph intent; use known entity names exactly; populate every required Cypher parameter; return structured JSON. Python validates the plan before Neo4j executes it.</w:t>
            </w:r>
          </w:p>
        </w:tc>
      </w:tr>
      <w:tr>
        <w:trPr>
          <w:cantSplit/>
        </w:trPr>
        <w:tc>
          <w:tcPr>
            <w:tcW w:type="dxa" w:w="2376"/>
            <w:shd w:fill="FFFFFF"/>
            <w:tcMar>
              <w:top w:w="28" w:type="dxa"/>
              <w:start w:w="45" w:type="dxa"/>
              <w:bottom w:w="28" w:type="dxa"/>
              <w:end w:w="45" w:type="dxa"/>
            </w:tcMar>
            <w:vAlign w:val="center"/>
          </w:tcPr>
          <w:p>
            <w:pPr>
              <w:spacing w:before="0" w:after="0" w:line="228" w:lineRule="auto"/>
            </w:pPr>
            <w:r>
              <w:rPr>
                <w:rFonts w:ascii="Inter" w:hAnsi="Inter" w:eastAsia="Inter"/>
                <w:b/>
                <w:i w:val="0"/>
                <w:color w:val="1F2937"/>
                <w:sz w:val="13"/>
              </w:rPr>
              <w:t>Evidence grader + replanner</w:t>
            </w:r>
          </w:p>
        </w:tc>
        <w:tc>
          <w:tcPr>
            <w:tcW w:type="dxa" w:w="7703"/>
            <w:shd w:fill="FFFFFF"/>
            <w:tcMar>
              <w:top w:w="28" w:type="dxa"/>
              <w:start w:w="45" w:type="dxa"/>
              <w:bottom w:w="28" w:type="dxa"/>
              <w:end w:w="45" w:type="dxa"/>
            </w:tcMar>
            <w:vAlign w:val="center"/>
          </w:tcPr>
          <w:p>
            <w:pPr>
              <w:spacing w:before="0" w:after="0" w:line="228" w:lineRule="auto"/>
            </w:pPr>
            <w:r>
              <w:rPr>
                <w:rFonts w:ascii="Inter" w:hAnsi="Inter" w:eastAsia="Inter"/>
                <w:b w:val="0"/>
                <w:i w:val="0"/>
                <w:color w:val="1F2937"/>
                <w:sz w:val="13"/>
              </w:rPr>
              <w:t>Judge only whether retrieved evidence is sufficient for a complete, faithful answer; do not answer the question or use benchmark ground truth. If evidence is missing, recommend a broader route; never repeat the exact same failed plan.</w:t>
            </w:r>
          </w:p>
        </w:tc>
      </w:tr>
      <w:tr>
        <w:trPr>
          <w:cantSplit/>
        </w:trPr>
        <w:tc>
          <w:tcPr>
            <w:tcW w:type="dxa" w:w="2376"/>
            <w:shd w:fill="F3F4F6"/>
            <w:tcMar>
              <w:top w:w="28" w:type="dxa"/>
              <w:start w:w="45" w:type="dxa"/>
              <w:bottom w:w="28" w:type="dxa"/>
              <w:end w:w="45" w:type="dxa"/>
            </w:tcMar>
            <w:vAlign w:val="center"/>
          </w:tcPr>
          <w:p>
            <w:pPr>
              <w:spacing w:before="0" w:after="0" w:line="228" w:lineRule="auto"/>
            </w:pPr>
            <w:r>
              <w:rPr>
                <w:rFonts w:ascii="Inter" w:hAnsi="Inter" w:eastAsia="Inter"/>
                <w:b/>
                <w:i w:val="0"/>
                <w:color w:val="1F2937"/>
                <w:sz w:val="13"/>
              </w:rPr>
              <w:t>Grounded answer generation</w:t>
            </w:r>
          </w:p>
        </w:tc>
        <w:tc>
          <w:tcPr>
            <w:tcW w:type="dxa" w:w="7703"/>
            <w:shd w:fill="F3F4F6"/>
            <w:tcMar>
              <w:top w:w="28" w:type="dxa"/>
              <w:start w:w="45" w:type="dxa"/>
              <w:bottom w:w="28" w:type="dxa"/>
              <w:end w:w="45" w:type="dxa"/>
            </w:tcMar>
            <w:vAlign w:val="center"/>
          </w:tcPr>
          <w:p>
            <w:pPr>
              <w:spacing w:before="0" w:after="0" w:line="228" w:lineRule="auto"/>
            </w:pPr>
            <w:r>
              <w:rPr>
                <w:rFonts w:ascii="Inter" w:hAnsi="Inter" w:eastAsia="Inter"/>
                <w:b w:val="0"/>
                <w:i w:val="0"/>
                <w:color w:val="1F2937"/>
                <w:sz w:val="13"/>
              </w:rPr>
              <w:t>Use retrieved evidence only. Treat graph rows as authoritative for structured relationship/list questions and vector passages as narrative context. Include every unique relevant graph row; state when evidence is insufficient.</w:t>
            </w:r>
          </w:p>
        </w:tc>
      </w:tr>
    </w:tbl>
    <w:p>
      <w:pPr>
        <w:keepNext/>
        <w:pageBreakBefore/>
        <w:spacing w:before="100" w:after="80" w:line="240" w:lineRule="auto"/>
      </w:pPr>
      <w:r>
        <w:rPr>
          <w:rFonts w:ascii="Inter Display" w:hAnsi="Inter Display" w:eastAsia="Inter Display"/>
          <w:b/>
          <w:color w:val="17365D"/>
          <w:sz w:val="30"/>
        </w:rPr>
        <w:t>5. Iterations, Failure Analysis, and Learnings</w:t>
      </w:r>
    </w:p>
    <w:p>
      <w:pPr>
        <w:spacing w:before="0" w:after="80" w:line="259" w:lineRule="auto"/>
      </w:pPr>
      <w:r>
        <w:rPr>
          <w:rFonts w:ascii="Inter" w:hAnsi="Inter"/>
          <w:b w:val="0"/>
          <w:i w:val="0"/>
          <w:color w:val="1F2937"/>
          <w:sz w:val="18"/>
        </w:rPr>
        <w:t>The most valuable part of the workflow was tracing failures to the correct layer before changing the system. Several issues that initially looked like “bad LLM answers” were actually schema, tool-call, graph-quality, benchmark, or synthesis problems.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880"/>
            <w:shd w:fill="17365D"/>
            <w:tcMar>
              <w:top w:w="60" w:type="dxa"/>
              <w:start w:w="80" w:type="dxa"/>
              <w:bottom w:w="60" w:type="dxa"/>
              <w:end w:w="80" w:type="dxa"/>
            </w:tcMar>
          </w:tcPr>
          <w:p>
            <w:r>
              <w:rPr>
                <w:rFonts w:ascii="Inter" w:hAnsi="Inter"/>
                <w:b/>
                <w:i w:val="0"/>
                <w:color w:val="FFFFFF"/>
                <w:sz w:val="16"/>
              </w:rPr>
              <w:t>Iteration</w:t>
            </w:r>
          </w:p>
        </w:tc>
        <w:tc>
          <w:tcPr>
            <w:tcW w:type="dxa" w:w="7200"/>
            <w:shd w:fill="17365D"/>
            <w:tcMar>
              <w:top w:w="60" w:type="dxa"/>
              <w:start w:w="80" w:type="dxa"/>
              <w:bottom w:w="60" w:type="dxa"/>
              <w:end w:w="80" w:type="dxa"/>
            </w:tcMar>
          </w:tcPr>
          <w:p>
            <w:r>
              <w:rPr>
                <w:rFonts w:ascii="Inter" w:hAnsi="Inter"/>
                <w:b/>
                <w:i w:val="0"/>
                <w:color w:val="FFFFFF"/>
                <w:sz w:val="16"/>
              </w:rPr>
              <w:t>What changed and why</w:t>
            </w:r>
          </w:p>
        </w:tc>
      </w:tr>
      <w:tr>
        <w:tc>
          <w:tcPr>
            <w:tcW w:type="dxa" w:w="2880"/>
            <w:shd w:fill="FFFFFF"/>
            <w:tcMar>
              <w:top w:w="55" w:type="dxa"/>
              <w:start w:w="80" w:type="dxa"/>
              <w:bottom w:w="55" w:type="dxa"/>
              <w:end w:w="80" w:type="dxa"/>
            </w:tcMar>
          </w:tcPr>
          <w:p>
            <w:pPr>
              <w:spacing w:before="0" w:after="0" w:line="240" w:lineRule="auto"/>
            </w:pPr>
            <w:r>
              <w:rPr>
                <w:rFonts w:ascii="Inter" w:hAnsi="Inter"/>
                <w:b/>
                <w:i w:val="0"/>
                <w:color w:val="1F2937"/>
                <w:sz w:val="15"/>
              </w:rPr>
              <w:t>1. Schema &amp; structured extraction</w:t>
            </w:r>
          </w:p>
        </w:tc>
        <w:tc>
          <w:tcPr>
            <w:tcW w:type="dxa" w:w="7200"/>
            <w:shd w:fill="FFFFFF"/>
            <w:tcMar>
              <w:top w:w="55" w:type="dxa"/>
              <w:start w:w="80" w:type="dxa"/>
              <w:bottom w:w="55" w:type="dxa"/>
              <w:end w:w="80" w:type="dxa"/>
            </w:tcMar>
          </w:tcPr>
          <w:p>
            <w:pPr>
              <w:spacing w:before="0" w:after="0" w:line="240" w:lineRule="auto"/>
            </w:pPr>
            <w:r>
              <w:rPr>
                <w:rFonts w:ascii="Inter" w:hAnsi="Inter"/>
                <w:b w:val="0"/>
                <w:i w:val="0"/>
                <w:color w:val="1F2937"/>
                <w:sz w:val="15"/>
              </w:rPr>
              <w:t>LlamaIndex normalized schema types internally, causing validation mismatches. I kept lists/dicts as the source of truth and added an uppercase Literal adapter only at the extraction boundary. Nebius structured-output mode and a larger token budget prevented tool-choice errors and truncated JSON.</w:t>
            </w:r>
          </w:p>
        </w:tc>
      </w:tr>
      <w:tr>
        <w:tc>
          <w:tcPr>
            <w:tcW w:type="dxa" w:w="2880"/>
            <w:shd w:fill="F2F4F7"/>
            <w:tcMar>
              <w:top w:w="55" w:type="dxa"/>
              <w:start w:w="80" w:type="dxa"/>
              <w:bottom w:w="55" w:type="dxa"/>
              <w:end w:w="80" w:type="dxa"/>
            </w:tcMar>
          </w:tcPr>
          <w:p>
            <w:pPr>
              <w:spacing w:before="0" w:after="0" w:line="240" w:lineRule="auto"/>
            </w:pPr>
            <w:r>
              <w:rPr>
                <w:rFonts w:ascii="Inter" w:hAnsi="Inter"/>
                <w:b/>
                <w:i w:val="0"/>
                <w:color w:val="1F2937"/>
                <w:sz w:val="15"/>
              </w:rPr>
              <w:t>2. Canonicalizing the knowledge graph</w:t>
            </w:r>
          </w:p>
        </w:tc>
        <w:tc>
          <w:tcPr>
            <w:tcW w:type="dxa" w:w="7200"/>
            <w:shd w:fill="F2F4F7"/>
            <w:tcMar>
              <w:top w:w="55" w:type="dxa"/>
              <w:start w:w="80" w:type="dxa"/>
              <w:bottom w:w="55" w:type="dxa"/>
              <w:end w:w="80" w:type="dxa"/>
            </w:tcMar>
          </w:tcPr>
          <w:p>
            <w:pPr>
              <w:spacing w:before="0" w:after="0" w:line="240" w:lineRule="auto"/>
            </w:pPr>
            <w:r>
              <w:rPr>
                <w:rFonts w:ascii="Inter" w:hAnsi="Inter"/>
                <w:b w:val="0"/>
                <w:i w:val="0"/>
                <w:color w:val="1F2937"/>
                <w:sz w:val="15"/>
              </w:rPr>
              <w:t>Raw extraction merged same-named Skill/Technology entities and produced non-canonical phrases. I saved the raw graph, normalized against the known vocabulary, separated Technology nodes, and added deterministic Document nodes for traceable evaluation.</w:t>
            </w:r>
          </w:p>
        </w:tc>
      </w:tr>
      <w:tr>
        <w:tc>
          <w:tcPr>
            <w:tcW w:type="dxa" w:w="2880"/>
            <w:shd w:fill="FFFFFF"/>
            <w:tcMar>
              <w:top w:w="55" w:type="dxa"/>
              <w:start w:w="80" w:type="dxa"/>
              <w:bottom w:w="55" w:type="dxa"/>
              <w:end w:w="80" w:type="dxa"/>
            </w:tcMar>
          </w:tcPr>
          <w:p>
            <w:pPr>
              <w:spacing w:before="0" w:after="0" w:line="240" w:lineRule="auto"/>
            </w:pPr>
            <w:r>
              <w:rPr>
                <w:rFonts w:ascii="Inter" w:hAnsi="Inter"/>
                <w:b/>
                <w:i w:val="0"/>
                <w:color w:val="1F2937"/>
                <w:sz w:val="15"/>
              </w:rPr>
              <w:t>3. Making graph retrieval reusable</w:t>
            </w:r>
          </w:p>
        </w:tc>
        <w:tc>
          <w:tcPr>
            <w:tcW w:type="dxa" w:w="7200"/>
            <w:shd w:fill="FFFFFF"/>
            <w:tcMar>
              <w:top w:w="55" w:type="dxa"/>
              <w:start w:w="80" w:type="dxa"/>
              <w:bottom w:w="55" w:type="dxa"/>
              <w:end w:w="80" w:type="dxa"/>
            </w:tcMar>
          </w:tcPr>
          <w:p>
            <w:pPr>
              <w:spacing w:before="0" w:after="0" w:line="240" w:lineRule="auto"/>
            </w:pPr>
            <w:r>
              <w:rPr>
                <w:rFonts w:ascii="Inter" w:hAnsi="Inter"/>
                <w:b w:val="0"/>
                <w:i w:val="0"/>
                <w:color w:val="1F2937"/>
                <w:sz w:val="15"/>
              </w:rPr>
              <w:t>The first seven graph intents covered only Q4–Q10, while Q1–Q3 were notebook-only patches. I moved all 10 intents into graph_retriever.py and derived required parameters from the actual Cypher templates.</w:t>
            </w:r>
          </w:p>
        </w:tc>
      </w:tr>
      <w:tr>
        <w:tc>
          <w:tcPr>
            <w:tcW w:type="dxa" w:w="2880"/>
            <w:shd w:fill="F2F4F7"/>
            <w:tcMar>
              <w:top w:w="55" w:type="dxa"/>
              <w:start w:w="80" w:type="dxa"/>
              <w:bottom w:w="55" w:type="dxa"/>
              <w:end w:w="80" w:type="dxa"/>
            </w:tcMar>
          </w:tcPr>
          <w:p>
            <w:pPr>
              <w:spacing w:before="0" w:after="0" w:line="240" w:lineRule="auto"/>
            </w:pPr>
            <w:r>
              <w:rPr>
                <w:rFonts w:ascii="Inter" w:hAnsi="Inter"/>
                <w:b/>
                <w:i w:val="0"/>
                <w:color w:val="1F2937"/>
                <w:sz w:val="15"/>
              </w:rPr>
              <w:t>4. Guarding planner tool calls</w:t>
            </w:r>
          </w:p>
        </w:tc>
        <w:tc>
          <w:tcPr>
            <w:tcW w:type="dxa" w:w="7200"/>
            <w:shd w:fill="F2F4F7"/>
            <w:tcMar>
              <w:top w:w="55" w:type="dxa"/>
              <w:start w:w="80" w:type="dxa"/>
              <w:bottom w:w="55" w:type="dxa"/>
              <w:end w:w="80" w:type="dxa"/>
            </w:tcMar>
          </w:tcPr>
          <w:p>
            <w:pPr>
              <w:spacing w:before="0" w:after="0" w:line="240" w:lineRule="auto"/>
            </w:pPr>
            <w:r>
              <w:rPr>
                <w:rFonts w:ascii="Inter" w:hAnsi="Inter"/>
                <w:b w:val="0"/>
                <w:i w:val="0"/>
                <w:color w:val="1F2937"/>
                <w:sz w:val="15"/>
              </w:rPr>
              <w:t>Q1 failed because the planner selected project_feature_technology without the required keyword parameter. Deterministic validation now blocks malformed graph calls before Neo4j execution.</w:t>
            </w:r>
          </w:p>
        </w:tc>
      </w:tr>
      <w:tr>
        <w:tc>
          <w:tcPr>
            <w:tcW w:type="dxa" w:w="2880"/>
            <w:shd w:fill="FFFFFF"/>
            <w:tcMar>
              <w:top w:w="55" w:type="dxa"/>
              <w:start w:w="80" w:type="dxa"/>
              <w:bottom w:w="55" w:type="dxa"/>
              <w:end w:w="80" w:type="dxa"/>
            </w:tcMar>
          </w:tcPr>
          <w:p>
            <w:pPr>
              <w:spacing w:before="0" w:after="0" w:line="240" w:lineRule="auto"/>
            </w:pPr>
            <w:r>
              <w:rPr>
                <w:rFonts w:ascii="Inter" w:hAnsi="Inter"/>
                <w:b/>
                <w:i w:val="0"/>
                <w:color w:val="1F2937"/>
                <w:sz w:val="15"/>
              </w:rPr>
              <w:t>5. Correcting the benchmark</w:t>
            </w:r>
          </w:p>
        </w:tc>
        <w:tc>
          <w:tcPr>
            <w:tcW w:type="dxa" w:w="7200"/>
            <w:shd w:fill="FFFFFF"/>
            <w:tcMar>
              <w:top w:w="55" w:type="dxa"/>
              <w:start w:w="80" w:type="dxa"/>
              <w:bottom w:w="55" w:type="dxa"/>
              <w:end w:w="80" w:type="dxa"/>
            </w:tcMar>
          </w:tcPr>
          <w:p>
            <w:pPr>
              <w:spacing w:before="0" w:after="0" w:line="240" w:lineRule="auto"/>
            </w:pPr>
            <w:r>
              <w:rPr>
                <w:rFonts w:ascii="Inter" w:hAnsi="Inter"/>
                <w:b w:val="0"/>
                <w:i w:val="0"/>
                <w:color w:val="1F2937"/>
                <w:sz w:val="15"/>
              </w:rPr>
              <w:t>Q10 originally expected five decisions, but the data logically supported seven because a Payments team member who worked on Phoenix connected Mercury decisions into the multi-hop path. I corrected the ground truth rather than forcing retrieval to match an incomplete label.</w:t>
            </w:r>
          </w:p>
        </w:tc>
      </w:tr>
      <w:tr>
        <w:tc>
          <w:tcPr>
            <w:tcW w:type="dxa" w:w="2880"/>
            <w:shd w:fill="F2F4F7"/>
            <w:tcMar>
              <w:top w:w="55" w:type="dxa"/>
              <w:start w:w="80" w:type="dxa"/>
              <w:bottom w:w="55" w:type="dxa"/>
              <w:end w:w="80" w:type="dxa"/>
            </w:tcMar>
          </w:tcPr>
          <w:p>
            <w:pPr>
              <w:spacing w:before="0" w:after="0" w:line="240" w:lineRule="auto"/>
            </w:pPr>
            <w:r>
              <w:rPr>
                <w:rFonts w:ascii="Inter" w:hAnsi="Inter"/>
                <w:b/>
                <w:i w:val="0"/>
                <w:color w:val="1F2937"/>
                <w:sz w:val="15"/>
              </w:rPr>
              <w:t>6. Agent fallback &amp; answer synthesis</w:t>
            </w:r>
          </w:p>
        </w:tc>
        <w:tc>
          <w:tcPr>
            <w:tcW w:type="dxa" w:w="7200"/>
            <w:shd w:fill="F2F4F7"/>
            <w:tcMar>
              <w:top w:w="55" w:type="dxa"/>
              <w:start w:w="80" w:type="dxa"/>
              <w:bottom w:w="55" w:type="dxa"/>
              <w:end w:w="80" w:type="dxa"/>
            </w:tcMar>
          </w:tcPr>
          <w:p>
            <w:pPr>
              <w:spacing w:before="0" w:after="0" w:line="240" w:lineRule="auto"/>
            </w:pPr>
            <w:r>
              <w:rPr>
                <w:rFonts w:ascii="Inter" w:hAnsi="Inter"/>
                <w:b w:val="0"/>
                <w:i w:val="0"/>
                <w:color w:val="1F2937"/>
                <w:sz w:val="15"/>
              </w:rPr>
              <w:t>Q8 exposed repeated failed graph actions, so I added Graph → Hybrid fallback and a no-repeat guardrail. Q10 retrieved the correct seven rows but initially generated only two; the answer prompt was strengthened so structured graph rows remain authoritative for list queries.</w:t>
            </w:r>
          </w:p>
        </w:tc>
      </w:tr>
    </w:tbl>
    <w:p>
      <w:pPr>
        <w:keepNext/>
        <w:pageBreakBefore w:val="0"/>
        <w:spacing w:before="60" w:after="80" w:line="240" w:lineRule="auto"/>
      </w:pPr>
      <w:r>
        <w:rPr>
          <w:rFonts w:ascii="Inter Display" w:hAnsi="Inter Display"/>
          <w:b/>
          <w:i w:val="0"/>
          <w:color w:val="2F5597"/>
          <w:sz w:val="23"/>
        </w:rPr>
        <w:t>Key Learnings and Observations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240"/>
            <w:shd w:fill="17365D"/>
            <w:tcMar>
              <w:top w:w="60" w:type="dxa"/>
              <w:start w:w="80" w:type="dxa"/>
              <w:bottom w:w="60" w:type="dxa"/>
              <w:end w:w="80" w:type="dxa"/>
            </w:tcMar>
          </w:tcPr>
          <w:p>
            <w:r>
              <w:rPr>
                <w:rFonts w:ascii="Inter" w:hAnsi="Inter"/>
                <w:b/>
                <w:i w:val="0"/>
                <w:color w:val="FFFFFF"/>
                <w:sz w:val="16"/>
              </w:rPr>
              <w:t>Observation</w:t>
            </w:r>
          </w:p>
        </w:tc>
        <w:tc>
          <w:tcPr>
            <w:tcW w:type="dxa" w:w="6840"/>
            <w:shd w:fill="17365D"/>
            <w:tcMar>
              <w:top w:w="60" w:type="dxa"/>
              <w:start w:w="80" w:type="dxa"/>
              <w:bottom w:w="60" w:type="dxa"/>
              <w:end w:w="80" w:type="dxa"/>
            </w:tcMar>
          </w:tcPr>
          <w:p>
            <w:r>
              <w:rPr>
                <w:rFonts w:ascii="Inter" w:hAnsi="Inter"/>
                <w:b/>
                <w:i w:val="0"/>
                <w:color w:val="FFFFFF"/>
                <w:sz w:val="16"/>
              </w:rPr>
              <w:t>Takeaway</w:t>
            </w:r>
          </w:p>
        </w:tc>
      </w:tr>
      <w:tr>
        <w:tc>
          <w:tcPr>
            <w:tcW w:type="dxa" w:w="3240"/>
            <w:shd w:fill="FFFFFF"/>
            <w:tcMar>
              <w:top w:w="55" w:type="dxa"/>
              <w:start w:w="80" w:type="dxa"/>
              <w:bottom w:w="55" w:type="dxa"/>
              <w:end w:w="80" w:type="dxa"/>
            </w:tcMar>
          </w:tcPr>
          <w:p>
            <w:pPr>
              <w:spacing w:before="0" w:after="0" w:line="240" w:lineRule="auto"/>
            </w:pPr>
            <w:r>
              <w:rPr>
                <w:rFonts w:ascii="Inter" w:hAnsi="Inter"/>
                <w:b/>
                <w:i w:val="0"/>
                <w:color w:val="1F2937"/>
                <w:sz w:val="15"/>
              </w:rPr>
              <w:t>GraphRAG is not automatically better than Vector RAG</w:t>
            </w:r>
          </w:p>
        </w:tc>
        <w:tc>
          <w:tcPr>
            <w:tcW w:type="dxa" w:w="6840"/>
            <w:shd w:fill="FFFFFF"/>
            <w:tcMar>
              <w:top w:w="55" w:type="dxa"/>
              <w:start w:w="80" w:type="dxa"/>
              <w:bottom w:w="55" w:type="dxa"/>
              <w:end w:w="80" w:type="dxa"/>
            </w:tcMar>
          </w:tcPr>
          <w:p>
            <w:pPr>
              <w:spacing w:before="0" w:after="0" w:line="240" w:lineRule="auto"/>
            </w:pPr>
            <w:r>
              <w:rPr>
                <w:rFonts w:ascii="Inter" w:hAnsi="Inter"/>
                <w:b w:val="0"/>
                <w:i w:val="0"/>
                <w:color w:val="1F2937"/>
                <w:sz w:val="15"/>
              </w:rPr>
              <w:t>When the answer is already co-located in a strong chunk, vector retrieval can match or beat graph traversal—even for some relationship questions.</w:t>
            </w:r>
          </w:p>
        </w:tc>
      </w:tr>
      <w:tr>
        <w:tc>
          <w:tcPr>
            <w:tcW w:type="dxa" w:w="3240"/>
            <w:shd w:fill="F2F4F7"/>
            <w:tcMar>
              <w:top w:w="55" w:type="dxa"/>
              <w:start w:w="80" w:type="dxa"/>
              <w:bottom w:w="55" w:type="dxa"/>
              <w:end w:w="80" w:type="dxa"/>
            </w:tcMar>
          </w:tcPr>
          <w:p>
            <w:pPr>
              <w:spacing w:before="0" w:after="0" w:line="240" w:lineRule="auto"/>
            </w:pPr>
            <w:r>
              <w:rPr>
                <w:rFonts w:ascii="Inter" w:hAnsi="Inter"/>
                <w:b/>
                <w:i w:val="0"/>
                <w:color w:val="1F2937"/>
                <w:sz w:val="15"/>
              </w:rPr>
              <w:t>Graph quality is an upstream dependency</w:t>
            </w:r>
          </w:p>
        </w:tc>
        <w:tc>
          <w:tcPr>
            <w:tcW w:type="dxa" w:w="6840"/>
            <w:shd w:fill="F2F4F7"/>
            <w:tcMar>
              <w:top w:w="55" w:type="dxa"/>
              <w:start w:w="80" w:type="dxa"/>
              <w:bottom w:w="55" w:type="dxa"/>
              <w:end w:w="80" w:type="dxa"/>
            </w:tcMar>
          </w:tcPr>
          <w:p>
            <w:pPr>
              <w:spacing w:before="0" w:after="0" w:line="240" w:lineRule="auto"/>
            </w:pPr>
            <w:r>
              <w:rPr>
                <w:rFonts w:ascii="Inter" w:hAnsi="Inter"/>
                <w:b w:val="0"/>
                <w:i w:val="0"/>
                <w:color w:val="1F2937"/>
                <w:sz w:val="15"/>
              </w:rPr>
              <w:t>A correct Cypher query can return nothing if extraction missed a LEADS/USES edge. Schema validation, canonicalization, and provenance are as important as query design.</w:t>
            </w:r>
          </w:p>
        </w:tc>
      </w:tr>
      <w:tr>
        <w:tc>
          <w:tcPr>
            <w:tcW w:type="dxa" w:w="3240"/>
            <w:shd w:fill="FFFFFF"/>
            <w:tcMar>
              <w:top w:w="55" w:type="dxa"/>
              <w:start w:w="80" w:type="dxa"/>
              <w:bottom w:w="55" w:type="dxa"/>
              <w:end w:w="80" w:type="dxa"/>
            </w:tcMar>
          </w:tcPr>
          <w:p>
            <w:pPr>
              <w:spacing w:before="0" w:after="0" w:line="240" w:lineRule="auto"/>
            </w:pPr>
            <w:r>
              <w:rPr>
                <w:rFonts w:ascii="Inter" w:hAnsi="Inter"/>
                <w:b/>
                <w:i w:val="0"/>
                <w:color w:val="1F2937"/>
                <w:sz w:val="15"/>
              </w:rPr>
              <w:t>Hybrid retrieval needs evidence priority rules</w:t>
            </w:r>
          </w:p>
        </w:tc>
        <w:tc>
          <w:tcPr>
            <w:tcW w:type="dxa" w:w="6840"/>
            <w:shd w:fill="FFFFFF"/>
            <w:tcMar>
              <w:top w:w="55" w:type="dxa"/>
              <w:start w:w="80" w:type="dxa"/>
              <w:bottom w:w="55" w:type="dxa"/>
              <w:end w:w="80" w:type="dxa"/>
            </w:tcMar>
          </w:tcPr>
          <w:p>
            <w:pPr>
              <w:spacing w:before="0" w:after="0" w:line="240" w:lineRule="auto"/>
            </w:pPr>
            <w:r>
              <w:rPr>
                <w:rFonts w:ascii="Inter" w:hAnsi="Inter"/>
                <w:b w:val="0"/>
                <w:i w:val="0"/>
                <w:color w:val="1F2937"/>
                <w:sz w:val="15"/>
              </w:rPr>
              <w:t>More evidence can hurt. Narrow vector passages can override broader graph results unless the synthesizer is explicitly told how to reconcile structured and narrative evidence.</w:t>
            </w:r>
          </w:p>
        </w:tc>
      </w:tr>
      <w:tr>
        <w:tc>
          <w:tcPr>
            <w:tcW w:type="dxa" w:w="3240"/>
            <w:shd w:fill="F2F4F7"/>
            <w:tcMar>
              <w:top w:w="55" w:type="dxa"/>
              <w:start w:w="80" w:type="dxa"/>
              <w:bottom w:w="55" w:type="dxa"/>
              <w:end w:w="80" w:type="dxa"/>
            </w:tcMar>
          </w:tcPr>
          <w:p>
            <w:pPr>
              <w:spacing w:before="0" w:after="0" w:line="240" w:lineRule="auto"/>
            </w:pPr>
            <w:r>
              <w:rPr>
                <w:rFonts w:ascii="Inter" w:hAnsi="Inter"/>
                <w:b/>
                <w:i w:val="0"/>
                <w:color w:val="1F2937"/>
                <w:sz w:val="15"/>
              </w:rPr>
              <w:t>Agentic systems still need deterministic controls</w:t>
            </w:r>
          </w:p>
        </w:tc>
        <w:tc>
          <w:tcPr>
            <w:tcW w:type="dxa" w:w="6840"/>
            <w:shd w:fill="F2F4F7"/>
            <w:tcMar>
              <w:top w:w="55" w:type="dxa"/>
              <w:start w:w="80" w:type="dxa"/>
              <w:bottom w:w="55" w:type="dxa"/>
              <w:end w:w="80" w:type="dxa"/>
            </w:tcMar>
          </w:tcPr>
          <w:p>
            <w:pPr>
              <w:spacing w:before="0" w:after="0" w:line="240" w:lineRule="auto"/>
            </w:pPr>
            <w:r>
              <w:rPr>
                <w:rFonts w:ascii="Inter" w:hAnsi="Inter"/>
                <w:b w:val="0"/>
                <w:i w:val="0"/>
                <w:color w:val="1F2937"/>
                <w:sz w:val="15"/>
              </w:rPr>
              <w:t>Planning and grading benefit from hard parameter validation, retry limits, and fallback policies. LLM autonomy alone is not a substitute for execution guardrails.</w:t>
            </w:r>
          </w:p>
        </w:tc>
      </w:tr>
      <w:tr>
        <w:tc>
          <w:tcPr>
            <w:tcW w:type="dxa" w:w="3240"/>
            <w:shd w:fill="FFFFFF"/>
            <w:tcMar>
              <w:top w:w="55" w:type="dxa"/>
              <w:start w:w="80" w:type="dxa"/>
              <w:bottom w:w="55" w:type="dxa"/>
              <w:end w:w="80" w:type="dxa"/>
            </w:tcMar>
          </w:tcPr>
          <w:p>
            <w:pPr>
              <w:spacing w:before="0" w:after="0" w:line="240" w:lineRule="auto"/>
            </w:pPr>
            <w:r>
              <w:rPr>
                <w:rFonts w:ascii="Inter" w:hAnsi="Inter"/>
                <w:b/>
                <w:i w:val="0"/>
                <w:color w:val="1F2937"/>
                <w:sz w:val="15"/>
              </w:rPr>
              <w:t>Evaluation sets also need QA</w:t>
            </w:r>
          </w:p>
        </w:tc>
        <w:tc>
          <w:tcPr>
            <w:tcW w:type="dxa" w:w="6840"/>
            <w:shd w:fill="FFFFFF"/>
            <w:tcMar>
              <w:top w:w="55" w:type="dxa"/>
              <w:start w:w="80" w:type="dxa"/>
              <w:bottom w:w="55" w:type="dxa"/>
              <w:end w:w="80" w:type="dxa"/>
            </w:tcMar>
          </w:tcPr>
          <w:p>
            <w:pPr>
              <w:spacing w:before="0" w:after="0" w:line="240" w:lineRule="auto"/>
            </w:pPr>
            <w:r>
              <w:rPr>
                <w:rFonts w:ascii="Inter" w:hAnsi="Inter"/>
                <w:b w:val="0"/>
                <w:i w:val="0"/>
                <w:color w:val="1F2937"/>
                <w:sz w:val="15"/>
              </w:rPr>
              <w:t>Q10 showed that benchmark labels can be incomplete. Trace the underlying data before optimizing the system toward a surprising “wrong” score.</w:t>
            </w:r>
          </w:p>
        </w:tc>
      </w:tr>
      <w:tr>
        <w:tc>
          <w:tcPr>
            <w:tcW w:type="dxa" w:w="3240"/>
            <w:shd w:fill="F2F4F7"/>
            <w:tcMar>
              <w:top w:w="55" w:type="dxa"/>
              <w:start w:w="80" w:type="dxa"/>
              <w:bottom w:w="55" w:type="dxa"/>
              <w:end w:w="80" w:type="dxa"/>
            </w:tcMar>
          </w:tcPr>
          <w:p>
            <w:pPr>
              <w:spacing w:before="0" w:after="0" w:line="240" w:lineRule="auto"/>
            </w:pPr>
            <w:r>
              <w:rPr>
                <w:rFonts w:ascii="Inter" w:hAnsi="Inter"/>
                <w:b/>
                <w:i w:val="0"/>
                <w:color w:val="1F2937"/>
                <w:sz w:val="15"/>
              </w:rPr>
              <w:t>Evaluate retrieval and synthesis separately</w:t>
            </w:r>
          </w:p>
        </w:tc>
        <w:tc>
          <w:tcPr>
            <w:tcW w:type="dxa" w:w="6840"/>
            <w:shd w:fill="F2F4F7"/>
            <w:tcMar>
              <w:top w:w="55" w:type="dxa"/>
              <w:start w:w="80" w:type="dxa"/>
              <w:bottom w:w="55" w:type="dxa"/>
              <w:end w:w="80" w:type="dxa"/>
            </w:tcMar>
          </w:tcPr>
          <w:p>
            <w:pPr>
              <w:spacing w:before="0" w:after="0" w:line="240" w:lineRule="auto"/>
            </w:pPr>
            <w:r>
              <w:rPr>
                <w:rFonts w:ascii="Inter" w:hAnsi="Inter"/>
                <w:b w:val="0"/>
                <w:i w:val="0"/>
                <w:color w:val="1F2937"/>
                <w:sz w:val="15"/>
              </w:rPr>
              <w:t>A poor final answer does not prove retrieval failed. Q10 had complete evidence but initially lost information during generation; inspecting the trace prevented unnecessary retrieval changes.</w:t>
            </w:r>
          </w:p>
        </w:tc>
      </w:tr>
    </w:tbl>
    <w:p>
      <w:pPr>
        <w:keepNext/>
        <w:pageBreakBefore w:val="0"/>
        <w:spacing w:before="60" w:after="80" w:line="240" w:lineRule="auto"/>
      </w:pPr>
      <w:r>
        <w:rPr>
          <w:rFonts w:ascii="Inter Display" w:hAnsi="Inter Display"/>
          <w:b/>
          <w:i w:val="0"/>
          <w:color w:val="2F5597"/>
          <w:sz w:val="23"/>
        </w:rPr>
        <w:t>Final Deliverables</w:t>
      </w:r>
    </w:p>
    <w:p>
      <w:pPr>
        <w:pStyle w:val="ListBullet"/>
        <w:spacing w:before="0" w:after="14" w:line="250" w:lineRule="auto"/>
        <w:ind w:left="259" w:hanging="158"/>
      </w:pPr>
      <w:r>
        <w:rPr>
          <w:rFonts w:ascii="Inter" w:hAnsi="Inter"/>
          <w:b w:val="0"/>
          <w:i w:val="0"/>
          <w:color w:val="1F2937"/>
          <w:sz w:val="17"/>
        </w:rPr>
        <w:t>Neo4j knowledge graph and Neo4j vector index over the 33-document Acme AI corpus.</w:t>
      </w:r>
    </w:p>
    <w:p>
      <w:pPr>
        <w:pStyle w:val="ListBullet"/>
        <w:spacing w:before="0" w:after="14" w:line="250" w:lineRule="auto"/>
        <w:ind w:left="259" w:hanging="158"/>
      </w:pPr>
      <w:r>
        <w:rPr>
          <w:rFonts w:ascii="Inter" w:hAnsi="Inter"/>
          <w:b w:val="0"/>
          <w:i w:val="0"/>
          <w:color w:val="1F2937"/>
          <w:sz w:val="17"/>
        </w:rPr>
        <w:t>Reusable GraphRAG and Vector RAG retrievers plus a LangGraph agent with planner, grader, fallback, and grounded answer synthesis.</w:t>
      </w:r>
    </w:p>
    <w:p>
      <w:pPr>
        <w:pStyle w:val="ListBullet"/>
        <w:spacing w:before="0" w:after="14" w:line="250" w:lineRule="auto"/>
        <w:ind w:left="259" w:hanging="158"/>
      </w:pPr>
      <w:r>
        <w:rPr>
          <w:rFonts w:ascii="Inter" w:hAnsi="Inter"/>
          <w:b w:val="0"/>
          <w:i w:val="0"/>
          <w:color w:val="1F2937"/>
          <w:sz w:val="17"/>
        </w:rPr>
        <w:t>Evaluation artifacts for graph extraction quality and the 10-question GraphRAG / Vector RAG / Agentic RAG comparison.</w:t>
      </w:r>
    </w:p>
    <w:p>
      <w:pPr>
        <w:pStyle w:val="ListBullet"/>
        <w:spacing w:before="0" w:after="14" w:line="250" w:lineRule="auto"/>
        <w:ind w:left="259" w:hanging="158"/>
      </w:pPr>
      <w:r>
        <w:rPr>
          <w:rFonts w:ascii="Inter" w:hAnsi="Inter"/>
          <w:b w:val="0"/>
          <w:i w:val="0"/>
          <w:color w:val="1F2937"/>
          <w:sz w:val="17"/>
        </w:rPr>
        <w:t>Streamlit application showing route selection, attempts/replanning, evidence, and the final answer.</w:t>
      </w:r>
    </w:p>
    <w:p>
      <w:pPr>
        <w:pStyle w:val="ListBullet"/>
        <w:spacing w:before="0" w:after="14" w:line="250" w:lineRule="auto"/>
        <w:ind w:left="259" w:hanging="158"/>
      </w:pPr>
      <w:r>
        <w:rPr>
          <w:rFonts w:ascii="Inter" w:hAnsi="Inter"/>
          <w:b w:val="0"/>
          <w:i w:val="0"/>
          <w:color w:val="1F2937"/>
          <w:sz w:val="17"/>
        </w:rPr>
        <w:t>Final project report, demo recording, and repository/zip submission.</w:t>
      </w:r>
    </w:p>
    <w:tbl>
      <w:tblPr>
        <w:tblW w:type="auto" w:w="0"/>
        <w:jc w:val="center"/>
        <w:tblLook w:firstColumn="1" w:firstRow="1" w:lastColumn="0" w:lastRow="0" w:noHBand="0" w:noVBand="1" w:val="04A0"/>
      </w:tblPr>
      <w:tblGrid>
        <w:gridCol w:w="10570"/>
      </w:tblGrid>
      <w:tr>
        <w:tc>
          <w:tcPr>
            <w:tcW w:type="dxa" w:w="10570"/>
            <w:shd w:fill="E7F3F4"/>
            <w:tcMar>
              <w:top w:w="90" w:type="dxa"/>
              <w:start w:w="110" w:type="dxa"/>
              <w:bottom w:w="90" w:type="dxa"/>
              <w:end w:w="110" w:type="dxa"/>
            </w:tcMar>
            <w:tcBorders>
              <w:top w:val="single" w:sz="10" w:color="0F6B78"/>
              <w:left w:val="single" w:sz="18" w:color="0F6B78"/>
              <w:bottom w:val="single" w:sz="10" w:color="0F6B78"/>
              <w:right w:val="single" w:sz="10" w:color="0F6B78"/>
            </w:tcBorders>
          </w:tcPr>
          <w:p>
            <w:pPr>
              <w:spacing w:before="0" w:after="40" w:line="252" w:lineRule="auto"/>
            </w:pPr>
            <w:r>
              <w:rPr>
                <w:rFonts w:ascii="Inter" w:hAnsi="Inter"/>
                <w:b/>
                <w:i w:val="0"/>
                <w:color w:val="0F6B78"/>
                <w:sz w:val="17"/>
              </w:rPr>
              <w:t xml:space="preserve">Final takeaway.  </w:t>
            </w:r>
            <w:r>
              <w:rPr>
                <w:rFonts w:ascii="Inter" w:hAnsi="Inter"/>
                <w:b w:val="0"/>
                <w:i w:val="0"/>
                <w:color w:val="1F2937"/>
                <w:sz w:val="17"/>
              </w:rPr>
              <w:t>GraphRAG and Vector RAG solve different retrieval problems. Graphs are strongest for explicit relationships and multi-hop reasoning; vectors are effective for semantic recall and narrative context. The most robust design was a controlled agent that can select, combine, validate, and recover across both.</w:t>
            </w:r>
          </w:p>
        </w:tc>
      </w:tr>
    </w:tbl>
    <w:sectPr w:rsidR="00FC693F" w:rsidRPr="0006063C" w:rsidSect="00034616">
      <w:headerReference w:type="default" r:id="rId9"/>
      <w:footerReference w:type="default" r:id="rId10"/>
      <w:pgSz w:w="12240" w:h="15840"/>
      <w:pgMar w:top="691" w:right="835" w:bottom="691" w:left="835"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2" w:lineRule="auto"/>
      <w:jc w:val="center"/>
    </w:pPr>
    <w:r>
      <w:rPr>
        <w:rFonts w:ascii="Inter" w:hAnsi="Inter"/>
        <w:b w:val="0"/>
        <w:i w:val="0"/>
        <w:color w:val="667085"/>
        <w:sz w:val="14"/>
      </w:rPr>
      <w:t>Mastering Agentic AI Bootcamp  •  GraphRAG + Vector RAG + Agentic RAG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right"/>
    </w:pPr>
    <w:r>
      <w:rPr>
        <w:rFonts w:ascii="Inter" w:hAnsi="Inter"/>
        <w:b/>
        <w:i w:val="0"/>
        <w:color w:val="667085"/>
        <w:sz w:val="15"/>
      </w:rPr>
      <w:t>OrgMind  |  Week 2 Project 3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