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Hiver SDE Intern Take-Home</w:t>
      </w:r>
    </w:p>
    <w:p>
      <w:pPr>
        <w:jc w:val="center"/>
      </w:pPr>
      <w:r>
        <w:rPr>
          <w:b/>
          <w:sz w:val="30"/>
        </w:rPr>
        <w:t>AmazonHelp AI Customer-Support Triage Agent</w:t>
      </w:r>
    </w:p>
    <w:p>
      <w:pPr>
        <w:jc w:val="center"/>
      </w:pPr>
      <w:r>
        <w:rPr>
          <w:i/>
        </w:rPr>
        <w:t>Submission Report</w:t>
      </w:r>
    </w:p>
    <w:p>
      <w:pPr>
        <w:pStyle w:val="Heading1"/>
      </w:pPr>
      <w:r>
        <w:t>1. Problem Framing</w:t>
      </w:r>
    </w:p>
    <w:p>
      <w:r>
        <w:t>The goal is to build an AI support agent for inbound @AmazonHelp Twitter/X messages. For each customer message, the system identifies the support intent, drafts a historically grounded response, and decides whether the case can be auto-handled or should be escalated.</w:t>
      </w:r>
    </w:p>
    <w:p>
      <w:r>
        <w:t>The solution uses a 10-intent taxonomy derived from the AmazonHelp support data. The model generates a proposed classification, response and escalation decision, while deterministic safety rules provide an additional guardrail for higher-risk cases.</w:t>
      </w:r>
    </w:p>
    <w:p>
      <w:pPr>
        <w:pStyle w:val="Heading1"/>
      </w:pPr>
      <w:r>
        <w:t>2. System Design</w:t>
      </w:r>
    </w:p>
    <w:p>
      <w:r>
        <w:rPr>
          <w:rFonts w:ascii="Consolas" w:hAnsi="Consolas"/>
          <w:sz w:val="17"/>
        </w:rPr>
        <w:t>Inbound customer tweet</w:t>
        <w:br/>
        <w:t xml:space="preserve">        |</w:t>
        <w:br/>
        <w:t xml:space="preserve">        v</w:t>
        <w:br/>
        <w:t>TF-IDF Retrieval</w:t>
        <w:br/>
        <w:t xml:space="preserve">        |</w:t>
        <w:br/>
        <w:t xml:space="preserve">        +----&gt; Similar historical customer/agent examples</w:t>
        <w:br/>
        <w:t xml:space="preserve">        |</w:t>
        <w:br/>
        <w:t xml:space="preserve">        v</w:t>
        <w:br/>
        <w:t>Groq LLM</w:t>
        <w:br/>
        <w:t xml:space="preserve">        |</w:t>
        <w:br/>
        <w:t xml:space="preserve">        +----&gt; Intent</w:t>
        <w:br/>
        <w:t xml:space="preserve">        +----&gt; Confidence</w:t>
        <w:br/>
        <w:t xml:space="preserve">        +----&gt; Draft reply</w:t>
        <w:br/>
        <w:t xml:space="preserve">        +----&gt; Model escalation</w:t>
        <w:br/>
        <w:t xml:space="preserve">        |</w:t>
        <w:br/>
        <w:t xml:space="preserve">        v</w:t>
        <w:br/>
        <w:t>Deterministic Safety Policy</w:t>
        <w:br/>
        <w:t xml:space="preserve">        |</w:t>
        <w:br/>
        <w:t xml:space="preserve">        v</w:t>
        <w:br/>
        <w:t>AUTO-HANDLE / ESCALATE</w:t>
      </w:r>
    </w:p>
    <w:p>
      <w:r>
        <w:t>The retrieval component indexes 168,502 historical customer/reply pairs and uses TF-IDF cosine similarity to retrieve relevant examples. The LLM receives the customer message, intent taxonomy and retrieved historical interactions and returns structured JSON containing intent, confidence, draft reply, escalation flag and escalation reason.</w:t>
      </w:r>
    </w:p>
    <w:p>
      <w:r>
        <w:t>The system never automatically sends a customer message. It produces a draft and routing recommendation only.</w:t>
      </w:r>
    </w:p>
    <w:p>
      <w:pPr>
        <w:pStyle w:val="Heading1"/>
      </w:pPr>
      <w:r>
        <w:t>3. Implementation Choices</w:t>
      </w:r>
    </w:p>
    <w:p>
      <w:r>
        <w:rPr>
          <w:b/>
        </w:rPr>
        <w:t xml:space="preserve">Retrieval-grounded generation: </w:t>
      </w:r>
      <w:r>
        <w:t>Historical AmazonHelp replies are supplied as evidence so the model can match observed support style and avoid unsupported policy claims.</w:t>
      </w:r>
    </w:p>
    <w:p>
      <w:r>
        <w:rPr>
          <w:b/>
        </w:rPr>
        <w:t xml:space="preserve">Single LLM call: </w:t>
      </w:r>
      <w:r>
        <w:t>Classification, drafting and model-level escalation are produced together, reducing request overhead and keeping decisions based on one interpretation.</w:t>
      </w:r>
    </w:p>
    <w:p>
      <w:r>
        <w:rPr>
          <w:b/>
        </w:rPr>
        <w:t xml:space="preserve">Structured output: </w:t>
      </w:r>
      <w:r>
        <w:t>The LLM response is constrained to the required fields, making the pipeline easier to validate and evaluate programmatically.</w:t>
      </w:r>
    </w:p>
    <w:p>
      <w:r>
        <w:rPr>
          <w:b/>
        </w:rPr>
        <w:t xml:space="preserve">Deterministic safety layer: </w:t>
      </w:r>
      <w:r>
        <w:t>Refunds, billing disputes, account-access cases and low-confidence cases can be escalated independently of the model's routing recommendation.</w:t>
      </w:r>
    </w:p>
    <w:p>
      <w:r>
        <w:rPr>
          <w:b/>
        </w:rPr>
        <w:t xml:space="preserve">No auto-send: </w:t>
      </w:r>
      <w:r>
        <w:t>The system is intentionally decision-support rather than an autonomous customer-contact system.</w:t>
      </w:r>
    </w:p>
    <w:p>
      <w:pPr>
        <w:pStyle w:val="Heading1"/>
      </w:pPr>
      <w:r>
        <w:t>4. Evaluation Setup</w:t>
      </w:r>
    </w:p>
    <w:p>
      <w:r>
        <w:t>The evaluation uses 220 AmazonHelp examples. Intent performance is measured with accuracy and per-intent precision, recall and F1. Escalation is measured with precision, recall, F1, missed escalations and unnecessary escalations.</w:t>
      </w:r>
    </w:p>
    <w:p>
      <w:r>
        <w:t>Reply quality is evaluated separately using an LLM judge on a 30-example sample, with grounding, correctness, tone and actionability scored on a 1–5 scale. A separate human rating sheet is provided for calculating judge-human agreement after independent human scoring.</w:t>
      </w:r>
    </w:p>
    <w:p>
      <w:pPr>
        <w:pStyle w:val="Heading1"/>
      </w:pPr>
      <w:r>
        <w:t>5.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Intent accuracy</w:t>
            </w:r>
          </w:p>
        </w:tc>
        <w:tc>
          <w:tcPr>
            <w:tcW w:type="dxa" w:w="4968"/>
          </w:tcPr>
          <w:p>
            <w:r>
              <w:t>50.9%</w:t>
            </w:r>
          </w:p>
        </w:tc>
      </w:tr>
      <w:tr>
        <w:tc>
          <w:tcPr>
            <w:tcW w:type="dxa" w:w="4968"/>
          </w:tcPr>
          <w:p>
            <w:r>
              <w:t>Escalation precision</w:t>
            </w:r>
          </w:p>
        </w:tc>
        <w:tc>
          <w:tcPr>
            <w:tcW w:type="dxa" w:w="4968"/>
          </w:tcPr>
          <w:p>
            <w:r>
              <w:t>56.8%</w:t>
            </w:r>
          </w:p>
        </w:tc>
      </w:tr>
      <w:tr>
        <w:tc>
          <w:tcPr>
            <w:tcW w:type="dxa" w:w="4968"/>
          </w:tcPr>
          <w:p>
            <w:r>
              <w:t>Escalation recall</w:t>
            </w:r>
          </w:p>
        </w:tc>
        <w:tc>
          <w:tcPr>
            <w:tcW w:type="dxa" w:w="4968"/>
          </w:tcPr>
          <w:p>
            <w:r>
              <w:t>38.3%</w:t>
            </w:r>
          </w:p>
        </w:tc>
      </w:tr>
      <w:tr>
        <w:tc>
          <w:tcPr>
            <w:tcW w:type="dxa" w:w="4968"/>
          </w:tcPr>
          <w:p>
            <w:r>
              <w:t>Escalation F1</w:t>
            </w:r>
          </w:p>
        </w:tc>
        <w:tc>
          <w:tcPr>
            <w:tcW w:type="dxa" w:w="4968"/>
          </w:tcPr>
          <w:p>
            <w:r>
              <w:t>45.8%</w:t>
            </w:r>
          </w:p>
        </w:tc>
      </w:tr>
    </w:tbl>
    <w:p>
      <w:r>
        <w:t>Intent classification achieved 50.9% accuracy. Per-intent F1 was strongest for general_complaint (0.667), billing_dispute (0.667), cancel_order (0.667) and delivery_delay (0.615), while order_status (0.348), refund_request (0.250) and other (0.299) were more difficult.</w:t>
      </w:r>
    </w:p>
    <w:p>
      <w:r>
        <w:t>The escalation layer achieved 56.8% precision, 38.3% recall and 45.8% F1, with 87 missed escalations and 41 unnecessary escalations. Escalation recall is therefore a major improvement area.</w:t>
      </w:r>
    </w:p>
    <w:p>
      <w:pPr>
        <w:pStyle w:val="Heading1"/>
      </w:pPr>
      <w:r>
        <w:t>6. Baselines and Interpretation</w:t>
      </w:r>
    </w:p>
    <w:p>
      <w:r>
        <w:t>The repository includes majority-class, keyword-rule and TF-IDF + Logistic Regression baselines. These provide progressively stronger non-generative reference points for assessing whether the LLM approach adds value beyond simple heuristics and conventional supervised learning.</w:t>
      </w:r>
    </w:p>
    <w:p>
      <w:r>
        <w:t>The headline accuracy should not be interpreted as evidence that the system is production-ready. It reflects one evaluation sample with class imbalance and ambiguous intent boundaries, and it does not measure response safety or escalation quality.</w:t>
      </w:r>
    </w:p>
    <w:p>
      <w:pPr>
        <w:pStyle w:val="Heading1"/>
      </w:pPr>
      <w:r>
        <w:t>7. Reply Quality Evaluation</w:t>
      </w:r>
    </w:p>
    <w:p>
      <w:r>
        <w:t>The LLM-as-judge successfully evaluated 8 of 30 sampled replies before the Groq token-per-day limit was reached. The successful subset produced average scores of 2.50 for grounding, 2.875 for correctness, 3.50 for tone and 3.375 for actionability.</w:t>
      </w:r>
    </w:p>
    <w:p>
      <w:r>
        <w:t>These scores are exploratory rather than definitive because 22 of 30 judge calls failed. Failed calls were not converted into scores. Human evaluation remains pending until the 30-example rating sheet is independently completed.</w:t>
      </w:r>
    </w:p>
    <w:p>
      <w:pPr>
        <w:pStyle w:val="Heading1"/>
      </w:pPr>
      <w:r>
        <w:t>8. Top Failure Modes</w:t>
      </w:r>
    </w:p>
    <w:p>
      <w:r>
        <w:rPr>
          <w:b/>
        </w:rPr>
        <w:t xml:space="preserve">Ambiguous intent boundaries — </w:t>
      </w:r>
      <w:r>
        <w:t>Short social-media messages can overlap multiple support categories, particularly status, delay, complaint and generic-help cases.</w:t>
      </w:r>
    </w:p>
    <w:p>
      <w:r>
        <w:rPr>
          <w:b/>
        </w:rPr>
        <w:t xml:space="preserve">Weak escalation recall — </w:t>
      </w:r>
      <w:r>
        <w:t>The current routing policy misses a substantial number of gold escalations, creating a safety gap.</w:t>
      </w:r>
    </w:p>
    <w:p>
      <w:r>
        <w:rPr>
          <w:b/>
        </w:rPr>
        <w:t xml:space="preserve">Retrieval artifacts — </w:t>
      </w:r>
      <w:r>
        <w:t>Historical replies can contain old URLs, handles or formatting artifacts that may be copied into a new response.</w:t>
      </w:r>
    </w:p>
    <w:p>
      <w:r>
        <w:rPr>
          <w:b/>
        </w:rPr>
        <w:t xml:space="preserve">Sparse uncommon intents — </w:t>
      </w:r>
      <w:r>
        <w:t>Low-support categories such as refunds and cancellations have few examples, making performance less stable.</w:t>
      </w:r>
    </w:p>
    <w:p>
      <w:r>
        <w:rPr>
          <w:b/>
        </w:rPr>
        <w:t xml:space="preserve">LLM evaluation constraints — </w:t>
      </w:r>
      <w:r>
        <w:t>Provider token limits prevented completion of the full reply-quality judge sample.</w:t>
      </w:r>
    </w:p>
    <w:p>
      <w:pPr>
        <w:pStyle w:val="Heading1"/>
      </w:pPr>
      <w:r>
        <w:t>9. What Is Misleading About My Headline Number?</w:t>
      </w:r>
    </w:p>
    <w:p>
      <w:r>
        <w:t>The 50.9% intent accuracy is useful as a benchmark, but it is not a complete measure of agent quality. It is calculated on a relatively small evaluation set with class imbalance and ambiguous support categories. It does not capture whether a drafted response is grounded, whether a risky case is escalated, or whether a response would be acceptable to a customer. A stronger assessment needs separate intent, safety/routing and response-quality measurements, plus independent validation of evaluation labels.</w:t>
      </w:r>
    </w:p>
    <w:p>
      <w:pPr>
        <w:pStyle w:val="Heading1"/>
      </w:pPr>
      <w:r>
        <w:t>10. One-Week Next Steps</w:t>
      </w:r>
    </w:p>
    <w:p>
      <w:pPr>
        <w:pStyle w:val="ListBullet"/>
      </w:pPr>
      <w:r>
        <w:t>Improve intent taxonomy boundaries using confusion-matrix analysis and clearer labeling guidelines.</w:t>
      </w:r>
    </w:p>
    <w:p>
      <w:pPr>
        <w:pStyle w:val="ListBullet"/>
      </w:pPr>
      <w:r>
        <w:t>Filter or mask URLs, handles, order-specific identifiers and other historical artifacts before response generation.</w:t>
      </w:r>
    </w:p>
    <w:p>
      <w:pPr>
        <w:pStyle w:val="ListBullet"/>
      </w:pPr>
      <w:r>
        <w:t>Tune escalation rules for higher recall on safety-critical cases and measure the precision/recall trade-off.</w:t>
      </w:r>
    </w:p>
    <w:p>
      <w:pPr>
        <w:pStyle w:val="ListBullet"/>
      </w:pPr>
      <w:r>
        <w:t>Complete independent human scoring for the 30 reply-quality examples and calculate LLM-judge/human agreement.</w:t>
      </w:r>
    </w:p>
    <w:p>
      <w:pPr>
        <w:pStyle w:val="ListBullet"/>
      </w:pPr>
      <w:r>
        <w:t>Run a larger stratified evaluation and compare the agent directly against all included baselines.</w:t>
      </w:r>
    </w:p>
    <w:p>
      <w:pPr>
        <w:pStyle w:val="Heading1"/>
      </w:pPr>
      <w:r>
        <w:t>11. Reproducibility</w:t>
      </w:r>
    </w:p>
    <w:p>
      <w:r>
        <w:rPr>
          <w:rFonts w:ascii="Consolas" w:hAnsi="Consolas"/>
          <w:sz w:val="17"/>
        </w:rPr>
        <w:t>python -m venv venv</w:t>
        <w:br/>
        <w:t>venv\Scripts\activate</w:t>
        <w:br/>
        <w:t>pip install -r requirements.txt</w:t>
        <w:br/>
        <w:br/>
        <w:t># .env</w:t>
        <w:br/>
        <w:t>GROQ_API_KEY=your_groq_api_key</w:t>
        <w:br/>
        <w:t>GROQ_MODEL=openai/gpt-oss-20b</w:t>
        <w:br/>
        <w:br/>
        <w:t># Smoke test</w:t>
        <w:br/>
        <w:t>python -m src.llm_agent</w:t>
        <w:br/>
        <w:br/>
        <w:t># Quick pipeline test</w:t>
        <w:br/>
        <w:t>python -m src.pipeline --limit 10</w:t>
        <w:br/>
        <w:br/>
        <w:t># Full evaluation</w:t>
        <w:br/>
        <w:t>python -m src.pipeline</w:t>
        <w:br/>
        <w:t>python -m src.eval_harness</w:t>
      </w:r>
    </w:p>
    <w:p>
      <w:r>
        <w:t>The repository contains the filtered AmazonHelp data required for the standard run. The original full Customer Support on Twitter dataset is not required for reproduction.</w:t>
      </w:r>
    </w:p>
    <w:p>
      <w:pPr>
        <w:pStyle w:val="Heading1"/>
      </w:pPr>
      <w:r>
        <w:t>12. Conclusion</w:t>
      </w:r>
    </w:p>
    <w:p>
      <w:r>
        <w:t>The submission demonstrates an end-to-end support-agent workflow combining historical retrieval, structured LLM reasoning, deterministic safety policies and quantitative evaluation. The highest-priority remaining work is improving intent discrimination and escalation recall while making retrieved evidence safer for response generation. The architecture remains simple enough to reproduce, inspect and modify during a live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