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Data Simulator — User Manual</w:t>
      </w:r>
    </w:p>
    <w:p>
      <w:r>
        <w:t xml:space="preserve">Universal Data Simulator is an offline desktop tool that </w:t>
      </w:r>
      <w:r>
        <w:rPr>
          <w:b/>
        </w:rPr>
        <w:t>transmits</w:t>
      </w:r>
      <w:r>
        <w:t xml:space="preserve"> user-defined binary (HEX) and </w:t>
      </w:r>
      <w:r>
        <w:rPr>
          <w:b/>
        </w:rPr>
        <w:t>NMEA 0183</w:t>
      </w:r>
      <w:r>
        <w:t xml:space="preserve"> messages over </w:t>
      </w:r>
      <w:r>
        <w:rPr>
          <w:b/>
        </w:rPr>
        <w:t>UDP</w:t>
      </w:r>
      <w:r>
        <w:t xml:space="preserve">, </w:t>
      </w:r>
      <w:r>
        <w:rPr>
          <w:b/>
        </w:rPr>
        <w:t>TCP</w:t>
      </w:r>
      <w:r>
        <w:t xml:space="preserve">, or a </w:t>
      </w:r>
      <w:r>
        <w:rPr>
          <w:b/>
        </w:rPr>
        <w:t>serial COM port</w:t>
      </w:r>
      <w:r>
        <w:t>. It is the sender-side companion to *Universal Wireshark Log Reader* (the receiver/parser). Use it to feed a system under test with exactly the bytes you choose, at the rate you choose.</w:t>
      </w:r>
    </w:p>
    <w:p>
      <w:pPr>
        <w:pStyle w:val="Quote"/>
      </w:pPr>
      <w:r>
        <w:t xml:space="preserve">Tip: press </w:t>
      </w:r>
      <w:r>
        <w:rPr>
          <w:b/>
        </w:rPr>
        <w:t>F1</w:t>
      </w:r>
      <w:r>
        <w:t xml:space="preserve"> any time to open this manual, and use the search box at the top to jump straight to a </w:t>
      </w:r>
      <w:r>
        <w:rPr>
          <w:b/>
        </w:rPr>
        <w:t>Common function</w:t>
      </w:r>
      <w:r>
        <w:t xml:space="preserve"> or a </w:t>
      </w:r>
      <w:r>
        <w:rPr>
          <w:b/>
        </w:rPr>
        <w:t>Troubleshooting</w:t>
      </w:r>
      <w:r>
        <w:t xml:space="preserve"> entry.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Using this manual</w:t>
      </w:r>
    </w:p>
    <w:p>
      <w:r>
        <w:t>This manual is built into the app (</w:t>
      </w:r>
      <w:r>
        <w:rPr>
          <w:b/>
        </w:rPr>
        <w:t>Help → User Manual</w:t>
      </w:r>
      <w:r>
        <w:t xml:space="preserve">, or </w:t>
      </w:r>
      <w:r>
        <w:rPr>
          <w:b/>
        </w:rPr>
        <w:t>F1</w:t>
      </w:r>
      <w:r>
        <w:t xml:space="preserve">). The list on the left is a clickable table of contents; the box at the top searches the whole manual — type a word like </w:t>
      </w:r>
      <w:r>
        <w:rPr>
          <w:rFonts w:ascii="Consolas" w:hAnsi="Consolas"/>
          <w:color w:val="C7254E"/>
        </w:rPr>
        <w:t>troubleshooting</w:t>
      </w:r>
      <w:r>
        <w:t xml:space="preserve">, </w:t>
      </w:r>
      <w:r>
        <w:rPr>
          <w:rFonts w:ascii="Consolas" w:hAnsi="Consolas"/>
          <w:color w:val="C7254E"/>
        </w:rPr>
        <w:t>endian</w:t>
      </w:r>
      <w:r>
        <w:t xml:space="preserve"> or </w:t>
      </w:r>
      <w:r>
        <w:rPr>
          <w:rFonts w:ascii="Consolas" w:hAnsi="Consolas"/>
          <w:color w:val="C7254E"/>
        </w:rPr>
        <w:t>checksum</w:t>
      </w:r>
      <w:r>
        <w:t xml:space="preserve"> and press </w:t>
      </w:r>
      <w:r>
        <w:rPr>
          <w:b/>
        </w:rPr>
        <w:t>Enter</w:t>
      </w:r>
      <w:r>
        <w:t xml:space="preserve"> (or </w:t>
      </w:r>
      <w:r>
        <w:rPr>
          <w:b/>
        </w:rPr>
        <w:t>Next</w:t>
      </w:r>
      <w:r>
        <w:t>/</w:t>
      </w:r>
      <w:r>
        <w:rPr>
          <w:b/>
        </w:rPr>
        <w:t>Prev</w:t>
      </w:r>
      <w:r>
        <w:t xml:space="preserve">) to step through every match. The same content is also provided as </w:t>
      </w:r>
      <w:r>
        <w:rPr>
          <w:rFonts w:ascii="Consolas" w:hAnsi="Consolas"/>
          <w:color w:val="C7254E"/>
        </w:rPr>
        <w:t>simulator_manual.docx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760720" cy="4287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-view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The searchable in-app manual viewer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Overview</w:t>
      </w:r>
    </w:p>
    <w:p>
      <w:r>
        <w:drawing>
          <wp:inline xmlns:a="http://schemas.openxmlformats.org/drawingml/2006/main" xmlns:pic="http://schemas.openxmlformats.org/drawingml/2006/picture">
            <wp:extent cx="5760720" cy="5234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4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Universal Data Simulator — main window (Modern Light theme)</w:t>
      </w:r>
    </w:p>
    <w:p>
      <w:r>
        <w:t>The window is a single top-to-bottom flow:</w:t>
      </w:r>
    </w:p>
    <w:p>
      <w:r>
        <w:t xml:space="preserve">1. </w:t>
      </w:r>
      <w:r>
        <w:rPr>
          <w:b/>
        </w:rPr>
        <w:t>Connections</w:t>
      </w:r>
      <w:r>
        <w:t xml:space="preserve"> — press </w:t>
      </w:r>
      <w:r>
        <w:rPr>
          <w:b/>
        </w:rPr>
        <w:t>Configure…</w:t>
      </w:r>
      <w:r>
        <w:t xml:space="preserve"> on the connection bar to define one or more send destinations (each UDP, TCP, or a serial COM port).</w:t>
      </w:r>
    </w:p>
    <w:p>
      <w:r>
        <w:t xml:space="preserve">2. </w:t>
      </w:r>
      <w:r>
        <w:rPr>
          <w:b/>
        </w:rPr>
        <w:t>Messages</w:t>
      </w:r>
      <w:r>
        <w:t xml:space="preserve"> — define one or more messages, each with its own fields, values, send rate, and the connection it is sent on.</w:t>
      </w:r>
    </w:p>
    <w:p>
      <w:r>
        <w:t xml:space="preserve">3. </w:t>
      </w:r>
      <w:r>
        <w:rPr>
          <w:b/>
        </w:rPr>
        <w:t>Send</w:t>
      </w:r>
      <w:r>
        <w:t xml:space="preserve"> — verify everything, open every needed connection, and stream every ticked message at its own rate until Stop.</w:t>
      </w:r>
    </w:p>
    <w:p>
      <w:r>
        <w:t xml:space="preserve">4. </w:t>
      </w:r>
      <w:r>
        <w:rPr>
          <w:b/>
        </w:rPr>
        <w:t>Outgoing Data Preview</w:t>
      </w:r>
      <w:r>
        <w:t xml:space="preserve"> — the last payloads handed to the link, in hex.</w:t>
      </w:r>
    </w:p>
    <w:p>
      <w:r>
        <w:t xml:space="preserve">The same window in the </w:t>
      </w:r>
      <w:r>
        <w:rPr>
          <w:b/>
        </w:rPr>
        <w:t>Slate Dark</w:t>
      </w:r>
      <w:r>
        <w:t xml:space="preserve"> theme (toggle with </w:t>
      </w:r>
      <w:r>
        <w:rPr>
          <w:b/>
        </w:rPr>
        <w:t>Ctrl+T</w:t>
      </w:r>
      <w:r>
        <w:t>):</w:t>
      </w:r>
    </w:p>
    <w:p>
      <w:r>
        <w:drawing>
          <wp:inline xmlns:a="http://schemas.openxmlformats.org/drawingml/2006/main" xmlns:pic="http://schemas.openxmlformats.org/drawingml/2006/picture">
            <wp:extent cx="5760720" cy="52347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4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Main window (Slate Dark theme)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Getting started</w:t>
      </w:r>
    </w:p>
    <w:p>
      <w:r>
        <w:t xml:space="preserve">1. </w:t>
      </w:r>
      <w:r>
        <w:t xml:space="preserve">Press </w:t>
      </w:r>
      <w:r>
        <w:rPr>
          <w:b/>
        </w:rPr>
        <w:t>Configure…</w:t>
      </w:r>
      <w:r>
        <w:t xml:space="preserve"> on the connection bar. </w:t>
      </w:r>
      <w:r>
        <w:rPr>
          <w:b/>
        </w:rPr>
        <w:t>Add</w:t>
      </w:r>
      <w:r>
        <w:t xml:space="preserve"> at least one connection and pick its transport — *UDP* (destination IP + port), *TCP* (host + port + Server/Client role), or *Serial* (COM port, baud, data bits, parity, stop bits). </w:t>
      </w:r>
      <w:r>
        <w:rPr>
          <w:b/>
        </w:rPr>
        <w:t>Test Connection</w:t>
      </w:r>
      <w:r>
        <w:t xml:space="preserve"> confirms it opens and sends a health-check message.</w:t>
      </w:r>
    </w:p>
    <w:p>
      <w:r>
        <w:t xml:space="preserve">2. </w:t>
      </w:r>
      <w:r>
        <w:t xml:space="preserve">Press </w:t>
      </w:r>
      <w:r>
        <w:rPr>
          <w:b/>
        </w:rPr>
        <w:t>Add Message</w:t>
      </w:r>
      <w:r>
        <w:t xml:space="preserve">, give it a name, payload length and send rate, then </w:t>
      </w:r>
      <w:r>
        <w:rPr>
          <w:b/>
        </w:rPr>
        <w:t>Configure Fields</w:t>
      </w:r>
      <w:r>
        <w:t>.</w:t>
      </w:r>
    </w:p>
    <w:p>
      <w:r>
        <w:t xml:space="preserve">3. </w:t>
      </w:r>
      <w:r>
        <w:t xml:space="preserve">Type a </w:t>
      </w:r>
      <w:r>
        <w:rPr>
          <w:b/>
        </w:rPr>
        <w:t>Value</w:t>
      </w:r>
      <w:r>
        <w:t xml:space="preserve"> for each field — the </w:t>
      </w:r>
      <w:r>
        <w:rPr>
          <w:b/>
        </w:rPr>
        <w:t>Hex (auto)</w:t>
      </w:r>
      <w:r>
        <w:t xml:space="preserve"> column shows the exact bytes in real time.</w:t>
      </w:r>
    </w:p>
    <w:p>
      <w:r>
        <w:t xml:space="preserve">4. </w:t>
      </w:r>
      <w:r>
        <w:t xml:space="preserve">In the message row's </w:t>
      </w:r>
      <w:r>
        <w:rPr>
          <w:b/>
        </w:rPr>
        <w:t>Connection</w:t>
      </w:r>
      <w:r>
        <w:t xml:space="preserve"> column, choose which connection sends it (the first connection is the default for messages you leave unset).</w:t>
      </w:r>
    </w:p>
    <w:p>
      <w:r>
        <w:t xml:space="preserve">5. </w:t>
      </w:r>
      <w:r>
        <w:t xml:space="preserve">Tick the message's </w:t>
      </w:r>
      <w:r>
        <w:rPr>
          <w:b/>
        </w:rPr>
        <w:t>Send?</w:t>
      </w:r>
      <w:r>
        <w:t xml:space="preserve"> box and press </w:t>
      </w:r>
      <w:r>
        <w:rPr>
          <w:b/>
        </w:rPr>
        <w:t>Send</w:t>
      </w:r>
      <w:r>
        <w:t xml:space="preserve"> (F5). The simulator opens each needed connection (the bar dot turns </w:t>
      </w:r>
      <w:r>
        <w:rPr>
          <w:b/>
        </w:rPr>
        <w:t>green</w:t>
      </w:r>
      <w:r>
        <w:t>) and streams. Watch the preview at the bottom.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The main window, panel by panel</w:t>
      </w:r>
    </w:p>
    <w:p>
      <w:pPr>
        <w:pStyle w:val="Heading2"/>
      </w:pPr>
      <w:r>
        <w:t>Connections</w:t>
      </w:r>
    </w:p>
    <w:p>
      <w:r>
        <w:t xml:space="preserve">The connection bar shows how many connections are defined; </w:t>
      </w:r>
      <w:r>
        <w:rPr>
          <w:b/>
        </w:rPr>
        <w:t>Configure…</w:t>
      </w:r>
      <w:r>
        <w:t xml:space="preserve"> opens the manager. Each connection has a </w:t>
      </w:r>
      <w:r>
        <w:rPr>
          <w:b/>
        </w:rPr>
        <w:t>Name</w:t>
      </w:r>
      <w:r>
        <w:t xml:space="preserve"> and a </w:t>
      </w:r>
      <w:r>
        <w:rPr>
          <w:b/>
        </w:rPr>
        <w:t>Transport</w:t>
      </w:r>
      <w:r>
        <w:t xml:space="preserve">: </w:t>
      </w:r>
      <w:r>
        <w:rPr>
          <w:b/>
        </w:rPr>
        <w:t>UDP</w:t>
      </w:r>
      <w:r>
        <w:t xml:space="preserve"> (destination IP + port), </w:t>
      </w:r>
      <w:r>
        <w:rPr>
          <w:b/>
        </w:rPr>
        <w:t>TCP</w:t>
      </w:r>
      <w:r>
        <w:t xml:space="preserve"> (host + port + Server/Client role), or </w:t>
      </w:r>
      <w:r>
        <w:rPr>
          <w:b/>
        </w:rPr>
        <w:t>Serial</w:t>
      </w:r>
      <w:r>
        <w:t xml:space="preserve"> (COM port with baud / data bits / parity / stop bits; </w:t>
      </w:r>
      <w:r>
        <w:rPr>
          <w:b/>
        </w:rPr>
        <w:t>Refresh</w:t>
      </w:r>
      <w:r>
        <w:t xml:space="preserve"> re-scans the ports). </w:t>
      </w:r>
      <w:r>
        <w:rPr>
          <w:b/>
        </w:rPr>
        <w:t>Test Connection</w:t>
      </w:r>
      <w:r>
        <w:t xml:space="preserve"> opens the link, sends a short health-check message and reports OK / the failure reason, without starting a stream. The connections are not held open while you edit — the simulator opens exactly the ones it needs when you press </w:t>
      </w:r>
      <w:r>
        <w:rPr>
          <w:b/>
        </w:rPr>
        <w:t>Send</w:t>
      </w:r>
      <w:r>
        <w:t xml:space="preserve">, and closes them on </w:t>
      </w:r>
      <w:r>
        <w:rPr>
          <w:b/>
        </w:rPr>
        <w:t>Stop</w:t>
      </w:r>
      <w:r>
        <w:t xml:space="preserve">. The bar dot is </w:t>
      </w:r>
      <w:r>
        <w:rPr>
          <w:b/>
        </w:rPr>
        <w:t>gray</w:t>
      </w:r>
      <w:r>
        <w:t xml:space="preserve"> when idle, </w:t>
      </w:r>
      <w:r>
        <w:rPr>
          <w:b/>
        </w:rPr>
        <w:t>green</w:t>
      </w:r>
      <w:r>
        <w:t xml:space="preserve"> while sending, </w:t>
      </w:r>
      <w:r>
        <w:rPr>
          <w:b/>
        </w:rPr>
        <w:t>red</w:t>
      </w:r>
      <w:r>
        <w:t xml:space="preserve"> if a link drops.</w:t>
      </w:r>
    </w:p>
    <w:p>
      <w:pPr>
        <w:pStyle w:val="Heading2"/>
      </w:pPr>
      <w:r>
        <w:t>Messages</w:t>
      </w:r>
    </w:p>
    <w:p>
      <w:r>
        <w:t xml:space="preserve">Each row is a message: </w:t>
      </w:r>
      <w:r>
        <w:rPr>
          <w:b/>
        </w:rPr>
        <w:t>Send?</w:t>
      </w:r>
      <w:r>
        <w:t xml:space="preserve"> tick, </w:t>
      </w:r>
      <w:r>
        <w:rPr>
          <w:b/>
        </w:rPr>
        <w:t>Name</w:t>
      </w:r>
      <w:r>
        <w:t xml:space="preserve">, </w:t>
      </w:r>
      <w:r>
        <w:rPr>
          <w:b/>
        </w:rPr>
        <w:t>Format</w:t>
      </w:r>
      <w:r>
        <w:t xml:space="preserve"> (HEX or NMEA), payload </w:t>
      </w:r>
      <w:r>
        <w:rPr>
          <w:b/>
        </w:rPr>
        <w:t>Length</w:t>
      </w:r>
      <w:r>
        <w:t xml:space="preserve">, </w:t>
      </w:r>
      <w:r>
        <w:rPr>
          <w:b/>
        </w:rPr>
        <w:t>Rate (Hz)</w:t>
      </w:r>
      <w:r>
        <w:t xml:space="preserve">, field count, a </w:t>
      </w:r>
      <w:r>
        <w:rPr>
          <w:b/>
        </w:rPr>
        <w:t>Configure Fields</w:t>
      </w:r>
      <w:r>
        <w:t xml:space="preserve"> button and a </w:t>
      </w:r>
      <w:r>
        <w:rPr>
          <w:b/>
        </w:rPr>
        <w:t>Connection</w:t>
      </w:r>
      <w:r>
        <w:t xml:space="preserve"> selector (which destination the message is sent on; the first connection is the default).</w:t>
      </w:r>
    </w:p>
    <w:p>
      <w:pPr>
        <w:pStyle w:val="ListBullet"/>
      </w:pPr>
      <w:r>
        <w:rPr>
          <w:b/>
        </w:rPr>
        <w:t>Add Message / Edit / Remove</w:t>
      </w:r>
      <w:r>
        <w:t xml:space="preserve"> manage the list.</w:t>
      </w:r>
    </w:p>
    <w:p>
      <w:pPr>
        <w:pStyle w:val="ListBullet"/>
      </w:pPr>
      <w:r>
        <w:rPr>
          <w:b/>
        </w:rPr>
        <w:t>Import ICD…</w:t>
      </w:r>
      <w:r>
        <w:t xml:space="preserve"> reads a Word </w:t>
      </w:r>
      <w:r>
        <w:rPr>
          <w:rFonts w:ascii="Consolas" w:hAnsi="Consolas"/>
          <w:color w:val="C7254E"/>
        </w:rPr>
        <w:t>.docx</w:t>
      </w:r>
      <w:r>
        <w:t xml:space="preserve"> ICD and turns its tables into ready-to-send messages.</w:t>
      </w:r>
    </w:p>
    <w:p>
      <w:pPr>
        <w:pStyle w:val="Heading2"/>
      </w:pPr>
      <w:r>
        <w:t>Configure Fields (HEX messages)</w:t>
      </w:r>
    </w:p>
    <w:p>
      <w:r>
        <w:t xml:space="preserve">Columns: </w:t>
      </w:r>
      <w:r>
        <w:rPr>
          <w:b/>
        </w:rPr>
        <w:t>Field Name · Byte Offset · Type · Length · Endian · Resolution · Value · Hex (auto) · Bits</w:t>
      </w:r>
      <w:r>
        <w:t>.</w:t>
      </w:r>
    </w:p>
    <w:p>
      <w:pPr>
        <w:pStyle w:val="ListBullet"/>
      </w:pPr>
      <w:r>
        <w:t xml:space="preserve">An </w:t>
      </w:r>
      <w:r>
        <w:rPr>
          <w:b/>
        </w:rPr>
        <w:t>Offsets in</w:t>
      </w:r>
      <w:r>
        <w:t xml:space="preserve"> selector lets you switch between </w:t>
      </w:r>
      <w:r>
        <w:rPr>
          <w:b/>
        </w:rPr>
        <w:t>Bytes</w:t>
      </w:r>
      <w:r>
        <w:t xml:space="preserve"> and </w:t>
      </w:r>
      <w:r>
        <w:rPr>
          <w:b/>
        </w:rPr>
        <w:t>Words</w:t>
      </w:r>
      <w:r>
        <w:t xml:space="preserve"> (1 word = 2 bytes) for the offset column display; offsets are always stored in bytes internally.</w:t>
      </w:r>
    </w:p>
    <w:p>
      <w:pPr>
        <w:pStyle w:val="ListBullet"/>
      </w:pPr>
      <w:r>
        <w:t xml:space="preserve">The </w:t>
      </w:r>
      <w:r>
        <w:rPr>
          <w:b/>
        </w:rPr>
        <w:t>Value</w:t>
      </w:r>
      <w:r>
        <w:t xml:space="preserve"> is typed in the field's own type; the read-only </w:t>
      </w:r>
      <w:r>
        <w:rPr>
          <w:b/>
        </w:rPr>
        <w:t>Hex (auto)</w:t>
      </w:r>
      <w:r>
        <w:t xml:space="preserve"> cell shows the exact bytes that will be sent and updates as you type (it turns red with a reason if the value does not fit).</w:t>
      </w:r>
    </w:p>
    <w:p>
      <w:pPr>
        <w:pStyle w:val="ListBullet"/>
      </w:pPr>
      <w:r>
        <w:rPr>
          <w:b/>
        </w:rPr>
        <w:t>Endian</w:t>
      </w:r>
      <w:r>
        <w:t xml:space="preserve"> sets Big-endian (default) or Little-endian per field (numeric fields only).</w:t>
      </w:r>
    </w:p>
    <w:p>
      <w:pPr>
        <w:pStyle w:val="ListBullet"/>
      </w:pPr>
      <w:r>
        <w:rPr>
          <w:b/>
        </w:rPr>
        <w:t>Bits…</w:t>
      </w:r>
      <w:r>
        <w:t xml:space="preserve"> opens a two-way bit editor — type a value or toggle individual bits.</w:t>
      </w:r>
    </w:p>
    <w:p>
      <w:pPr>
        <w:pStyle w:val="ListBullet"/>
      </w:pPr>
      <w:r>
        <w:rPr>
          <w:b/>
        </w:rPr>
        <w:t>CSV</w:t>
      </w:r>
      <w:r>
        <w:t xml:space="preserve">, </w:t>
      </w:r>
      <w:r>
        <w:rPr>
          <w:b/>
        </w:rPr>
        <w:t>JSON</w:t>
      </w:r>
      <w:r>
        <w:t xml:space="preserve">, and </w:t>
      </w:r>
      <w:r>
        <w:rPr>
          <w:b/>
        </w:rPr>
        <w:t>Excel</w:t>
      </w:r>
      <w:r>
        <w:t xml:space="preserve"> toolbar menus let you import/export the field list. JSON carries the full definition (including bit groups); CSV and Excel carry the flat column layout.</w:t>
      </w:r>
    </w:p>
    <w:p>
      <w:pPr>
        <w:pStyle w:val="ListBullet"/>
      </w:pPr>
      <w:r>
        <w:t xml:space="preserve">Select several rows (Ctrl/Shift-click) to </w:t>
      </w:r>
      <w:r>
        <w:rPr>
          <w:b/>
        </w:rPr>
        <w:t>delete them at once</w:t>
      </w:r>
      <w:r>
        <w:t xml:space="preserve">; </w:t>
      </w:r>
      <w:r>
        <w:rPr>
          <w:b/>
        </w:rPr>
        <w:t>drag a row</w:t>
      </w:r>
      <w:r>
        <w:t xml:space="preserve"> to reorder it (Alt+Up / Alt+Down also work).</w:t>
      </w:r>
    </w:p>
    <w:p>
      <w:pPr>
        <w:pStyle w:val="Heading2"/>
      </w:pPr>
      <w:r>
        <w:t>Send</w:t>
      </w:r>
    </w:p>
    <w:p>
      <w:r>
        <w:rPr>
          <w:b/>
        </w:rPr>
        <w:t>Send</w:t>
      </w:r>
      <w:r>
        <w:t xml:space="preserve"> (F5) verifies everything first — at least one connection defined, ticked messages, and that every field encodes and fits — reports all problems in one dialog (each with a reason and a solution), then </w:t>
      </w:r>
      <w:r>
        <w:rPr>
          <w:b/>
        </w:rPr>
        <w:t>opens and health-checks every connection the ticked messages need</w:t>
      </w:r>
      <w:r>
        <w:t xml:space="preserve"> before streaming each at its own rate until </w:t>
      </w:r>
      <w:r>
        <w:rPr>
          <w:b/>
        </w:rPr>
        <w:t>Stop</w:t>
      </w:r>
      <w:r>
        <w:t xml:space="preserve"> (Shift+F5). You can </w:t>
      </w:r>
      <w:r>
        <w:rPr>
          <w:b/>
        </w:rPr>
        <w:t>edit values, rates or the Send? tick while streaming</w:t>
      </w:r>
      <w:r>
        <w:t xml:space="preserve"> — the affected stream updates in place without a gap.</w:t>
      </w:r>
    </w:p>
    <w:p>
      <w:pPr>
        <w:pStyle w:val="Heading2"/>
      </w:pPr>
      <w:r>
        <w:t>Outgoing Data Preview</w:t>
      </w:r>
    </w:p>
    <w:p>
      <w:r>
        <w:t xml:space="preserve">The bottom box shows the last </w:t>
      </w:r>
      <w:r>
        <w:rPr>
          <w:b/>
        </w:rPr>
        <w:t>5</w:t>
      </w:r>
      <w:r>
        <w:t xml:space="preserve"> payloads handed to the link, newest at the bottom, in hex.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Common functions</w:t>
      </w:r>
    </w:p>
    <w:p>
      <w:pPr>
        <w:pStyle w:val="Heading2"/>
      </w:pPr>
      <w:r>
        <w:t>Send a fixed UDP packet to a receiver</w:t>
      </w:r>
    </w:p>
    <w:p>
      <w:r>
        <w:t xml:space="preserve">1. </w:t>
      </w:r>
      <w:r>
        <w:rPr>
          <w:b/>
        </w:rPr>
        <w:t>Configure…</w:t>
      </w:r>
      <w:r>
        <w:t xml:space="preserve"> → </w:t>
      </w:r>
      <w:r>
        <w:rPr>
          <w:b/>
        </w:rPr>
        <w:t>Add</w:t>
      </w:r>
      <w:r>
        <w:t xml:space="preserve"> a </w:t>
      </w:r>
      <w:r>
        <w:rPr>
          <w:b/>
        </w:rPr>
        <w:t>UDP</w:t>
      </w:r>
      <w:r>
        <w:t xml:space="preserve"> connection; type the receiver IP and port; </w:t>
      </w:r>
      <w:r>
        <w:rPr>
          <w:b/>
        </w:rPr>
        <w:t>Test Connection</w:t>
      </w:r>
      <w:r>
        <w:t>.</w:t>
      </w:r>
    </w:p>
    <w:p>
      <w:r>
        <w:t xml:space="preserve">2. </w:t>
      </w:r>
      <w:r>
        <w:rPr>
          <w:b/>
        </w:rPr>
        <w:t>Add Message</w:t>
      </w:r>
      <w:r>
        <w:t xml:space="preserve"> (e.g. name </w:t>
      </w:r>
      <w:r>
        <w:rPr>
          <w:rFonts w:ascii="Consolas" w:hAnsi="Consolas"/>
          <w:color w:val="C7254E"/>
        </w:rPr>
        <w:t>TEST</w:t>
      </w:r>
      <w:r>
        <w:t xml:space="preserve">, length 4, rate 1 Hz) → </w:t>
      </w:r>
      <w:r>
        <w:rPr>
          <w:b/>
        </w:rPr>
        <w:t>Configure Fields</w:t>
      </w:r>
      <w:r>
        <w:t>.</w:t>
      </w:r>
    </w:p>
    <w:p>
      <w:r>
        <w:t xml:space="preserve">3. </w:t>
      </w:r>
      <w:r>
        <w:t xml:space="preserve">Add a field (type </w:t>
      </w:r>
      <w:r>
        <w:rPr>
          <w:rFonts w:ascii="Consolas" w:hAnsi="Consolas"/>
          <w:color w:val="C7254E"/>
        </w:rPr>
        <w:t>uint</w:t>
      </w:r>
      <w:r>
        <w:t xml:space="preserve">, length 4), type a </w:t>
      </w:r>
      <w:r>
        <w:rPr>
          <w:b/>
        </w:rPr>
        <w:t>Value</w:t>
      </w:r>
      <w:r>
        <w:t xml:space="preserve">, </w:t>
      </w:r>
      <w:r>
        <w:rPr>
          <w:b/>
        </w:rPr>
        <w:t>Save</w:t>
      </w:r>
      <w:r>
        <w:t>.</w:t>
      </w:r>
    </w:p>
    <w:p>
      <w:r>
        <w:t xml:space="preserve">4. </w:t>
      </w:r>
      <w:r>
        <w:t xml:space="preserve">Tick </w:t>
      </w:r>
      <w:r>
        <w:rPr>
          <w:b/>
        </w:rPr>
        <w:t>Send?</w:t>
      </w:r>
      <w:r>
        <w:t xml:space="preserve">, press </w:t>
      </w:r>
      <w:r>
        <w:rPr>
          <w:b/>
        </w:rPr>
        <w:t>Send</w:t>
      </w:r>
      <w:r>
        <w:t>. The preview shows the bytes leaving.</w:t>
      </w:r>
    </w:p>
    <w:p>
      <w:pPr>
        <w:pStyle w:val="Heading2"/>
      </w:pPr>
      <w:r>
        <w:t>Send over TCP</w:t>
      </w:r>
    </w:p>
    <w:p>
      <w:r>
        <w:t xml:space="preserve">1. </w:t>
      </w:r>
      <w:r>
        <w:rPr>
          <w:b/>
        </w:rPr>
        <w:t>Configure…</w:t>
      </w:r>
      <w:r>
        <w:t xml:space="preserve"> → </w:t>
      </w:r>
      <w:r>
        <w:rPr>
          <w:b/>
        </w:rPr>
        <w:t>Add</w:t>
      </w:r>
      <w:r>
        <w:t xml:space="preserve"> a </w:t>
      </w:r>
      <w:r>
        <w:rPr>
          <w:b/>
        </w:rPr>
        <w:t>TCP</w:t>
      </w:r>
      <w:r>
        <w:t xml:space="preserve"> connection; set the role (Server or Client), host and port; </w:t>
      </w:r>
      <w:r>
        <w:rPr>
          <w:b/>
        </w:rPr>
        <w:t>Test</w:t>
      </w:r>
      <w:r>
        <w:t>.</w:t>
      </w:r>
    </w:p>
    <w:p>
      <w:r>
        <w:t xml:space="preserve">2. </w:t>
      </w:r>
      <w:r>
        <w:t xml:space="preserve">Define messages/fields and values as usual; press </w:t>
      </w:r>
      <w:r>
        <w:rPr>
          <w:b/>
        </w:rPr>
        <w:t>Send</w:t>
      </w:r>
      <w:r>
        <w:t>. Data is written to the TCP stream.</w:t>
      </w:r>
    </w:p>
    <w:p>
      <w:pPr>
        <w:pStyle w:val="Heading2"/>
      </w:pPr>
      <w:r>
        <w:t>Send to several destinations at once (connections)</w:t>
      </w:r>
    </w:p>
    <w:p>
      <w:r>
        <w:t xml:space="preserve">1. </w:t>
      </w:r>
      <w:r>
        <w:rPr>
          <w:b/>
        </w:rPr>
        <w:t>Configure…</w:t>
      </w:r>
      <w:r>
        <w:t xml:space="preserve"> → </w:t>
      </w:r>
      <w:r>
        <w:rPr>
          <w:b/>
        </w:rPr>
        <w:t>Add</w:t>
      </w:r>
      <w:r>
        <w:t xml:space="preserve"> one connection per destination (UDP / TCP / serial), naming each.</w:t>
      </w:r>
    </w:p>
    <w:p>
      <w:r>
        <w:t xml:space="preserve">2. </w:t>
      </w:r>
      <w:r>
        <w:t xml:space="preserve">For each message, pick its destination in the </w:t>
      </w:r>
      <w:r>
        <w:rPr>
          <w:b/>
        </w:rPr>
        <w:t>Connection</w:t>
      </w:r>
      <w:r>
        <w:t xml:space="preserve"> column (leave a message on the first connection to use the default).</w:t>
      </w:r>
    </w:p>
    <w:p>
      <w:r>
        <w:t xml:space="preserve">3. </w:t>
      </w:r>
      <w:r>
        <w:t xml:space="preserve">Press </w:t>
      </w:r>
      <w:r>
        <w:rPr>
          <w:b/>
        </w:rPr>
        <w:t>Send</w:t>
      </w:r>
      <w:r>
        <w:t xml:space="preserve"> — the simulator opens each referenced connection and routes every message to its own destination, so two messages can stream to two different places at the same time.</w:t>
      </w:r>
    </w:p>
    <w:p>
      <w:pPr>
        <w:pStyle w:val="Heading2"/>
      </w:pPr>
      <w:r>
        <w:t>Send a value in Little-endian</w:t>
      </w:r>
    </w:p>
    <w:p>
      <w:r>
        <w:t xml:space="preserve">In Configure Fields, set that field's </w:t>
      </w:r>
      <w:r>
        <w:rPr>
          <w:b/>
        </w:rPr>
        <w:t>Endian</w:t>
      </w:r>
      <w:r>
        <w:t xml:space="preserve"> column to </w:t>
      </w:r>
      <w:r>
        <w:rPr>
          <w:b/>
        </w:rPr>
        <w:t>Little-endian</w:t>
      </w:r>
      <w:r>
        <w:t xml:space="preserve">. A </w:t>
      </w:r>
      <w:r>
        <w:rPr>
          <w:rFonts w:ascii="Consolas" w:hAnsi="Consolas"/>
          <w:color w:val="C7254E"/>
        </w:rPr>
        <w:t>uint32</w:t>
      </w:r>
      <w:r>
        <w:t xml:space="preserve"> value of </w:t>
      </w:r>
      <w:r>
        <w:rPr>
          <w:rFonts w:ascii="Consolas" w:hAnsi="Consolas"/>
          <w:color w:val="C7254E"/>
        </w:rPr>
        <w:t>1</w:t>
      </w:r>
      <w:r>
        <w:t xml:space="preserve"> becomes </w:t>
      </w:r>
      <w:r>
        <w:rPr>
          <w:rFonts w:ascii="Consolas" w:hAnsi="Consolas"/>
          <w:color w:val="C7254E"/>
        </w:rPr>
        <w:t>01 00 00 00</w:t>
      </w:r>
      <w:r>
        <w:t xml:space="preserve"> on the wire instead of </w:t>
      </w:r>
      <w:r>
        <w:rPr>
          <w:rFonts w:ascii="Consolas" w:hAnsi="Consolas"/>
          <w:color w:val="C7254E"/>
        </w:rPr>
        <w:t>00 00 00 01</w:t>
      </w:r>
      <w:r>
        <w:t>. String fields are never reversed.</w:t>
      </w:r>
    </w:p>
    <w:p>
      <w:pPr>
        <w:pStyle w:val="Heading2"/>
      </w:pPr>
      <w:r>
        <w:t>Change a value while it is already streaming</w:t>
      </w:r>
    </w:p>
    <w:p>
      <w:r>
        <w:t xml:space="preserve">With Send running, open </w:t>
      </w:r>
      <w:r>
        <w:rPr>
          <w:b/>
        </w:rPr>
        <w:t>Configure Fields</w:t>
      </w:r>
      <w:r>
        <w:t xml:space="preserve">, change the Value, </w:t>
      </w:r>
      <w:r>
        <w:rPr>
          <w:b/>
        </w:rPr>
        <w:t>Save</w:t>
      </w:r>
      <w:r>
        <w:t xml:space="preserve">. The live stream picks up the new bytes immediately — no Stop/Start needed. Changing the </w:t>
      </w:r>
      <w:r>
        <w:rPr>
          <w:b/>
        </w:rPr>
        <w:t>Rate</w:t>
      </w:r>
      <w:r>
        <w:t xml:space="preserve"> retunes the cadence live; toggling </w:t>
      </w:r>
      <w:r>
        <w:rPr>
          <w:b/>
        </w:rPr>
        <w:t>Send?</w:t>
      </w:r>
      <w:r>
        <w:t xml:space="preserve"> starts or stops just that one message.</w:t>
      </w:r>
    </w:p>
    <w:p>
      <w:pPr>
        <w:pStyle w:val="Heading2"/>
      </w:pPr>
      <w:r>
        <w:t>Build an NMEA 0183 sentence</w:t>
      </w:r>
    </w:p>
    <w:p>
      <w:r>
        <w:t xml:space="preserve">Add a message and set its </w:t>
      </w:r>
      <w:r>
        <w:rPr>
          <w:b/>
        </w:rPr>
        <w:t>Format</w:t>
      </w:r>
      <w:r>
        <w:t xml:space="preserve"> to </w:t>
      </w:r>
      <w:r>
        <w:rPr>
          <w:b/>
        </w:rPr>
        <w:t>NMEA</w:t>
      </w:r>
      <w:r>
        <w:t xml:space="preserve">; pick the sentence (e.g. GGA) and talker (e.g. GP). In Configure Fields, type each field's token value; the simulator builds </w:t>
      </w:r>
      <w:r>
        <w:rPr>
          <w:rFonts w:ascii="Consolas" w:hAnsi="Consolas"/>
          <w:color w:val="C7254E"/>
        </w:rPr>
        <w:t>$GPGGA,...*HH&lt;CR&gt;&lt;LF&gt;</w:t>
      </w:r>
      <w:r>
        <w:t xml:space="preserve"> with a correct XOR checksum.</w:t>
      </w:r>
    </w:p>
    <w:p>
      <w:pPr>
        <w:pStyle w:val="Heading2"/>
      </w:pPr>
      <w:r>
        <w:t>Import messages from a Word ICD</w:t>
      </w:r>
    </w:p>
    <w:p>
      <w:r>
        <w:rPr>
          <w:b/>
        </w:rPr>
        <w:t>File → Import ICD…</w:t>
      </w:r>
      <w:r>
        <w:t xml:space="preserve"> (Ctrl+I) → pick the </w:t>
      </w:r>
      <w:r>
        <w:rPr>
          <w:rFonts w:ascii="Consolas" w:hAnsi="Consolas"/>
          <w:color w:val="C7254E"/>
        </w:rPr>
        <w:t>.docx</w:t>
      </w:r>
      <w:r>
        <w:t xml:space="preserve"> → tick the tables that hold field definitions → </w:t>
      </w:r>
      <w:r>
        <w:rPr>
          <w:b/>
        </w:rPr>
        <w:t>Build / Preview</w:t>
      </w:r>
      <w:r>
        <w:t xml:space="preserve"> → review → </w:t>
      </w:r>
      <w:r>
        <w:rPr>
          <w:b/>
        </w:rPr>
        <w:t>OK</w:t>
      </w:r>
      <w:r>
        <w:t>. Each table becomes a message with its byte offsets, lengths and types filled in; type the values and send. Names that clash with existing ones are auto-renamed (</w:t>
      </w:r>
      <w:r>
        <w:rPr>
          <w:rFonts w:ascii="Consolas" w:hAnsi="Consolas"/>
          <w:color w:val="C7254E"/>
        </w:rPr>
        <w:t>ttd</w:t>
      </w:r>
      <w:r>
        <w:t xml:space="preserve"> → </w:t>
      </w:r>
      <w:r>
        <w:rPr>
          <w:rFonts w:ascii="Consolas" w:hAnsi="Consolas"/>
          <w:color w:val="C7254E"/>
        </w:rPr>
        <w:t>ttd_1</w:t>
      </w:r>
      <w:r>
        <w:t>) with a warning.</w:t>
      </w:r>
    </w:p>
    <w:p>
      <w:pPr>
        <w:pStyle w:val="Heading2"/>
      </w:pPr>
      <w:r>
        <w:t>Import/export fields as Excel</w:t>
      </w:r>
    </w:p>
    <w:p>
      <w:r>
        <w:t xml:space="preserve">In </w:t>
      </w:r>
      <w:r>
        <w:rPr>
          <w:b/>
        </w:rPr>
        <w:t>Configure Fields</w:t>
      </w:r>
      <w:r>
        <w:t xml:space="preserve">, use the </w:t>
      </w:r>
      <w:r>
        <w:rPr>
          <w:b/>
        </w:rPr>
        <w:t>Excel</w:t>
      </w:r>
      <w:r>
        <w:t xml:space="preserve"> menu → </w:t>
      </w:r>
      <w:r>
        <w:rPr>
          <w:b/>
        </w:rPr>
        <w:t>Import</w:t>
      </w:r>
      <w:r>
        <w:t xml:space="preserve"> to load fields from a </w:t>
      </w:r>
      <w:r>
        <w:rPr>
          <w:rFonts w:ascii="Consolas" w:hAnsi="Consolas"/>
          <w:color w:val="C7254E"/>
        </w:rPr>
        <w:t>.xlsx</w:t>
      </w:r>
      <w:r>
        <w:t xml:space="preserve"> file (same column layout as CSV), or </w:t>
      </w:r>
      <w:r>
        <w:rPr>
          <w:b/>
        </w:rPr>
        <w:t>Export</w:t>
      </w:r>
      <w:r>
        <w:t xml:space="preserve"> to write the current fields to Excel.</w:t>
      </w:r>
    </w:p>
    <w:p>
      <w:pPr>
        <w:pStyle w:val="Heading2"/>
      </w:pPr>
      <w:r>
        <w:t>Import/export whole messages as JSON</w:t>
      </w:r>
    </w:p>
    <w:p>
      <w:r>
        <w:rPr>
          <w:b/>
        </w:rPr>
        <w:t>File → Export Messages (JSON)</w:t>
      </w:r>
      <w:r>
        <w:t xml:space="preserve"> writes all messages — fields, send rate, format, values — to a single JSON file. </w:t>
      </w:r>
      <w:r>
        <w:rPr>
          <w:b/>
        </w:rPr>
        <w:t>File → Import Messages (JSON)</w:t>
      </w:r>
      <w:r>
        <w:t xml:space="preserve"> loads them back, appending to the current list (clashing names are auto-renamed). The format is shared with the reader, so you can round-trip definitions between the two apps without data loss.</w:t>
      </w:r>
    </w:p>
    <w:p>
      <w:pPr>
        <w:pStyle w:val="Heading2"/>
      </w:pPr>
      <w:r>
        <w:t>Switch offset display to Words</w:t>
      </w:r>
    </w:p>
    <w:p>
      <w:r>
        <w:t xml:space="preserve">In </w:t>
      </w:r>
      <w:r>
        <w:rPr>
          <w:b/>
        </w:rPr>
        <w:t>Configure Fields</w:t>
      </w:r>
      <w:r>
        <w:t xml:space="preserve">, change the </w:t>
      </w:r>
      <w:r>
        <w:rPr>
          <w:b/>
        </w:rPr>
        <w:t>Offsets in</w:t>
      </w:r>
      <w:r>
        <w:t xml:space="preserve"> dropdown from </w:t>
      </w:r>
      <w:r>
        <w:rPr>
          <w:b/>
        </w:rPr>
        <w:t>Bytes</w:t>
      </w:r>
      <w:r>
        <w:t xml:space="preserve"> to </w:t>
      </w:r>
      <w:r>
        <w:rPr>
          <w:b/>
        </w:rPr>
        <w:t>Words (2 bytes)</w:t>
      </w:r>
      <w:r>
        <w:t>.</w:t>
      </w:r>
    </w:p>
    <w:p>
      <w:pPr>
        <w:pStyle w:val="Heading2"/>
      </w:pPr>
      <w:r>
        <w:t>Save / reload your work</w:t>
      </w:r>
    </w:p>
    <w:p>
      <w:r>
        <w:rPr>
          <w:b/>
        </w:rPr>
        <w:t>File → Save Setup</w:t>
      </w:r>
      <w:r>
        <w:t xml:space="preserve"> writes the whole setup (connections + messages + fields + values + rates + each message's connection binding) to a JSON file; </w:t>
      </w:r>
      <w:r>
        <w:rPr>
          <w:b/>
        </w:rPr>
        <w:t>Open Setup</w:t>
      </w:r>
      <w:r>
        <w:t xml:space="preserve"> loads one. The setup is also auto-saved on close and restored on next launch. Setups saved by an older single-destination build still load — their one destination becomes the first connection.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DEBFF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2880"/>
            <w:shd w:val="clear" w:fill="DDEBFF"/>
          </w:tcPr>
          <w:p>
            <w:r>
              <w:rPr>
                <w:b/>
              </w:rPr>
            </w:r>
            <w:r>
              <w:rPr>
                <w:b/>
              </w:rPr>
              <w:t>Likely cause</w:t>
            </w:r>
          </w:p>
        </w:tc>
        <w:tc>
          <w:tcPr>
            <w:tcW w:type="dxa" w:w="2880"/>
            <w:shd w:val="clear" w:fill="DDEBFF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t>"Cannot Send" — a UDP connection failed to open</w:t>
            </w:r>
          </w:p>
        </w:tc>
        <w:tc>
          <w:tcPr>
            <w:tcW w:type="dxa" w:w="2880"/>
          </w:tcPr>
          <w:p>
            <w:r/>
            <w:r>
              <w:t>Bad IP, or no route to the destination</w:t>
            </w:r>
          </w:p>
        </w:tc>
        <w:tc>
          <w:tcPr>
            <w:tcW w:type="dxa" w:w="2880"/>
          </w:tcPr>
          <w:p>
            <w:r/>
            <w:r>
              <w:t xml:space="preserve">Re-check the IP/port (use </w:t>
            </w:r>
            <w:r>
              <w:rPr>
                <w:b/>
              </w:rPr>
              <w:t>Test Connection</w:t>
            </w:r>
            <w:r>
              <w:t xml:space="preserve"> in the manager); confirm the network route. The dialog states the exact reason.</w:t>
            </w:r>
          </w:p>
        </w:tc>
      </w:tr>
      <w:tr>
        <w:tc>
          <w:tcPr>
            <w:tcW w:type="dxa" w:w="2880"/>
          </w:tcPr>
          <w:p>
            <w:r/>
            <w:r>
              <w:t>"Cannot Send" — a TCP connection failed to open</w:t>
            </w:r>
          </w:p>
        </w:tc>
        <w:tc>
          <w:tcPr>
            <w:tcW w:type="dxa" w:w="2880"/>
          </w:tcPr>
          <w:p>
            <w:r/>
            <w:r>
              <w:t>Remote host not listening, wrong role, or firewall</w:t>
            </w:r>
          </w:p>
        </w:tc>
        <w:tc>
          <w:tcPr>
            <w:tcW w:type="dxa" w:w="2880"/>
          </w:tcPr>
          <w:p>
            <w:r/>
            <w:r>
              <w:t xml:space="preserve">Server mode listens; Client mode connects. Confirm the remote end is running and reachable; </w:t>
            </w:r>
            <w:r>
              <w:rPr>
                <w:b/>
              </w:rPr>
              <w:t>Test Connection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"Cannot Send" — a serial connection failed to open</w:t>
            </w:r>
          </w:p>
        </w:tc>
        <w:tc>
          <w:tcPr>
            <w:tcW w:type="dxa" w:w="2880"/>
          </w:tcPr>
          <w:p>
            <w:r/>
            <w:r>
              <w:t>COM port busy, missing, or wrong settings</w:t>
            </w:r>
          </w:p>
        </w:tc>
        <w:tc>
          <w:tcPr>
            <w:tcW w:type="dxa" w:w="2880"/>
          </w:tcPr>
          <w:p>
            <w:r/>
            <w:r>
              <w:t xml:space="preserve">Close other apps using the port; press </w:t>
            </w:r>
            <w:r>
              <w:rPr>
                <w:b/>
              </w:rPr>
              <w:t>Refresh</w:t>
            </w:r>
            <w:r>
              <w:t xml:space="preserve">; check baud/data/parity/stop bits; </w:t>
            </w:r>
            <w:r>
              <w:rPr>
                <w:b/>
              </w:rPr>
              <w:t>Test Connection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Bar dot turns red while sending</w:t>
            </w:r>
          </w:p>
        </w:tc>
        <w:tc>
          <w:tcPr>
            <w:tcW w:type="dxa" w:w="2880"/>
          </w:tcPr>
          <w:p>
            <w:r/>
            <w:r>
              <w:t>A link dropped mid-stream (cable pulled, server closed)</w:t>
            </w:r>
          </w:p>
        </w:tc>
        <w:tc>
          <w:tcPr>
            <w:tcW w:type="dxa" w:w="2880"/>
          </w:tcPr>
          <w:p>
            <w:r/>
            <w:r>
              <w:t xml:space="preserve">Sending stops with the reason; fix the link and press </w:t>
            </w:r>
            <w:r>
              <w:rPr>
                <w:b/>
              </w:rPr>
              <w:t>Send</w:t>
            </w:r>
            <w:r>
              <w:t xml:space="preserve"> again.</w:t>
            </w:r>
          </w:p>
        </w:tc>
      </w:tr>
      <w:tr>
        <w:tc>
          <w:tcPr>
            <w:tcW w:type="dxa" w:w="2880"/>
          </w:tcPr>
          <w:p>
            <w:r/>
            <w:r>
              <w:t>"Cannot Send" dialog lists problems</w:t>
            </w:r>
          </w:p>
        </w:tc>
        <w:tc>
          <w:tcPr>
            <w:tcW w:type="dxa" w:w="2880"/>
          </w:tcPr>
          <w:p>
            <w:r/>
            <w:r>
              <w:t>No connection defined, no message ticked, or a field value doesn't fit</w:t>
            </w:r>
          </w:p>
        </w:tc>
        <w:tc>
          <w:tcPr>
            <w:tcW w:type="dxa" w:w="2880"/>
          </w:tcPr>
          <w:p>
            <w:r/>
            <w:r>
              <w:t>Fix each listed item (each has a solution). Define a connection; tick at least one message; correct out-of-range values.</w:t>
            </w:r>
          </w:p>
        </w:tc>
      </w:tr>
      <w:tr>
        <w:tc>
          <w:tcPr>
            <w:tcW w:type="dxa" w:w="2880"/>
          </w:tcPr>
          <w:p>
            <w:r/>
            <w:r>
              <w:t xml:space="preserve">Hex (auto) cell shows </w:t>
            </w:r>
            <w:r>
              <w:rPr>
                <w:rFonts w:ascii="Consolas" w:hAnsi="Consolas"/>
                <w:color w:val="C7254E"/>
              </w:rPr>
              <w:t>—</w:t>
            </w:r>
            <w:r>
              <w:t xml:space="preserve"> in red</w:t>
            </w:r>
          </w:p>
        </w:tc>
        <w:tc>
          <w:tcPr>
            <w:tcW w:type="dxa" w:w="2880"/>
          </w:tcPr>
          <w:p>
            <w:r/>
            <w:r>
              <w:t>The Value can't be encoded in that type/length</w:t>
            </w:r>
          </w:p>
        </w:tc>
        <w:tc>
          <w:tcPr>
            <w:tcW w:type="dxa" w:w="2880"/>
          </w:tcPr>
          <w:p>
            <w:r/>
            <w:r>
              <w:t>Hover the cell for the reason; widen the Length, change the Type, or enter a value in range.</w:t>
            </w:r>
          </w:p>
        </w:tc>
      </w:tr>
      <w:tr>
        <w:tc>
          <w:tcPr>
            <w:tcW w:type="dxa" w:w="2880"/>
          </w:tcPr>
          <w:p>
            <w:r/>
            <w:r>
              <w:t>Value too big for the field</w:t>
            </w:r>
          </w:p>
        </w:tc>
        <w:tc>
          <w:tcPr>
            <w:tcW w:type="dxa" w:w="2880"/>
          </w:tcPr>
          <w:p>
            <w:r/>
            <w:r>
              <w:t>Value exceeds the type/length range</w:t>
            </w:r>
          </w:p>
        </w:tc>
        <w:tc>
          <w:tcPr>
            <w:tcW w:type="dxa" w:w="2880"/>
          </w:tcPr>
          <w:p>
            <w:r/>
            <w:r>
              <w:t>Use a wider type or larger Length, raise the Resolution, or send a smaller value.</w:t>
            </w:r>
          </w:p>
        </w:tc>
      </w:tr>
      <w:tr>
        <w:tc>
          <w:tcPr>
            <w:tcW w:type="dxa" w:w="2880"/>
          </w:tcPr>
          <w:p>
            <w:r/>
            <w:r>
              <w:t>Bytes arrive byte-swapped at the receiver</w:t>
            </w:r>
          </w:p>
        </w:tc>
        <w:tc>
          <w:tcPr>
            <w:tcW w:type="dxa" w:w="2880"/>
          </w:tcPr>
          <w:p>
            <w:r/>
            <w:r>
              <w:t>Endianness mismatch</w:t>
            </w:r>
          </w:p>
        </w:tc>
        <w:tc>
          <w:tcPr>
            <w:tcW w:type="dxa" w:w="2880"/>
          </w:tcPr>
          <w:p>
            <w:r/>
            <w:r>
              <w:t xml:space="preserve">Set the field's </w:t>
            </w:r>
            <w:r>
              <w:rPr>
                <w:b/>
              </w:rPr>
              <w:t>Endian</w:t>
            </w:r>
            <w:r>
              <w:t xml:space="preserve"> to match the receiver (Big vs Little).</w:t>
            </w:r>
          </w:p>
        </w:tc>
      </w:tr>
      <w:tr>
        <w:tc>
          <w:tcPr>
            <w:tcW w:type="dxa" w:w="2880"/>
          </w:tcPr>
          <w:p>
            <w:r/>
            <w:r>
              <w:t>Nothing received over UDP</w:t>
            </w:r>
          </w:p>
        </w:tc>
        <w:tc>
          <w:tcPr>
            <w:tcW w:type="dxa" w:w="2880"/>
          </w:tcPr>
          <w:p>
            <w:r/>
            <w:r>
              <w:t>Green dot only means "sent to the OS"</w:t>
            </w:r>
          </w:p>
        </w:tc>
        <w:tc>
          <w:tcPr>
            <w:tcW w:type="dxa" w:w="2880"/>
          </w:tcPr>
          <w:p>
            <w:r/>
            <w:r>
              <w:t>Confirm the receiver is listening on that exact IP/port; check firewalls; try the parser app's Live mode as a receiver.</w:t>
            </w:r>
          </w:p>
        </w:tc>
      </w:tr>
      <w:tr>
        <w:tc>
          <w:tcPr>
            <w:tcW w:type="dxa" w:w="2880"/>
          </w:tcPr>
          <w:p>
            <w:r/>
            <w:r>
              <w:t>NMEA sentence rejected by the receiver</w:t>
            </w:r>
          </w:p>
        </w:tc>
        <w:tc>
          <w:tcPr>
            <w:tcW w:type="dxa" w:w="2880"/>
          </w:tcPr>
          <w:p>
            <w:r/>
            <w:r>
              <w:t xml:space="preserve">Bad talker/formatter or a token contains </w:t>
            </w:r>
            <w:r>
              <w:rPr>
                <w:rFonts w:ascii="Consolas" w:hAnsi="Consolas"/>
                <w:color w:val="C7254E"/>
              </w:rPr>
              <w:t>, * $ !</w:t>
            </w:r>
          </w:p>
        </w:tc>
        <w:tc>
          <w:tcPr>
            <w:tcW w:type="dxa" w:w="2880"/>
          </w:tcPr>
          <w:p>
            <w:r/>
            <w:r>
              <w:t>Use a valid 2-char talker + 3-char formatter; remove delimiter characters from token values.</w:t>
            </w:r>
          </w:p>
        </w:tc>
      </w:tr>
      <w:tr>
        <w:tc>
          <w:tcPr>
            <w:tcW w:type="dxa" w:w="2880"/>
          </w:tcPr>
          <w:p>
            <w:r/>
            <w:r>
              <w:t>ICD import offsets look shifted by one</w:t>
            </w:r>
          </w:p>
        </w:tc>
        <w:tc>
          <w:tcPr>
            <w:tcW w:type="dxa" w:w="2880"/>
          </w:tcPr>
          <w:p>
            <w:r/>
            <w:r>
              <w:t>The ICD's offset base (0- vs 1-based) was mis-detected</w:t>
            </w:r>
          </w:p>
        </w:tc>
        <w:tc>
          <w:tcPr>
            <w:tcW w:type="dxa" w:w="2880"/>
          </w:tcPr>
          <w:p>
            <w:r/>
            <w:r>
              <w:t xml:space="preserve">In the import's </w:t>
            </w:r>
            <w:r>
              <w:rPr>
                <w:b/>
              </w:rPr>
              <w:t>Table Settings</w:t>
            </w:r>
            <w:r>
              <w:t xml:space="preserve">, flip the </w:t>
            </w:r>
            <w:r>
              <w:rPr>
                <w:b/>
              </w:rPr>
              <w:t>Offset base</w:t>
            </w:r>
            <w:r>
              <w:t>; every review offset is also editable.</w:t>
            </w:r>
          </w:p>
        </w:tc>
      </w:tr>
      <w:tr>
        <w:tc>
          <w:tcPr>
            <w:tcW w:type="dxa" w:w="2880"/>
          </w:tcPr>
          <w:p>
            <w:r/>
            <w:r>
              <w:t>Send rate seems capped</w:t>
            </w:r>
          </w:p>
        </w:tc>
        <w:tc>
          <w:tcPr>
            <w:tcW w:type="dxa" w:w="2880"/>
          </w:tcPr>
          <w:p>
            <w:r/>
            <w:r>
              <w:t>The timer fires at most once per millisecond</w:t>
            </w:r>
          </w:p>
        </w:tc>
        <w:tc>
          <w:tcPr>
            <w:tcW w:type="dxa" w:w="2880"/>
          </w:tcPr>
          <w:p>
            <w:r/>
            <w:r>
              <w:t>Rates above ~1000 Hz are clamped; use 0.001–1000 Hz.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1"/>
      </w:pPr>
      <w:r>
        <w:t>Keyboard shortcuts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DEBFF"/>
          </w:tcPr>
          <w:p>
            <w:r>
              <w:rPr>
                <w:b/>
              </w:rPr>
            </w:r>
            <w:r>
              <w:rPr>
                <w:b/>
              </w:rPr>
              <w:t>Shortcut</w:t>
            </w:r>
          </w:p>
        </w:tc>
        <w:tc>
          <w:tcPr>
            <w:tcW w:type="dxa" w:w="4320"/>
            <w:shd w:val="clear" w:fill="DDEBFF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t>F1</w:t>
            </w:r>
          </w:p>
        </w:tc>
        <w:tc>
          <w:tcPr>
            <w:tcW w:type="dxa" w:w="4320"/>
          </w:tcPr>
          <w:p>
            <w:r/>
            <w:r>
              <w:t>Open this user manual</w:t>
            </w:r>
          </w:p>
        </w:tc>
      </w:tr>
      <w:tr>
        <w:tc>
          <w:tcPr>
            <w:tcW w:type="dxa" w:w="4320"/>
          </w:tcPr>
          <w:p>
            <w:r/>
            <w:r>
              <w:t>Shift+F1</w:t>
            </w:r>
          </w:p>
        </w:tc>
        <w:tc>
          <w:tcPr>
            <w:tcW w:type="dxa" w:w="4320"/>
          </w:tcPr>
          <w:p>
            <w:r/>
            <w:r>
              <w:t>Keyboard shortcuts box</w:t>
            </w:r>
          </w:p>
        </w:tc>
      </w:tr>
      <w:tr>
        <w:tc>
          <w:tcPr>
            <w:tcW w:type="dxa" w:w="4320"/>
          </w:tcPr>
          <w:p>
            <w:r/>
            <w:r>
              <w:t>Ctrl+O / Ctrl+S / Ctrl+Shift+S</w:t>
            </w:r>
          </w:p>
        </w:tc>
        <w:tc>
          <w:tcPr>
            <w:tcW w:type="dxa" w:w="4320"/>
          </w:tcPr>
          <w:p>
            <w:r/>
            <w:r>
              <w:t>Open / Save / Save-As setup</w:t>
            </w:r>
          </w:p>
        </w:tc>
      </w:tr>
      <w:tr>
        <w:tc>
          <w:tcPr>
            <w:tcW w:type="dxa" w:w="4320"/>
          </w:tcPr>
          <w:p>
            <w:r/>
            <w:r>
              <w:t>Ctrl+I</w:t>
            </w:r>
          </w:p>
        </w:tc>
        <w:tc>
          <w:tcPr>
            <w:tcW w:type="dxa" w:w="4320"/>
          </w:tcPr>
          <w:p>
            <w:r/>
            <w:r>
              <w:t>Import ICD (.docx)</w:t>
            </w:r>
          </w:p>
        </w:tc>
      </w:tr>
      <w:tr>
        <w:tc>
          <w:tcPr>
            <w:tcW w:type="dxa" w:w="4320"/>
          </w:tcPr>
          <w:p>
            <w:r/>
            <w:r>
              <w:t>F5 / Shift+F5</w:t>
            </w:r>
          </w:p>
        </w:tc>
        <w:tc>
          <w:tcPr>
            <w:tcW w:type="dxa" w:w="4320"/>
          </w:tcPr>
          <w:p>
            <w:r/>
            <w:r>
              <w:t>Send / Stop</w:t>
            </w:r>
          </w:p>
        </w:tc>
      </w:tr>
      <w:tr>
        <w:tc>
          <w:tcPr>
            <w:tcW w:type="dxa" w:w="4320"/>
          </w:tcPr>
          <w:p>
            <w:r/>
            <w:r>
              <w:t>Ctrl+T</w:t>
            </w:r>
          </w:p>
        </w:tc>
        <w:tc>
          <w:tcPr>
            <w:tcW w:type="dxa" w:w="4320"/>
          </w:tcPr>
          <w:p>
            <w:r/>
            <w:r>
              <w:t>Toggle Light/Dark theme</w:t>
            </w:r>
          </w:p>
        </w:tc>
      </w:tr>
      <w:tr>
        <w:tc>
          <w:tcPr>
            <w:tcW w:type="dxa" w:w="4320"/>
          </w:tcPr>
          <w:p>
            <w:r/>
            <w:r>
              <w:t>Ctrl+Q</w:t>
            </w:r>
          </w:p>
        </w:tc>
        <w:tc>
          <w:tcPr>
            <w:tcW w:type="dxa" w:w="4320"/>
          </w:tcPr>
          <w:p>
            <w:r/>
            <w:r>
              <w:t>Quit</w:t>
            </w:r>
          </w:p>
        </w:tc>
      </w:tr>
      <w:tr>
        <w:tc>
          <w:tcPr>
            <w:tcW w:type="dxa" w:w="4320"/>
          </w:tcPr>
          <w:p>
            <w:r/>
            <w:r>
              <w:t>Insert / Ctrl+E / Ctrl+Delete</w:t>
            </w:r>
          </w:p>
        </w:tc>
        <w:tc>
          <w:tcPr>
            <w:tcW w:type="dxa" w:w="4320"/>
          </w:tcPr>
          <w:p>
            <w:r/>
            <w:r>
              <w:t>(Field dialog) Add / Edit / Remove field(s)</w:t>
            </w:r>
          </w:p>
        </w:tc>
      </w:tr>
      <w:tr>
        <w:tc>
          <w:tcPr>
            <w:tcW w:type="dxa" w:w="4320"/>
          </w:tcPr>
          <w:p>
            <w:r/>
            <w:r>
              <w:t>Alt+Up / Alt+Down</w:t>
            </w:r>
          </w:p>
        </w:tc>
        <w:tc>
          <w:tcPr>
            <w:tcW w:type="dxa" w:w="4320"/>
          </w:tcPr>
          <w:p>
            <w:r/>
            <w:r>
              <w:t>(Field dialog) Move the selected field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>Payload</w:t>
      </w:r>
      <w:r>
        <w:t xml:space="preserve"> — the bytes of one message, excluding any transport headers.</w:t>
      </w:r>
    </w:p>
    <w:p>
      <w:pPr>
        <w:pStyle w:val="ListBullet"/>
      </w:pPr>
      <w:r>
        <w:rPr>
          <w:b/>
        </w:rPr>
        <w:t>Byte offset</w:t>
      </w:r>
      <w:r>
        <w:t xml:space="preserve"> — 1-based position of a field's first byte within the payload.</w:t>
      </w:r>
    </w:p>
    <w:p>
      <w:pPr>
        <w:pStyle w:val="ListBullet"/>
      </w:pPr>
      <w:r>
        <w:rPr>
          <w:b/>
        </w:rPr>
        <w:t>Word offset</w:t>
      </w:r>
      <w:r>
        <w:t xml:space="preserve"> — 1-based position in 2-byte words; displayed when </w:t>
      </w:r>
      <w:r>
        <w:rPr>
          <w:b/>
        </w:rPr>
        <w:t>Offsets in</w:t>
      </w:r>
      <w:r>
        <w:t xml:space="preserve"> is set to Words.</w:t>
      </w:r>
    </w:p>
    <w:p>
      <w:pPr>
        <w:pStyle w:val="ListBullet"/>
      </w:pPr>
      <w:r>
        <w:rPr>
          <w:b/>
        </w:rPr>
        <w:t>Resolution</w:t>
      </w:r>
      <w:r>
        <w:t xml:space="preserve"> — scale factor; the transmitted raw value is </w:t>
      </w:r>
      <w:r>
        <w:rPr>
          <w:rFonts w:ascii="Consolas" w:hAnsi="Consolas"/>
          <w:color w:val="C7254E"/>
        </w:rPr>
        <w:t>round(value ÷ resolution)</w:t>
      </w:r>
      <w:r>
        <w:t>.</w:t>
      </w:r>
    </w:p>
    <w:p>
      <w:pPr>
        <w:pStyle w:val="ListBullet"/>
      </w:pPr>
      <w:r>
        <w:rPr>
          <w:b/>
        </w:rPr>
        <w:t>Endianness</w:t>
      </w:r>
      <w:r>
        <w:t xml:space="preserve"> — byte order on the wire: Big-endian (most-significant byte first) or Little-endian.</w:t>
      </w:r>
    </w:p>
    <w:p>
      <w:pPr>
        <w:pStyle w:val="ListBullet"/>
      </w:pPr>
      <w:r>
        <w:rPr>
          <w:b/>
        </w:rPr>
        <w:t>NMEA 0183</w:t>
      </w:r>
      <w:r>
        <w:t xml:space="preserve"> — an ASCII sentence format (</w:t>
      </w:r>
      <w:r>
        <w:rPr>
          <w:rFonts w:ascii="Consolas" w:hAnsi="Consolas"/>
          <w:color w:val="C7254E"/>
        </w:rPr>
        <w:t>$TALKER+FORMATTER,fields*CHECKSUM</w:t>
      </w:r>
      <w:r>
        <w:t>).</w:t>
      </w:r>
    </w:p>
    <w:p>
      <w:pPr>
        <w:pStyle w:val="ListBullet"/>
      </w:pPr>
      <w:r>
        <w:rPr>
          <w:b/>
        </w:rPr>
        <w:t>ICD</w:t>
      </w:r>
      <w:r>
        <w:t xml:space="preserve"> — Interface Control Document; here, a Word </w:t>
      </w:r>
      <w:r>
        <w:rPr>
          <w:rFonts w:ascii="Consolas" w:hAnsi="Consolas"/>
          <w:color w:val="C7254E"/>
        </w:rPr>
        <w:t>.docx</w:t>
      </w:r>
      <w:r>
        <w:t xml:space="preserve"> describing message/field layouts.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