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ICD - Wide Identifier Block</w:t>
      </w:r>
    </w:p>
    <w:p>
      <w:r>
        <w:t xml:space="preserve">Fields wider than 8 bytes, decoded by the reader exactly.</w:t>
      </w:r>
    </w:p>
    <w:p>
      <w:pPr>
        <w:pStyle w:val="Heading1"/>
      </w:pPr>
      <w:r>
        <w:t xml:space="preserve">WideBlock Message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t xml:space="preserve">Field Name</w:t>
            </w:r>
          </w:p>
        </w:tc>
        <w:tc>
          <w:tcPr>
            <w:tcW w:w="2000" w:type="dxa"/>
          </w:tcPr>
          <w:p>
            <w:r>
              <w:t xml:space="preserve">Byte Offset</w:t>
            </w:r>
          </w:p>
        </w:tc>
        <w:tc>
          <w:tcPr>
            <w:tcW w:w="2000" w:type="dxa"/>
          </w:tcPr>
          <w:p>
            <w:r>
              <w:t xml:space="preserve">Data Type</w:t>
            </w:r>
          </w:p>
        </w:tc>
        <w:tc>
          <w:tcPr>
            <w:tcW w:w="2000" w:type="dxa"/>
          </w:tcPr>
          <w:p>
            <w:r>
              <w:t xml:space="preserve">Length</w:t>
            </w:r>
          </w:p>
        </w:tc>
        <w:tc>
          <w:tcPr>
            <w:tcW w:w="2000" w:type="dxa"/>
          </w:tcPr>
          <w:p>
            <w:r>
              <w:t xml:space="preserve">Resolution</w:t>
            </w:r>
          </w:p>
        </w:tc>
        <w:tc>
          <w:tcPr>
            <w:tcW w:w="2000" w:type="dxa"/>
          </w:tcPr>
          <w:p>
            <w:r>
              <w:t xml:space="preserve">Description</w:t>
            </w:r>
          </w:p>
        </w:tc>
      </w:tr>
      <w:tr>
        <w:tc>
          <w:tcPr>
            <w:tcW w:w="2000" w:type="dxa"/>
          </w:tcPr>
          <w:p>
            <w:r>
              <w:t xml:space="preserve">Counter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Uint32</w:t>
            </w:r>
          </w:p>
        </w:tc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message counter</w:t>
            </w:r>
          </w:p>
        </w:tc>
      </w:tr>
      <w:tr>
        <w:tc>
          <w:tcPr>
            <w:tcW w:w="2000" w:type="dxa"/>
          </w:tcPr>
          <w:p>
            <w:r>
              <w:t xml:space="preserve">BigId</w:t>
            </w:r>
          </w:p>
        </w:tc>
        <w:tc>
          <w:tcPr>
            <w:tcW w:w="2000" w:type="dxa"/>
          </w:tcPr>
          <w:p>
            <w:r>
              <w:t xml:space="preserve">5</w:t>
            </w:r>
          </w:p>
        </w:tc>
        <w:tc>
          <w:tcPr>
            <w:tcW w:w="2000" w:type="dxa"/>
          </w:tcPr>
          <w:p>
            <w:r>
              <w:t xml:space="preserve">RawUnsignedBE</w:t>
            </w:r>
          </w:p>
        </w:tc>
        <w:tc>
          <w:tcPr>
            <w:tcW w:w="2000" w:type="dxa"/>
          </w:tcPr>
          <w:p>
            <w:r>
              <w:t xml:space="preserve">12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12-byte unsigned id</w:t>
            </w:r>
          </w:p>
        </w:tc>
      </w:tr>
      <w:tr>
        <w:tc>
          <w:tcPr>
            <w:tcW w:w="2000" w:type="dxa"/>
          </w:tcPr>
          <w:p>
            <w:r>
              <w:t xml:space="preserve">SerialBlob</w:t>
            </w:r>
          </w:p>
        </w:tc>
        <w:tc>
          <w:tcPr>
            <w:tcW w:w="2000" w:type="dxa"/>
          </w:tcPr>
          <w:p>
            <w:r>
              <w:t xml:space="preserve">17</w:t>
            </w:r>
          </w:p>
        </w:tc>
        <w:tc>
          <w:tcPr>
            <w:tcW w:w="2000" w:type="dxa"/>
          </w:tcPr>
          <w:p>
            <w:r>
              <w:t xml:space="preserve">RawUnsignedBE</w:t>
            </w:r>
          </w:p>
        </w:tc>
        <w:tc>
          <w:tcPr>
            <w:tcW w:w="2000" w:type="dxa"/>
          </w:tcPr>
          <w:p>
            <w:r>
              <w:t xml:space="preserve">16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16-byte serial</w:t>
            </w:r>
          </w:p>
        </w:tc>
      </w:tr>
      <w:tr>
        <w:tc>
          <w:tcPr>
            <w:tcW w:w="2000" w:type="dxa"/>
          </w:tcPr>
          <w:p>
            <w:r>
              <w:t xml:space="preserve">Tail</w:t>
            </w:r>
          </w:p>
        </w:tc>
        <w:tc>
          <w:tcPr>
            <w:tcW w:w="2000" w:type="dxa"/>
          </w:tcPr>
          <w:p>
            <w:r>
              <w:t xml:space="preserve">33</w:t>
            </w:r>
          </w:p>
        </w:tc>
        <w:tc>
          <w:tcPr>
            <w:tcW w:w="2000" w:type="dxa"/>
          </w:tcPr>
          <w:p>
            <w:r>
              <w:t xml:space="preserve">Uint16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tail marker</w:t>
            </w:r>
          </w:p>
        </w:tc>
      </w:tr>
    </w:tbl>
    <w:p>
      <w:r>
        <w:t xml:space="preserve"/>
      </w:r>
    </w:p>
    <w:sectPr>
      <w:pgSz w:w="12240" w:h="15840"/>
    </w:sectPr>
  </w:body>
</w:document>
</file>