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Split Message</w:t>
      </w:r>
    </w:p>
    <w:p>
      <w:r>
        <w:t xml:space="preserve">A single message whose fields continue in a second table.</w:t>
      </w:r>
    </w:p>
    <w:p>
      <w:pPr>
        <w:pStyle w:val="Heading1"/>
      </w:pPr>
      <w:r>
        <w:t xml:space="preserve">Long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Sync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sync</w:t>
            </w:r>
          </w:p>
        </w:tc>
      </w:tr>
      <w:tr>
        <w:tc>
          <w:tcPr>
            <w:tcW w:w="2000" w:type="dxa"/>
          </w:tcPr>
          <w:p>
            <w:r>
              <w:t xml:space="preserve">Id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id</w:t>
            </w:r>
          </w:p>
        </w:tc>
      </w:tr>
      <w:tr>
        <w:tc>
          <w:tcPr>
            <w:tcW w:w="2000" w:type="dxa"/>
          </w:tcPr>
          <w:p>
            <w:r>
              <w:t xml:space="preserve">FieldA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A</w:t>
            </w:r>
          </w:p>
        </w:tc>
      </w:tr>
    </w:tbl>
    <w:p>
      <w:pPr>
        <w:pStyle w:val="Heading1"/>
      </w:pPr>
      <w:r>
        <w:t xml:space="preserve">Long Message (cont.)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FieldB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FieldC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000" w:type="dxa"/>
          </w:tcPr>
          <w:p>
            <w:r>
              <w:t xml:space="preserve">Uint32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C</w:t>
            </w:r>
          </w:p>
        </w:tc>
      </w:tr>
      <w:tr>
        <w:tc>
          <w:tcPr>
            <w:tcW w:w="2000" w:type="dxa"/>
          </w:tcPr>
          <w:p>
            <w:r>
              <w:t xml:space="preserve">FieldD</w:t>
            </w:r>
          </w:p>
        </w:tc>
        <w:tc>
          <w:tcPr>
            <w:tcW w:w="2000" w:type="dxa"/>
          </w:tcPr>
          <w:p>
            <w:r>
              <w:t xml:space="preserve">12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r>
        <w:t xml:space="preserve"/>
      </w:r>
    </w:p>
    <w:sectPr>
      <w:pgSz w:w="12240" w:h="15840"/>
    </w:sectPr>
  </w:body>
</w:document>
</file>