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ICD - Framed Message</w:t>
      </w:r>
    </w:p>
    <w:p>
      <w:r>
        <w:t xml:space="preserve">Carries an explicit message id and data-length field.</w:t>
      </w:r>
    </w:p>
    <w:p>
      <w:pPr>
        <w:pStyle w:val="Heading1"/>
      </w:pPr>
      <w:r>
        <w:t xml:space="preserve">Framed Message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t xml:space="preserve">Field Name</w:t>
            </w:r>
          </w:p>
        </w:tc>
        <w:tc>
          <w:tcPr>
            <w:tcW w:w="2000" w:type="dxa"/>
          </w:tcPr>
          <w:p>
            <w:r>
              <w:t xml:space="preserve">Byte Offset</w:t>
            </w:r>
          </w:p>
        </w:tc>
        <w:tc>
          <w:tcPr>
            <w:tcW w:w="2000" w:type="dxa"/>
          </w:tcPr>
          <w:p>
            <w:r>
              <w:t xml:space="preserve">Data Type</w:t>
            </w:r>
          </w:p>
        </w:tc>
        <w:tc>
          <w:tcPr>
            <w:tcW w:w="2000" w:type="dxa"/>
          </w:tcPr>
          <w:p>
            <w:r>
              <w:t xml:space="preserve">Length</w:t>
            </w:r>
          </w:p>
        </w:tc>
        <w:tc>
          <w:tcPr>
            <w:tcW w:w="2000" w:type="dxa"/>
          </w:tcPr>
          <w:p>
            <w:r>
              <w:t xml:space="preserve">Resolution</w:t>
            </w:r>
          </w:p>
        </w:tc>
        <w:tc>
          <w:tcPr>
            <w:tcW w:w="2000" w:type="dxa"/>
          </w:tcPr>
          <w:p>
            <w:r>
              <w:t xml:space="preserve">Description</w:t>
            </w:r>
          </w:p>
        </w:tc>
      </w:tr>
      <w:tr>
        <w:tc>
          <w:tcPr>
            <w:tcW w:w="2000" w:type="dxa"/>
          </w:tcPr>
          <w:p>
            <w:r>
              <w:t xml:space="preserve">MessageID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Message identifier</w:t>
            </w:r>
          </w:p>
        </w:tc>
      </w:tr>
      <w:tr>
        <w:tc>
          <w:tcPr>
            <w:tcW w:w="2000" w:type="dxa"/>
          </w:tcPr>
          <w:p>
            <w:r>
              <w:t xml:space="preserve">DataLength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  <w:tc>
          <w:tcPr>
            <w:tcW w:w="2000" w:type="dxa"/>
          </w:tcPr>
          <w:p>
            <w:r>
              <w:t xml:space="preserve">Uint16</w:t>
            </w:r>
          </w:p>
        </w:tc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Payload data length in bytes</w:t>
            </w:r>
          </w:p>
        </w:tc>
      </w:tr>
      <w:tr>
        <w:tc>
          <w:tcPr>
            <w:tcW w:w="2000" w:type="dxa"/>
          </w:tcPr>
          <w:p>
            <w:r>
              <w:t xml:space="preserve">PayloadA</w:t>
            </w:r>
          </w:p>
        </w:tc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000" w:type="dxa"/>
          </w:tcPr>
          <w:p>
            <w:r>
              <w:t xml:space="preserve">Uint32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first data word</w:t>
            </w:r>
          </w:p>
        </w:tc>
      </w:tr>
      <w:tr>
        <w:tc>
          <w:tcPr>
            <w:tcW w:w="2000" w:type="dxa"/>
          </w:tcPr>
          <w:p>
            <w:r>
              <w:t xml:space="preserve">PayloadB</w:t>
            </w:r>
          </w:p>
        </w:tc>
        <w:tc>
          <w:tcPr>
            <w:tcW w:w="2000" w:type="dxa"/>
          </w:tcPr>
          <w:p>
            <w:r>
              <w:t xml:space="preserve">9</w:t>
            </w:r>
          </w:p>
        </w:tc>
        <w:tc>
          <w:tcPr>
            <w:tcW w:w="2000" w:type="dxa"/>
          </w:tcPr>
          <w:p>
            <w:r>
              <w:t xml:space="preserve">Uint32</w:t>
            </w:r>
          </w:p>
        </w:tc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000" w:type="dxa"/>
          </w:tcPr>
          <w:p>
            <w:r>
              <w:t xml:space="preserve">second data word</w:t>
            </w:r>
          </w:p>
        </w:tc>
      </w:tr>
    </w:tbl>
    <w:p>
      <w:r>
        <w:t xml:space="preserve"/>
      </w:r>
    </w:p>
    <w:sectPr>
      <w:pgSz w:w="12240" w:h="15840"/>
    </w:sectPr>
  </w:body>
</w:document>
</file>