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36"/>
        </w:rPr>
        <w:t>New Hire Onboarding Review Checklist</w:t>
      </w:r>
    </w:p>
    <w:p>
      <w:r>
        <w:rPr>
          <w:rFonts w:ascii="Aptos" w:hAnsi="Aptos"/>
          <w:b w:val="0"/>
          <w:sz w:val="20"/>
        </w:rPr>
        <w:t>Automation-prepared review. A human reviewer must decide whether to complete or flag the HR case.</w:t>
      </w:r>
    </w:p>
    <w:p>
      <w:pPr>
        <w:pStyle w:val="Heading1"/>
      </w:pPr>
      <w:r>
        <w:rPr>
          <w:rFonts w:ascii="Aptos" w:hAnsi="Aptos"/>
          <w:b/>
          <w:color w:val="000000"/>
          <w:sz w:val="28"/>
        </w:rPr>
        <w:t>Case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Case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ONB-1003</w:t>
            </w:r>
          </w:p>
        </w:tc>
      </w:tr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Employee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Kenji Mori (E2302)</w:t>
            </w:r>
          </w:p>
        </w:tc>
      </w:tr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Department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Systems</w:t>
            </w:r>
          </w:p>
        </w:tc>
      </w:tr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Start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2026-07-11</w:t>
            </w:r>
          </w:p>
        </w:tc>
      </w:tr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Hire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experienced hire</w:t>
            </w:r>
          </w:p>
        </w:tc>
      </w:tr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Automation 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HUMAN REVIEW REQUIRED</w:t>
            </w:r>
          </w:p>
        </w:tc>
      </w:tr>
    </w:tbl>
    <w:p>
      <w:pPr>
        <w:pStyle w:val="Heading1"/>
      </w:pPr>
      <w:r>
        <w:rPr>
          <w:rFonts w:ascii="Aptos" w:hAnsi="Aptos"/>
          <w:b/>
          <w:color w:val="000000"/>
          <w:sz w:val="28"/>
        </w:rPr>
        <w:t>Required item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55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55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Automation result</w:t>
            </w:r>
          </w:p>
        </w:tc>
        <w:tc>
          <w:tcPr>
            <w:tcW w:type="dxa" w:w="255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Evidence and next action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My Number submission and verification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  <w:tc>
          <w:tcPr>
            <w:tcW w:type="dxa" w:w="2556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evidence is recorded as verified.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Health insurance and pension enrollment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  <w:tc>
          <w:tcPr>
            <w:tcW w:type="dxa" w:w="2556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evidence is recorded as verified.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Payroll bank account notification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  <w:tc>
          <w:tcPr>
            <w:tcW w:type="dxa" w:w="2556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evidence is recorded as verified.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Commuting allowance application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  <w:tc>
          <w:tcPr>
            <w:tcW w:type="dxa" w:w="2556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evidence is recorded as verified.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Employment insurance certificate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  <w:tc>
          <w:tcPr>
            <w:tcW w:type="dxa" w:w="2556"/>
            <w:shd w:fill="FFF2CC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REQUIRES 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Portal status conflicts with attached evidence; verify manually.</w:t>
            </w:r>
          </w:p>
        </w:tc>
      </w:tr>
    </w:tbl>
    <w:p>
      <w:pPr>
        <w:pStyle w:val="Heading1"/>
      </w:pPr>
      <w:r>
        <w:rPr>
          <w:rFonts w:ascii="Aptos" w:hAnsi="Aptos"/>
          <w:b/>
          <w:color w:val="000000"/>
          <w:sz w:val="28"/>
        </w:rPr>
        <w:t>Suggested verification note</w:t>
      </w:r>
    </w:p>
    <w:p>
      <w:r>
        <w:rPr>
          <w:rFonts w:ascii="Aptos" w:hAnsi="Aptos"/>
          <w:b w:val="0"/>
          <w:sz w:val="20"/>
        </w:rPr>
        <w:t>Onboarding case ONB-1003: A source-data conflict requires reviewer judgment before completion. Review the exceptions above, then either resolve the case or flag it for follow-up.</w:t>
      </w:r>
    </w:p>
    <w:p>
      <w:pPr>
        <w:pStyle w:val="Heading1"/>
      </w:pPr>
      <w:r>
        <w:rPr>
          <w:rFonts w:ascii="Aptos" w:hAnsi="Aptos"/>
          <w:b/>
          <w:color w:val="000000"/>
          <w:sz w:val="28"/>
        </w:rPr>
        <w:t>Reviewer action</w:t>
      </w:r>
    </w:p>
    <w:p>
      <w:r>
        <w:rPr>
          <w:rFonts w:ascii="Aptos" w:hAnsi="Aptos"/>
          <w:b/>
          <w:sz w:val="20"/>
        </w:rPr>
        <w:t>Reviewer decision:  [ ] Complete case    [ ] Flag for follow-up    [ ] Hold pending evidence</w:t>
      </w:r>
    </w:p>
    <w:p>
      <w:r>
        <w:rPr>
          <w:rFonts w:ascii="Aptos" w:hAnsi="Aptos"/>
          <w:b w:val="0"/>
          <w:sz w:val="20"/>
        </w:rPr>
        <w:t>Reviewed by: ____________________    Date: 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