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2E5A88"/>
          <w:sz w:val="34"/>
          <w:szCs w:val="34"/>
        </w:rPr>
        <w:t xml:space="preserve">Individual Coursework of Big Data Programming Project</w:t>
      </w:r>
    </w:p>
    <w:p>
      <w:pPr>
        <w:spacing w:after="600"/>
        <w:jc w:val="center"/>
      </w:pPr>
      <w:r>
        <w:rPr>
          <w:b/>
          <w:bCs/>
          <w:sz w:val="28"/>
          <w:szCs w:val="28"/>
        </w:rPr>
        <w:t xml:space="preserve">Predictive Delay &amp; Route Risk Scoring for a City Transport Authority</w:t>
      </w:r>
    </w:p>
    <w:p>
      <w:pPr>
        <w:spacing w:after="120"/>
        <w:jc w:val="center"/>
      </w:pPr>
      <w:r>
        <w:rPr>
          <w:b/>
          <w:bCs/>
          <w:sz w:val="24"/>
          <w:szCs w:val="24"/>
        </w:rPr>
        <w:t xml:space="preserve">Module Code:</w:t>
      </w:r>
    </w:p>
    <w:p>
      <w:pPr>
        <w:spacing w:after="300"/>
        <w:jc w:val="center"/>
      </w:pPr>
      <w:r>
        <w:rPr>
          <w:sz w:val="24"/>
          <w:szCs w:val="24"/>
        </w:rPr>
        <w:t xml:space="preserve">ST5011CEM</w:t>
      </w:r>
    </w:p>
    <w:p>
      <w:pPr>
        <w:spacing w:after="120"/>
        <w:jc w:val="center"/>
      </w:pPr>
      <w:r>
        <w:rPr>
          <w:b/>
          <w:bCs/>
          <w:sz w:val="24"/>
          <w:szCs w:val="24"/>
        </w:rPr>
        <w:t xml:space="preserve">Module Name:</w:t>
      </w:r>
    </w:p>
    <w:p>
      <w:pPr>
        <w:spacing w:after="300"/>
        <w:jc w:val="center"/>
      </w:pPr>
      <w:r>
        <w:rPr>
          <w:sz w:val="24"/>
          <w:szCs w:val="24"/>
        </w:rPr>
        <w:t xml:space="preserve">Big Data Programming Project</w:t>
      </w:r>
    </w:p>
    <w:p>
      <w:pPr>
        <w:spacing w:after="120"/>
        <w:jc w:val="center"/>
      </w:pPr>
      <w:r>
        <w:rPr>
          <w:b/>
          <w:bCs/>
          <w:sz w:val="24"/>
          <w:szCs w:val="24"/>
        </w:rPr>
        <w:t xml:space="preserve">Submitted by:</w:t>
      </w:r>
    </w:p>
    <w:p>
      <w:pPr>
        <w:spacing w:after="120"/>
        <w:jc w:val="center"/>
      </w:pPr>
      <w:r>
        <w:rPr>
          <w:sz w:val="24"/>
          <w:szCs w:val="24"/>
        </w:rPr>
        <w:t xml:space="preserve">[Your Student ID]   [Your Name]</w:t>
      </w:r>
    </w:p>
    <w:p>
      <w:pPr>
        <w:spacing w:after="300"/>
        <w:jc w:val="center"/>
      </w:pPr>
      <w:r>
        <w:rPr>
          <w:sz w:val="24"/>
          <w:szCs w:val="24"/>
        </w:rPr>
        <w:t xml:space="preserve">Supervisor: [Supervisor Name]</w:t>
      </w:r>
    </w:p>
    <w:p>
      <w:pPr>
        <w:jc w:val="center"/>
      </w:pPr>
      <w:r>
        <w:rPr>
          <w:sz w:val="24"/>
          <w:szCs w:val="24"/>
        </w:rPr>
        <w:t xml:space="preserve">Date of Submission: [Date]</w:t>
      </w:r>
    </w:p>
    <w:p>
      <w:r>
        <w:br w:type="page"/>
      </w:r>
    </w:p>
    <w:p>
      <w:pPr>
        <w:pStyle w:val="Heading1"/>
        <w:spacing w:after="160" w:before="300"/>
      </w:pPr>
      <w:r>
        <w:rPr>
          <w:b/>
          <w:bCs/>
          <w:color w:val="2E5A88"/>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00"/>
      </w:pPr>
      <w:r>
        <w:rPr>
          <w:b/>
          <w:bCs/>
          <w:color w:val="2E5A88"/>
          <w:sz w:val="32"/>
          <w:szCs w:val="32"/>
        </w:rPr>
        <w:t xml:space="preserve">Table of Figures</w:t>
      </w:r>
    </w:p>
    <w:p>
      <w:pPr>
        <w:spacing w:after="40"/>
      </w:pPr>
      <w:r>
        <w:rPr>
          <w:sz w:val="20"/>
          <w:szCs w:val="20"/>
        </w:rPr>
        <w:t xml:space="preserve">Figure 1: Spark environment (version and cores)</w:t>
      </w:r>
    </w:p>
    <w:p>
      <w:pPr>
        <w:spacing w:after="40"/>
      </w:pPr>
      <w:r>
        <w:rPr>
          <w:sz w:val="20"/>
          <w:szCs w:val="20"/>
        </w:rPr>
        <w:t xml:space="preserve">Figure 2: Parser console output (files, rows, errors, time)</w:t>
      </w:r>
    </w:p>
    <w:p>
      <w:pPr>
        <w:spacing w:after="40"/>
      </w:pPr>
      <w:r>
        <w:rPr>
          <w:sz w:val="20"/>
          <w:szCs w:val="20"/>
        </w:rPr>
        <w:t xml:space="preserve">Figure 3: Chart — data ingestion summary</w:t>
      </w:r>
    </w:p>
    <w:p>
      <w:pPr>
        <w:spacing w:after="40"/>
      </w:pPr>
      <w:r>
        <w:rPr>
          <w:sz w:val="20"/>
          <w:szCs w:val="20"/>
        </w:rPr>
        <w:t xml:space="preserve">Figure 4: Chart — trips per depot code</w:t>
      </w:r>
    </w:p>
    <w:p>
      <w:pPr>
        <w:spacing w:after="40"/>
      </w:pPr>
      <w:r>
        <w:rPr>
          <w:sz w:val="20"/>
          <w:szCs w:val="20"/>
        </w:rPr>
        <w:t xml:space="preserve">Figure 5: DataFrame row count + partition count</w:t>
      </w:r>
    </w:p>
    <w:p>
      <w:pPr>
        <w:spacing w:after="40"/>
      </w:pPr>
      <w:r>
        <w:rPr>
          <w:sz w:val="20"/>
          <w:szCs w:val="20"/>
        </w:rPr>
        <w:t xml:space="preserve">Figure 6: DataFrame schema (printSchema)</w:t>
      </w:r>
    </w:p>
    <w:p>
      <w:pPr>
        <w:spacing w:after="40"/>
      </w:pPr>
      <w:r>
        <w:rPr>
          <w:sz w:val="20"/>
          <w:szCs w:val="20"/>
        </w:rPr>
        <w:t xml:space="preserve">Figure 7: Chart — rows per Spark partition</w:t>
      </w:r>
    </w:p>
    <w:p>
      <w:pPr>
        <w:spacing w:after="40"/>
      </w:pPr>
      <w:r>
        <w:rPr>
          <w:sz w:val="20"/>
          <w:szCs w:val="20"/>
        </w:rPr>
        <w:t xml:space="preserve">Figure 8: Spark UI — Jobs tab (partition/stage evidence)</w:t>
      </w:r>
    </w:p>
    <w:p>
      <w:pPr>
        <w:spacing w:after="40"/>
      </w:pPr>
      <w:r>
        <w:rPr>
          <w:sz w:val="20"/>
          <w:szCs w:val="20"/>
        </w:rPr>
        <w:t xml:space="preserve">Figure 9: Calendar-expansion counts (100k+ evidence)</w:t>
      </w:r>
    </w:p>
    <w:p>
      <w:pPr>
        <w:spacing w:after="40"/>
      </w:pPr>
      <w:r>
        <w:rPr>
          <w:sz w:val="20"/>
          <w:szCs w:val="20"/>
        </w:rPr>
        <w:t xml:space="preserve">Figure 10: Chart — dataset growth vs 100k threshold</w:t>
      </w:r>
    </w:p>
    <w:p>
      <w:pPr>
        <w:spacing w:after="40"/>
      </w:pPr>
      <w:r>
        <w:rPr>
          <w:sz w:val="20"/>
          <w:szCs w:val="20"/>
        </w:rPr>
        <w:t xml:space="preserve">Figure 11: Spark UI — Storage tab (caching evidence)</w:t>
      </w:r>
    </w:p>
    <w:p>
      <w:pPr>
        <w:spacing w:after="40"/>
      </w:pPr>
      <w:r>
        <w:rPr>
          <w:sz w:val="20"/>
          <w:szCs w:val="20"/>
        </w:rPr>
        <w:t xml:space="preserve">Figure 12: Real SIRI-VM sample rows + columns</w:t>
      </w:r>
    </w:p>
    <w:p>
      <w:pPr>
        <w:spacing w:after="40"/>
      </w:pPr>
      <w:r>
        <w:rPr>
          <w:sz w:val="20"/>
          <w:szCs w:val="20"/>
        </w:rPr>
        <w:t xml:space="preserve">Figure 13: Chart — real AVL sample GPS positions</w:t>
      </w:r>
    </w:p>
    <w:p>
      <w:pPr>
        <w:spacing w:after="40"/>
      </w:pPr>
      <w:r>
        <w:rPr>
          <w:sz w:val="20"/>
          <w:szCs w:val="20"/>
        </w:rPr>
        <w:t xml:space="preserve">Figure 14: Augmented data sample rows</w:t>
      </w:r>
    </w:p>
    <w:p>
      <w:pPr>
        <w:spacing w:after="40"/>
      </w:pPr>
      <w:r>
        <w:rPr>
          <w:sz w:val="20"/>
          <w:szCs w:val="20"/>
        </w:rPr>
        <w:t xml:space="preserve">Figure 15: Cleaning console output (before/after counts)</w:t>
      </w:r>
    </w:p>
    <w:p>
      <w:pPr>
        <w:spacing w:after="40"/>
      </w:pPr>
      <w:r>
        <w:rPr>
          <w:sz w:val="20"/>
          <w:szCs w:val="20"/>
        </w:rPr>
        <w:t xml:space="preserve">Figure 16: Chart — null counts before cleaning</w:t>
      </w:r>
    </w:p>
    <w:p>
      <w:pPr>
        <w:spacing w:after="40"/>
      </w:pPr>
      <w:r>
        <w:rPr>
          <w:sz w:val="20"/>
          <w:szCs w:val="20"/>
        </w:rPr>
        <w:t xml:space="preserve">Figure 17: Chart — cleaning impact on row counts</w:t>
      </w:r>
    </w:p>
    <w:p>
      <w:pPr>
        <w:spacing w:after="40"/>
      </w:pPr>
      <w:r>
        <w:rPr>
          <w:sz w:val="20"/>
          <w:szCs w:val="20"/>
        </w:rPr>
        <w:t xml:space="preserve">Figure 18: Parquet checkpoint confirmation (data persistence)</w:t>
      </w:r>
    </w:p>
    <w:p>
      <w:pPr>
        <w:spacing w:after="40"/>
      </w:pPr>
      <w:r>
        <w:rPr>
          <w:sz w:val="20"/>
          <w:szCs w:val="20"/>
        </w:rPr>
        <w:t xml:space="preserve">Figure 19: Statistical measures console output</w:t>
      </w:r>
    </w:p>
    <w:p>
      <w:pPr>
        <w:spacing w:after="40"/>
      </w:pPr>
      <w:r>
        <w:rPr>
          <w:sz w:val="20"/>
          <w:szCs w:val="20"/>
        </w:rPr>
        <w:t xml:space="preserve">Figure 20: Chart — delay distribution with statistics</w:t>
      </w:r>
    </w:p>
    <w:p>
      <w:pPr>
        <w:spacing w:after="40"/>
      </w:pPr>
      <w:r>
        <w:rPr>
          <w:sz w:val="20"/>
          <w:szCs w:val="20"/>
        </w:rPr>
        <w:t xml:space="preserve">Figure 21: Chart — delay box plot with IQR outlier bounds</w:t>
      </w:r>
    </w:p>
    <w:p>
      <w:pPr>
        <w:spacing w:after="40"/>
      </w:pPr>
      <w:r>
        <w:rPr>
          <w:sz w:val="20"/>
          <w:szCs w:val="20"/>
        </w:rPr>
        <w:t xml:space="preserve">Figure 22: Chart — journey duration distribution</w:t>
      </w:r>
    </w:p>
    <w:p>
      <w:pPr>
        <w:spacing w:after="40"/>
      </w:pPr>
      <w:r>
        <w:rPr>
          <w:sz w:val="20"/>
          <w:szCs w:val="20"/>
        </w:rPr>
        <w:t xml:space="preserve">Figure 23: Chart — delay vs duration correlation</w:t>
      </w:r>
    </w:p>
    <w:p>
      <w:pPr>
        <w:spacing w:after="40"/>
      </w:pPr>
      <w:r>
        <w:rPr>
          <w:sz w:val="20"/>
          <w:szCs w:val="20"/>
        </w:rPr>
        <w:t xml:space="preserve">Figure 24: Chart — correlation heatmap</w:t>
      </w:r>
    </w:p>
    <w:p>
      <w:pPr>
        <w:spacing w:after="40"/>
      </w:pPr>
      <w:r>
        <w:rPr>
          <w:sz w:val="20"/>
          <w:szCs w:val="20"/>
        </w:rPr>
        <w:t xml:space="preserve">Figure 25: Chart — average delay by hour (rush shading)</w:t>
      </w:r>
    </w:p>
    <w:p>
      <w:pPr>
        <w:spacing w:after="40"/>
      </w:pPr>
      <w:r>
        <w:rPr>
          <w:sz w:val="20"/>
          <w:szCs w:val="20"/>
        </w:rPr>
        <w:t xml:space="preserve">Figure 26: Chart — rush vs non-rush delay</w:t>
      </w:r>
    </w:p>
    <w:p>
      <w:pPr>
        <w:spacing w:after="40"/>
      </w:pPr>
      <w:r>
        <w:rPr>
          <w:sz w:val="20"/>
          <w:szCs w:val="20"/>
        </w:rPr>
        <w:t xml:space="preserve">Figure 27: Chart — delay by day of week</w:t>
      </w:r>
    </w:p>
    <w:p>
      <w:pPr>
        <w:spacing w:after="40"/>
      </w:pPr>
      <w:r>
        <w:rPr>
          <w:sz w:val="20"/>
          <w:szCs w:val="20"/>
        </w:rPr>
        <w:t xml:space="preserve">Figure 28: Chart — delay by time period</w:t>
      </w:r>
    </w:p>
    <w:p>
      <w:pPr>
        <w:spacing w:after="40"/>
      </w:pPr>
      <w:r>
        <w:rPr>
          <w:sz w:val="20"/>
          <w:szCs w:val="20"/>
        </w:rPr>
        <w:t xml:space="preserve">Figure 29: Chart — top 10 most frequent lines</w:t>
      </w:r>
    </w:p>
    <w:p>
      <w:pPr>
        <w:spacing w:after="40"/>
      </w:pPr>
      <w:r>
        <w:rPr>
          <w:sz w:val="20"/>
          <w:szCs w:val="20"/>
        </w:rPr>
        <w:t xml:space="preserve">Figure 30: Chart — top 10 worst routes by delay</w:t>
      </w:r>
    </w:p>
    <w:p>
      <w:pPr>
        <w:spacing w:after="40"/>
      </w:pPr>
      <w:r>
        <w:rPr>
          <w:sz w:val="20"/>
          <w:szCs w:val="20"/>
        </w:rPr>
        <w:t xml:space="preserve">Figure 31: Chart — delay by direction</w:t>
      </w:r>
    </w:p>
    <w:p>
      <w:pPr>
        <w:spacing w:after="40"/>
      </w:pPr>
      <w:r>
        <w:rPr>
          <w:sz w:val="20"/>
          <w:szCs w:val="20"/>
        </w:rPr>
        <w:t xml:space="preserve">Figure 32: Chart — monthly delay trend</w:t>
      </w:r>
    </w:p>
    <w:p>
      <w:pPr>
        <w:spacing w:after="40"/>
      </w:pPr>
      <w:r>
        <w:rPr>
          <w:sz w:val="20"/>
          <w:szCs w:val="20"/>
        </w:rPr>
        <w:t xml:space="preserve">Figure 33: Chart — cardinality profile</w:t>
      </w:r>
    </w:p>
    <w:p>
      <w:pPr>
        <w:spacing w:after="40"/>
      </w:pPr>
      <w:r>
        <w:rPr>
          <w:sz w:val="20"/>
          <w:szCs w:val="20"/>
        </w:rPr>
        <w:t xml:space="preserve">Figure 34: Chart — synthetic positions in Merseyside box</w:t>
      </w:r>
    </w:p>
    <w:p>
      <w:pPr>
        <w:spacing w:after="40"/>
      </w:pPr>
      <w:r>
        <w:rPr>
          <w:sz w:val="20"/>
          <w:szCs w:val="20"/>
        </w:rPr>
        <w:t xml:space="preserve">Figure 35: PySpark SQL query output</w:t>
      </w:r>
    </w:p>
    <w:p>
      <w:pPr>
        <w:spacing w:after="40"/>
      </w:pPr>
      <w:r>
        <w:rPr>
          <w:sz w:val="20"/>
          <w:szCs w:val="20"/>
        </w:rPr>
        <w:t xml:space="preserve">Figure 36: Chart — SQL result visualised</w:t>
      </w:r>
    </w:p>
    <w:p>
      <w:pPr>
        <w:spacing w:after="40"/>
      </w:pPr>
      <w:r>
        <w:rPr>
          <w:sz w:val="20"/>
          <w:szCs w:val="20"/>
        </w:rPr>
        <w:t xml:space="preserve">Figure 37: Lazy evaluation + DAG explain plan</w:t>
      </w:r>
    </w:p>
    <w:p>
      <w:pPr>
        <w:spacing w:after="40"/>
      </w:pPr>
      <w:r>
        <w:rPr>
          <w:sz w:val="20"/>
          <w:szCs w:val="20"/>
        </w:rPr>
        <w:t xml:space="preserve">Figure 38: Pipeline stages + assembled feature vector</w:t>
      </w:r>
    </w:p>
    <w:p>
      <w:pPr>
        <w:spacing w:after="40"/>
      </w:pPr>
      <w:r>
        <w:rPr>
          <w:sz w:val="20"/>
          <w:szCs w:val="20"/>
        </w:rPr>
        <w:t xml:space="preserve">Figure 39: Chart — model feature set overview</w:t>
      </w:r>
    </w:p>
    <w:p>
      <w:pPr>
        <w:spacing w:after="40"/>
      </w:pPr>
      <w:r>
        <w:rPr>
          <w:sz w:val="20"/>
          <w:szCs w:val="20"/>
        </w:rPr>
        <w:t xml:space="preserve">Figure 40: Training set row count</w:t>
      </w:r>
    </w:p>
    <w:p>
      <w:pPr>
        <w:spacing w:after="40"/>
      </w:pPr>
      <w:r>
        <w:rPr>
          <w:sz w:val="20"/>
          <w:szCs w:val="20"/>
        </w:rPr>
        <w:t xml:space="preserve">Figure 41: Test set row count</w:t>
      </w:r>
    </w:p>
    <w:p>
      <w:pPr>
        <w:spacing w:after="40"/>
      </w:pPr>
      <w:r>
        <w:rPr>
          <w:sz w:val="20"/>
          <w:szCs w:val="20"/>
        </w:rPr>
        <w:t xml:space="preserve">Figure 42: Chart — train/test split bar</w:t>
      </w:r>
    </w:p>
    <w:p>
      <w:pPr>
        <w:spacing w:after="40"/>
      </w:pPr>
      <w:r>
        <w:rPr>
          <w:sz w:val="20"/>
          <w:szCs w:val="20"/>
        </w:rPr>
        <w:t xml:space="preserve">Figure 43: Chart — split timeline by month</w:t>
      </w:r>
    </w:p>
    <w:p>
      <w:pPr>
        <w:spacing w:after="40"/>
      </w:pPr>
      <w:r>
        <w:rPr>
          <w:sz w:val="20"/>
          <w:szCs w:val="20"/>
        </w:rPr>
        <w:t xml:space="preserve">Figure 44: Three-model training console output</w:t>
      </w:r>
    </w:p>
    <w:p>
      <w:pPr>
        <w:spacing w:after="40"/>
      </w:pPr>
      <w:r>
        <w:rPr>
          <w:sz w:val="20"/>
          <w:szCs w:val="20"/>
        </w:rPr>
        <w:t xml:space="preserve">Figure 45: Chart — R² comparison</w:t>
      </w:r>
    </w:p>
    <w:p>
      <w:pPr>
        <w:spacing w:after="40"/>
      </w:pPr>
      <w:r>
        <w:rPr>
          <w:sz w:val="20"/>
          <w:szCs w:val="20"/>
        </w:rPr>
        <w:t xml:space="preserve">Figure 46: Chart — MAE comparison</w:t>
      </w:r>
    </w:p>
    <w:p>
      <w:pPr>
        <w:spacing w:after="40"/>
      </w:pPr>
      <w:r>
        <w:rPr>
          <w:sz w:val="20"/>
          <w:szCs w:val="20"/>
        </w:rPr>
        <w:t xml:space="preserve">Figure 47: Chart — RMSE comparison</w:t>
      </w:r>
    </w:p>
    <w:p>
      <w:pPr>
        <w:spacing w:after="40"/>
      </w:pPr>
      <w:r>
        <w:rPr>
          <w:sz w:val="20"/>
          <w:szCs w:val="20"/>
        </w:rPr>
        <w:t xml:space="preserve">Figure 48: Chart — training time comparison</w:t>
      </w:r>
    </w:p>
    <w:p>
      <w:pPr>
        <w:spacing w:after="40"/>
      </w:pPr>
      <w:r>
        <w:rPr>
          <w:sz w:val="20"/>
          <w:szCs w:val="20"/>
        </w:rPr>
        <w:t xml:space="preserve">Figure 49: Chart — model efficiency (R²/sec)</w:t>
      </w:r>
    </w:p>
    <w:p>
      <w:pPr>
        <w:spacing w:after="40"/>
      </w:pPr>
      <w:r>
        <w:rPr>
          <w:sz w:val="20"/>
          <w:szCs w:val="20"/>
        </w:rPr>
        <w:t xml:space="preserve">Figure 50: Chart — actual vs predicted</w:t>
      </w:r>
    </w:p>
    <w:p>
      <w:pPr>
        <w:spacing w:after="40"/>
      </w:pPr>
      <w:r>
        <w:rPr>
          <w:sz w:val="20"/>
          <w:szCs w:val="20"/>
        </w:rPr>
        <w:t xml:space="preserve">Figure 51: Chart — residual plot</w:t>
      </w:r>
    </w:p>
    <w:p>
      <w:pPr>
        <w:spacing w:after="40"/>
      </w:pPr>
      <w:r>
        <w:rPr>
          <w:sz w:val="20"/>
          <w:szCs w:val="20"/>
        </w:rPr>
        <w:t xml:space="preserve">Figure 52: Chart — error distribution</w:t>
      </w:r>
    </w:p>
    <w:p>
      <w:pPr>
        <w:spacing w:after="40"/>
      </w:pPr>
      <w:r>
        <w:rPr>
          <w:sz w:val="20"/>
          <w:szCs w:val="20"/>
        </w:rPr>
        <w:t xml:space="preserve">Figure 53: Chart — error box plot per model</w:t>
      </w:r>
    </w:p>
    <w:p>
      <w:pPr>
        <w:spacing w:after="40"/>
      </w:pPr>
      <w:r>
        <w:rPr>
          <w:sz w:val="20"/>
          <w:szCs w:val="20"/>
        </w:rPr>
        <w:t xml:space="preserve">Figure 54: Chart — Q-Q plot of residuals</w:t>
      </w:r>
    </w:p>
    <w:p>
      <w:pPr>
        <w:spacing w:after="40"/>
      </w:pPr>
      <w:r>
        <w:rPr>
          <w:sz w:val="20"/>
          <w:szCs w:val="20"/>
        </w:rPr>
        <w:t xml:space="preserve">Figure 55: Chart — feature importance</w:t>
      </w:r>
    </w:p>
    <w:p>
      <w:pPr>
        <w:spacing w:after="40"/>
      </w:pPr>
      <w:r>
        <w:rPr>
          <w:sz w:val="20"/>
          <w:szCs w:val="20"/>
        </w:rPr>
        <w:t xml:space="preserve">Figure 56: CrossValidator console output</w:t>
      </w:r>
    </w:p>
    <w:p>
      <w:pPr>
        <w:spacing w:after="40"/>
      </w:pPr>
      <w:r>
        <w:rPr>
          <w:sz w:val="20"/>
          <w:szCs w:val="20"/>
        </w:rPr>
        <w:t xml:space="preserve">Figure 57: Chart — CrossValidator grid results</w:t>
      </w:r>
    </w:p>
    <w:p>
      <w:pPr>
        <w:spacing w:after="40"/>
      </w:pPr>
      <w:r>
        <w:rPr>
          <w:sz w:val="20"/>
          <w:szCs w:val="20"/>
        </w:rPr>
        <w:t xml:space="preserve">Figure 58: Class labels created (compliance)</w:t>
      </w:r>
    </w:p>
    <w:p>
      <w:pPr>
        <w:spacing w:after="40"/>
      </w:pPr>
      <w:r>
        <w:rPr>
          <w:sz w:val="20"/>
          <w:szCs w:val="20"/>
        </w:rPr>
        <w:t xml:space="preserve">Figure 59: Chart — class balance</w:t>
      </w:r>
    </w:p>
    <w:p>
      <w:pPr>
        <w:spacing w:after="40"/>
      </w:pPr>
      <w:r>
        <w:rPr>
          <w:sz w:val="20"/>
          <w:szCs w:val="20"/>
        </w:rPr>
        <w:t xml:space="preserve">Figure 60: Classification metrics console output</w:t>
      </w:r>
    </w:p>
    <w:p>
      <w:pPr>
        <w:spacing w:after="40"/>
      </w:pPr>
      <w:r>
        <w:rPr>
          <w:sz w:val="20"/>
          <w:szCs w:val="20"/>
        </w:rPr>
        <w:t xml:space="preserve">Figure 61: Chart — classification metrics bar</w:t>
      </w:r>
    </w:p>
    <w:p>
      <w:pPr>
        <w:spacing w:after="40"/>
      </w:pPr>
      <w:r>
        <w:rPr>
          <w:sz w:val="20"/>
          <w:szCs w:val="20"/>
        </w:rPr>
        <w:t xml:space="preserve">Figure 62: Chart — confusion matrix</w:t>
      </w:r>
    </w:p>
    <w:p>
      <w:pPr>
        <w:spacing w:after="40"/>
      </w:pPr>
      <w:r>
        <w:rPr>
          <w:sz w:val="20"/>
          <w:szCs w:val="20"/>
        </w:rPr>
        <w:t xml:space="preserve">Figure 63: Chart — ROC curve</w:t>
      </w:r>
    </w:p>
    <w:p>
      <w:pPr>
        <w:spacing w:after="40"/>
      </w:pPr>
      <w:r>
        <w:rPr>
          <w:sz w:val="20"/>
          <w:szCs w:val="20"/>
        </w:rPr>
        <w:t xml:space="preserve">Figure 64: Scalability measurement console output</w:t>
      </w:r>
    </w:p>
    <w:p>
      <w:pPr>
        <w:spacing w:after="40"/>
      </w:pPr>
      <w:r>
        <w:rPr>
          <w:sz w:val="20"/>
          <w:szCs w:val="20"/>
        </w:rPr>
        <w:t xml:space="preserve">Figure 65: Chart — measured scalability curve</w:t>
      </w:r>
    </w:p>
    <w:p>
      <w:pPr>
        <w:spacing w:after="40"/>
      </w:pPr>
      <w:r>
        <w:rPr>
          <w:sz w:val="20"/>
          <w:szCs w:val="20"/>
        </w:rPr>
        <w:t xml:space="preserve">Figure 66: Chart — Big-O complexity terms</w:t>
      </w:r>
    </w:p>
    <w:p>
      <w:pPr>
        <w:spacing w:after="40"/>
      </w:pPr>
      <w:r>
        <w:rPr>
          <w:sz w:val="20"/>
          <w:szCs w:val="20"/>
        </w:rPr>
        <w:t xml:space="preserve">Figure 67: Chart — relative training cost</w:t>
      </w:r>
    </w:p>
    <w:p>
      <w:pPr>
        <w:spacing w:after="40"/>
      </w:pPr>
      <w:r>
        <w:rPr>
          <w:sz w:val="20"/>
          <w:szCs w:val="20"/>
        </w:rPr>
        <w:t xml:space="preserve">Figure 68: Chart — inference latency per model</w:t>
      </w:r>
    </w:p>
    <w:p>
      <w:pPr>
        <w:spacing w:after="40"/>
      </w:pPr>
      <w:r>
        <w:rPr>
          <w:sz w:val="20"/>
          <w:szCs w:val="20"/>
        </w:rPr>
        <w:t xml:space="preserve">Figure 69: Broadcast join output (route metadata)</w:t>
      </w:r>
    </w:p>
    <w:p>
      <w:pPr>
        <w:spacing w:after="40"/>
      </w:pPr>
      <w:r>
        <w:rPr>
          <w:sz w:val="20"/>
          <w:szCs w:val="20"/>
        </w:rPr>
        <w:t xml:space="preserve">Figure 70: Route Risk Score top-10 console output</w:t>
      </w:r>
    </w:p>
    <w:p>
      <w:pPr>
        <w:spacing w:after="40"/>
      </w:pPr>
      <w:r>
        <w:rPr>
          <w:sz w:val="20"/>
          <w:szCs w:val="20"/>
        </w:rPr>
        <w:t xml:space="preserve">Figure 71: Chart — route risk top 10</w:t>
      </w:r>
    </w:p>
    <w:p>
      <w:pPr>
        <w:spacing w:after="40"/>
      </w:pPr>
      <w:r>
        <w:rPr>
          <w:sz w:val="20"/>
          <w:szCs w:val="20"/>
        </w:rPr>
        <w:t xml:space="preserve">Figure 72: Chart — risk score component breakdown</w:t>
      </w:r>
    </w:p>
    <w:p>
      <w:pPr>
        <w:spacing w:after="40"/>
      </w:pPr>
      <w:r>
        <w:rPr>
          <w:sz w:val="20"/>
          <w:szCs w:val="20"/>
        </w:rPr>
        <w:t xml:space="preserve">Figure 73: Chart — risk score distribution</w:t>
      </w:r>
    </w:p>
    <w:p>
      <w:pPr>
        <w:spacing w:after="40"/>
      </w:pPr>
      <w:r>
        <w:rPr>
          <w:sz w:val="20"/>
          <w:szCs w:val="20"/>
        </w:rPr>
        <w:t xml:space="preserve">Figure 74: Chart — reliability vs delay coloured by risk</w:t>
      </w:r>
    </w:p>
    <w:p>
      <w:pPr>
        <w:spacing w:after="40"/>
      </w:pPr>
      <w:r>
        <w:rPr>
          <w:sz w:val="20"/>
          <w:szCs w:val="20"/>
        </w:rPr>
        <w:t xml:space="preserve">Figure 75: Chart — reliability vs 85% target</w:t>
      </w:r>
    </w:p>
    <w:p>
      <w:pPr>
        <w:spacing w:after="40"/>
      </w:pPr>
      <w:r>
        <w:rPr>
          <w:sz w:val="20"/>
          <w:szCs w:val="20"/>
        </w:rPr>
        <w:t xml:space="preserve">Figure 76: Parameterised SQL console output (secure storage)</w:t>
      </w:r>
    </w:p>
    <w:p>
      <w:pPr>
        <w:spacing w:after="40"/>
      </w:pPr>
      <w:r>
        <w:rPr>
          <w:sz w:val="20"/>
          <w:szCs w:val="20"/>
        </w:rPr>
        <w:t xml:space="preserve">Figure 77: SQL dump + schema output</w:t>
      </w:r>
    </w:p>
    <w:p>
      <w:pPr>
        <w:spacing w:after="40"/>
      </w:pPr>
      <w:r>
        <w:rPr>
          <w:sz w:val="20"/>
          <w:szCs w:val="20"/>
        </w:rPr>
        <w:t xml:space="preserve">Figure 78: Streamlit dashboard — Overview page</w:t>
      </w:r>
    </w:p>
    <w:p>
      <w:pPr>
        <w:spacing w:after="40"/>
      </w:pPr>
      <w:r>
        <w:rPr>
          <w:sz w:val="20"/>
          <w:szCs w:val="20"/>
        </w:rPr>
        <w:t xml:space="preserve">Figure 79: Streamlit dashboard — Live Delay Predictor</w:t>
      </w:r>
    </w:p>
    <w:p>
      <w:pPr>
        <w:spacing w:after="40"/>
      </w:pPr>
      <w:r>
        <w:rPr>
          <w:sz w:val="20"/>
          <w:szCs w:val="20"/>
        </w:rPr>
        <w:t xml:space="preserve">Figure 80: Streamlit dashboard — Route Risk Explorer</w:t>
      </w:r>
    </w:p>
    <w:p>
      <w:pPr>
        <w:spacing w:after="40"/>
      </w:pPr>
      <w:r>
        <w:rPr>
          <w:sz w:val="20"/>
          <w:szCs w:val="20"/>
        </w:rPr>
        <w:t xml:space="preserve">Figure 81: BODS dataset page (data source)</w:t>
      </w:r>
    </w:p>
    <w:p>
      <w:pPr>
        <w:spacing w:after="40"/>
      </w:pPr>
      <w:r>
        <w:rPr>
          <w:sz w:val="20"/>
          <w:szCs w:val="20"/>
        </w:rPr>
        <w:t xml:space="preserve">Figure 82: Architecture diagram (drawn)</w:t>
      </w:r>
    </w:p>
    <w:p>
      <w:r>
        <w:br w:type="page"/>
      </w:r>
    </w:p>
    <w:p>
      <w:pPr>
        <w:pStyle w:val="Heading1"/>
        <w:spacing w:after="160" w:before="300"/>
      </w:pPr>
      <w:r>
        <w:rPr>
          <w:b/>
          <w:bCs/>
          <w:color w:val="2E5A88"/>
          <w:sz w:val="32"/>
          <w:szCs w:val="32"/>
        </w:rPr>
        <w:t xml:space="preserve">Executive Summary</w:t>
      </w:r>
    </w:p>
    <w:p>
      <w:pPr>
        <w:spacing w:after="140" w:line="300"/>
        <w:jc w:val="both"/>
      </w:pPr>
      <w:r>
        <w:rPr>
          <w:sz w:val="22"/>
          <w:szCs w:val="22"/>
        </w:rPr>
        <w:t xml:space="preserve">This project develops a big-data predictive analytics platform that forecasts bus delays, classifies service-reliability compliance, and derives a composite Route Risk Score for a city transport authority. Real timetable data for Stagecoach Merseyside was ingested from the UK Bus Open Data Service: 151 TransXChange files yielding 11,585 daily scheduled trips, expanded across a full year into several million trip-instances to satisfy the big-data scale requirement. Because BODS keeps no historical archive of live location data, the delay signal was synthetically augmented from a real SIRI-VM sample using a documented, literature-informed distribution. PySpark performed all large-scale processing, with partitioning, caching, broadcast joins, Spark SQL and lazy-evaluation evidence throughout. Three regression models (Linear Regression, Random Forest, Gradient-Boosted Trees) were compared using RMSE, MAE and R², with cross-validated tuning, and a logistic-regression compliance classifier was evaluated with accuracy, precision, recall, F1 and ROC-AUC. Results feed a composite Route Risk Score stored securely in SQLite and presented through an interactive Streamlit dashboard with a live delay predictor. The platform demonstrates a complete, reproducible distributed data-science workflow for a realistic smart-city problem.</w:t>
      </w:r>
    </w:p>
    <w:p>
      <w:r>
        <w:br w:type="page"/>
      </w:r>
    </w:p>
    <w:p>
      <w:pPr>
        <w:pStyle w:val="Heading1"/>
        <w:spacing w:after="160" w:before="300"/>
      </w:pPr>
      <w:r>
        <w:rPr>
          <w:b/>
          <w:bCs/>
          <w:color w:val="2E5A88"/>
          <w:sz w:val="32"/>
          <w:szCs w:val="32"/>
        </w:rPr>
        <w:t xml:space="preserve">Introduction</w:t>
      </w:r>
    </w:p>
    <w:p>
      <w:pPr>
        <w:pStyle w:val="Heading2"/>
        <w:spacing w:after="120" w:before="220"/>
      </w:pPr>
      <w:r>
        <w:rPr>
          <w:b/>
          <w:bCs/>
          <w:color w:val="2E5A88"/>
          <w:sz w:val="26"/>
          <w:szCs w:val="26"/>
        </w:rPr>
        <w:t xml:space="preserve">Problem Statement</w:t>
      </w:r>
    </w:p>
    <w:p>
      <w:pPr>
        <w:spacing w:after="140" w:line="300"/>
        <w:jc w:val="both"/>
      </w:pPr>
      <w:r>
        <w:rPr>
          <w:sz w:val="22"/>
          <w:szCs w:val="22"/>
        </w:rPr>
        <w:t xml:space="preserve">Urban bus networks generate large volumes of timetable and location data, yet delays remain a persistent problem. Transport authorities lack a consolidated, data-driven way to identify which routes are least reliable and where intervention budgets should be directed. This project predicts trip-level delays at scale, classifies compliance, and translates results into an actionable route-level risk ranking.</w:t>
      </w:r>
    </w:p>
    <w:p>
      <w:pPr>
        <w:pStyle w:val="Heading2"/>
        <w:spacing w:after="120" w:before="220"/>
      </w:pPr>
      <w:r>
        <w:rPr>
          <w:b/>
          <w:bCs/>
          <w:color w:val="2E5A88"/>
          <w:sz w:val="26"/>
          <w:szCs w:val="26"/>
        </w:rPr>
        <w:t xml:space="preserve">Purpose and Scope</w:t>
      </w:r>
    </w:p>
    <w:p>
      <w:pPr>
        <w:spacing w:after="140" w:line="300"/>
        <w:jc w:val="both"/>
      </w:pPr>
      <w:r>
        <w:rPr>
          <w:sz w:val="22"/>
          <w:szCs w:val="22"/>
        </w:rPr>
        <w:t xml:space="preserve">The project designs and evaluates an end-to-end big-data pipeline that ingests open bus data, engineers features, compares machine-learning models, and produces a composite Route Risk Score served through a dashboard. It covers the Stagecoach Merseyside network, using real timetables as the backbone with a synthetically augmented delay signal, processed in PySpark.</w:t>
      </w:r>
    </w:p>
    <w:p>
      <w:pPr>
        <w:pStyle w:val="Heading2"/>
        <w:spacing w:after="120" w:before="220"/>
      </w:pPr>
      <w:r>
        <w:rPr>
          <w:b/>
          <w:bCs/>
          <w:color w:val="2E5A88"/>
          <w:sz w:val="26"/>
          <w:szCs w:val="26"/>
        </w:rPr>
        <w:t xml:space="preserve">Relevance</w:t>
      </w:r>
    </w:p>
    <w:p>
      <w:pPr>
        <w:spacing w:after="140" w:line="300"/>
        <w:jc w:val="both"/>
      </w:pPr>
      <w:r>
        <w:rPr>
          <w:sz w:val="22"/>
          <w:szCs w:val="22"/>
        </w:rPr>
        <w:t xml:space="preserve">Reliable public transport is central to the smart-city agenda, supporting reduced congestion and improved accessibility. A tool highlighting the least reliable routes enables evidence-based resource allocation. As open transport data grows through BODS, processing it at scale with distributed frameworks is a valuable skill.</w:t>
      </w:r>
    </w:p>
    <w:p>
      <w:pPr>
        <w:pStyle w:val="Heading2"/>
        <w:spacing w:after="120" w:before="220"/>
      </w:pPr>
      <w:r>
        <w:rPr>
          <w:b/>
          <w:bCs/>
          <w:color w:val="2E5A88"/>
          <w:sz w:val="26"/>
          <w:szCs w:val="26"/>
        </w:rPr>
        <w:t xml:space="preserve">Metric Definitions</w:t>
      </w:r>
    </w:p>
    <w:p>
      <w:pPr>
        <w:spacing w:after="140" w:line="300"/>
        <w:jc w:val="both"/>
      </w:pPr>
      <w:r>
        <w:rPr>
          <w:sz w:val="22"/>
          <w:szCs w:val="22"/>
        </w:rPr>
        <w:t xml:space="preserve">This project applies: Service Reliability (proportion of trips within ±2 min of timetable — also used as the classification label); Headway Regularity (SD of scheduled inter-departure gaps ÷ mean headway per route); Model Efficiency (R² per second of training); and Algorithmic Efficiency (parse, training and inference wall-clock time). A custom composite Route Risk Score, combining predicted delay, headway irregularity and reliability, is defined and justified in the Methodology.</w:t>
      </w:r>
    </w:p>
    <w:p>
      <w:pPr>
        <w:pStyle w:val="Heading2"/>
        <w:spacing w:after="120" w:before="220"/>
      </w:pPr>
      <w:r>
        <w:rPr>
          <w:b/>
          <w:bCs/>
          <w:color w:val="2E5A88"/>
          <w:sz w:val="26"/>
          <w:szCs w:val="26"/>
        </w:rPr>
        <w:t xml:space="preserve">Learning Outcomes Targeted</w:t>
      </w:r>
    </w:p>
    <w:p>
      <w:pPr>
        <w:spacing w:after="140" w:line="300"/>
        <w:jc w:val="both"/>
      </w:pPr>
      <w:r>
        <w:rPr>
          <w:sz w:val="22"/>
          <w:szCs w:val="22"/>
        </w:rPr>
        <w:t xml:space="preserve">This project targets learning outcomes B1 (computational thinking / algorithm complexity), B2 (programming), B4 (data science), B6 (professional practice), B7 (transferable skills) and B8 (advanced work).</w:t>
      </w:r>
    </w:p>
    <w:p>
      <w:r>
        <w:br w:type="page"/>
      </w:r>
    </w:p>
    <w:p>
      <w:pPr>
        <w:pStyle w:val="Heading1"/>
        <w:spacing w:after="160" w:before="300"/>
      </w:pPr>
      <w:r>
        <w:rPr>
          <w:b/>
          <w:bCs/>
          <w:color w:val="2E5A88"/>
          <w:sz w:val="32"/>
          <w:szCs w:val="32"/>
        </w:rPr>
        <w:t xml:space="preserve">Literature Review / Background</w:t>
      </w:r>
    </w:p>
    <w:p>
      <w:pPr>
        <w:spacing w:after="140" w:line="300"/>
        <w:jc w:val="both"/>
      </w:pPr>
      <w:r>
        <w:rPr>
          <w:sz w:val="22"/>
          <w:szCs w:val="22"/>
        </w:rPr>
        <w:t xml:space="preserve">Bus delay prediction is a well-studied area. Mazloumi, Currie and Rose (2010) showed urban bus travel times vary strongly with time of day, with peaks showing higher means and wider spread — informing this project's peak-hour weighting. Breiman (2001) introduced Random Forests for non-linear interactions, and Chen and Guestrin (2016) established gradient-boosted trees for structured data. Apache Spark (Zaharia et al., 2016) scales these methods to millions of records. The UK Bus Open Data Service (Department for Transport, 2023) provides open timetable and location data, though its lack of a historical location archive motivates the synthetic augmentation used here.</w:t>
      </w:r>
    </w:p>
    <w:p>
      <w:r>
        <w:br w:type="page"/>
      </w:r>
    </w:p>
    <w:p>
      <w:pPr>
        <w:pStyle w:val="Heading1"/>
        <w:spacing w:after="160" w:before="300"/>
      </w:pPr>
      <w:r>
        <w:rPr>
          <w:b/>
          <w:bCs/>
          <w:color w:val="2E5A88"/>
          <w:sz w:val="32"/>
          <w:szCs w:val="32"/>
        </w:rPr>
        <w:t xml:space="preserve">Data Collection &amp; Preprocessing</w:t>
      </w:r>
    </w:p>
    <w:p>
      <w:pPr>
        <w:pStyle w:val="Heading2"/>
        <w:spacing w:after="120" w:before="220"/>
      </w:pPr>
      <w:r>
        <w:rPr>
          <w:b/>
          <w:bCs/>
          <w:color w:val="2E5A88"/>
          <w:sz w:val="26"/>
          <w:szCs w:val="26"/>
        </w:rPr>
        <w:t xml:space="preserve">Data Sources and Ingestion</w:t>
      </w:r>
    </w:p>
    <w:p>
      <w:pPr>
        <w:spacing w:after="140" w:line="300"/>
        <w:jc w:val="both"/>
      </w:pPr>
      <w:r>
        <w:rPr>
          <w:sz w:val="22"/>
          <w:szCs w:val="22"/>
        </w:rPr>
        <w:t xml:space="preserve">The primary source is the UK Bus Open Data Service (BODS), publishing timetables in TransXChange XML. This project uses 151 files from Stagecoach Merseyside &amp; South Lancashire (SCMY), covering the Liverpool and St Helens network. A Python parser extracts services, journey patterns, routes, departure times and operating days, yielding one record per scheduled trip (11,585 daily trips, zero parse errors). A real 2,260-row SIRI-VM location sample grounds the augmentation schema. All records are loaded into a partitioned, cached PySpark DataFrame.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81: BODS dataset page (data source)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82: Architecture diagram (drawn)</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2: Parser console output (files, rows, errors, time)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3: Chart — data ingestion summary</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4: Chart — trips per depot code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5: DataFrame row count + partition count</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6: DataFrame schema (printSchema)</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7: Chart — rows per Spark partition</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9: Calendar-expansion counts (100k+ evidence)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10: Chart — dataset growth vs 100k threshold</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12: Real SIRI-VM sample rows + columns</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13: Chart — real AVL sample GPS positions</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14: Augmented data sample rows</w:t>
      </w:r>
    </w:p>
    <w:p>
      <w:pPr>
        <w:pStyle w:val="Heading2"/>
        <w:spacing w:after="120" w:before="220"/>
      </w:pPr>
      <w:r>
        <w:rPr>
          <w:b/>
          <w:bCs/>
          <w:color w:val="2E5A88"/>
          <w:sz w:val="26"/>
          <w:szCs w:val="26"/>
        </w:rPr>
        <w:t xml:space="preserve">Meeting the Big Data Scale Requirement</w:t>
      </w:r>
    </w:p>
    <w:p>
      <w:pPr>
        <w:spacing w:after="140" w:line="300"/>
        <w:jc w:val="both"/>
      </w:pPr>
      <w:r>
        <w:rPr>
          <w:sz w:val="22"/>
          <w:szCs w:val="22"/>
        </w:rPr>
        <w:t xml:space="preserve">Each trip is expanded across a 12-month calendar by its operating days, via a key-based join to a generated calendar. This transforms ~11,585 daily trips into several million annual trip-instances, exceeding the 100,000 threshold through the extended-date-range strategy. Because BODS provides live-only location data with no historical archive, delays were synthetically generated using a shifted Gamma distribution (matching the right-skewed shape reported in the literature), structured by hour, day and route so models have genuine learnable signal — the brief's sanctioned Strategy 3, documented transparently and revisited under Limitations.</w:t>
      </w:r>
    </w:p>
    <w:p>
      <w:pPr>
        <w:pStyle w:val="Heading2"/>
        <w:spacing w:after="120" w:before="220"/>
      </w:pPr>
      <w:r>
        <w:rPr>
          <w:b/>
          <w:bCs/>
          <w:color w:val="2E5A88"/>
          <w:sz w:val="26"/>
          <w:szCs w:val="26"/>
        </w:rPr>
        <w:t xml:space="preserve">Data Cleaning</w:t>
      </w:r>
    </w:p>
    <w:p>
      <w:pPr>
        <w:spacing w:after="140" w:line="300"/>
        <w:jc w:val="both"/>
      </w:pPr>
      <w:r>
        <w:rPr>
          <w:sz w:val="22"/>
          <w:szCs w:val="22"/>
        </w:rPr>
        <w:t xml:space="preserve">Rows with nulls in essential fields were dropped, and duplicate trip-date combinations removed using the natural key of journey code and calendar date. Before/after visual evidence is shown below. About 1.9% of trips lacked a parseable operating-days value (non-standard tags); these were removed as a documented data-quality finding. The cleaned dataset is checkpointed to Parquet as the pipeline's persistence strategy.</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15: Cleaning console output (before/after counts)</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16: Chart — null counts before cleaning</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17: Chart — cleaning impact on row counts</w:t>
      </w:r>
    </w:p>
    <w:p>
      <w:r>
        <w:br w:type="page"/>
      </w:r>
    </w:p>
    <w:p>
      <w:pPr>
        <w:pStyle w:val="Heading1"/>
        <w:spacing w:after="160" w:before="300"/>
      </w:pPr>
      <w:r>
        <w:rPr>
          <w:b/>
          <w:bCs/>
          <w:color w:val="2E5A88"/>
          <w:sz w:val="32"/>
          <w:szCs w:val="32"/>
        </w:rPr>
        <w:t xml:space="preserve">Exploratory Data Analysis</w:t>
      </w:r>
    </w:p>
    <w:p>
      <w:pPr>
        <w:spacing w:after="140" w:line="300"/>
        <w:jc w:val="both"/>
      </w:pPr>
      <w:r>
        <w:rPr>
          <w:sz w:val="22"/>
          <w:szCs w:val="22"/>
        </w:rPr>
        <w:t xml:space="preserve">EDA used PySpark aggregations and statistical functions (mean, median, SD, skewness, kurtosis), plus cardinality profiling and IQR outlier detection, with every result visualised. Charts below cover the delay distribution, temporal patterns (hour, day, period, month), route frequency and reliability patterns, correlations, and Spark SQL / lazy-evaluation evidence.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19: Statistical measures console output</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20: Chart — delay distribution with statistics</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21: Chart — delay box plot with IQR outlier bounds</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22: Chart — journey duration distribution</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23: Chart — delay vs duration correlation</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24: Chart — correlation heatmap</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25: Chart — average delay by hour (rush shading)</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26: Chart — rush vs non-rush delay</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27: Chart — delay by day of week</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28: Chart — delay by time period</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29: Chart — top 10 most frequent lines</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30: Chart — top 10 worst routes by delay</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31: Chart — delay by direction</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32: Chart — monthly delay trend</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33: Chart — cardinality profile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34: Chart — synthetic positions in Merseyside box</w:t>
      </w:r>
    </w:p>
    <w:p>
      <w:r>
        <w:br w:type="page"/>
      </w:r>
    </w:p>
    <w:p>
      <w:pPr>
        <w:pStyle w:val="Heading1"/>
        <w:spacing w:after="160" w:before="300"/>
      </w:pPr>
      <w:r>
        <w:rPr>
          <w:b/>
          <w:bCs/>
          <w:color w:val="2E5A88"/>
          <w:sz w:val="32"/>
          <w:szCs w:val="32"/>
        </w:rPr>
        <w:t xml:space="preserve">Methodology</w:t>
      </w:r>
    </w:p>
    <w:p>
      <w:pPr>
        <w:pStyle w:val="Heading2"/>
        <w:spacing w:after="120" w:before="220"/>
      </w:pPr>
      <w:r>
        <w:rPr>
          <w:b/>
          <w:bCs/>
          <w:color w:val="2E5A88"/>
          <w:sz w:val="26"/>
          <w:szCs w:val="26"/>
        </w:rPr>
        <w:t xml:space="preserve">Feature Engineering</w:t>
      </w:r>
    </w:p>
    <w:p>
      <w:pPr>
        <w:spacing w:after="140" w:line="300"/>
        <w:jc w:val="both"/>
      </w:pPr>
      <w:r>
        <w:rPr>
          <w:sz w:val="22"/>
          <w:szCs w:val="22"/>
        </w:rPr>
        <w:t xml:space="preserve">Five features were selected: hour of day, day of week, route, scheduled duration, and historical average delay per route. The historical average uses a Spark window function bounded to preceding rows only, preventing future-data leakage. Categorical features are indexed with StringIndexer and combined via VectorAssembler in an MLlib Pipeline.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38: Pipeline stages + assembled feature vector</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39: Chart — model feature set overview</w:t>
      </w:r>
    </w:p>
    <w:p>
      <w:pPr>
        <w:pStyle w:val="Heading2"/>
        <w:spacing w:after="120" w:before="220"/>
      </w:pPr>
      <w:r>
        <w:rPr>
          <w:b/>
          <w:bCs/>
          <w:color w:val="2E5A88"/>
          <w:sz w:val="26"/>
          <w:szCs w:val="26"/>
        </w:rPr>
        <w:t xml:space="preserve">Data Splitting</w:t>
      </w:r>
    </w:p>
    <w:p>
      <w:pPr>
        <w:spacing w:after="140" w:line="300"/>
        <w:jc w:val="both"/>
      </w:pPr>
      <w:r>
        <w:rPr>
          <w:sz w:val="22"/>
          <w:szCs w:val="22"/>
        </w:rPr>
        <w:t xml:space="preserve">A time-based split holds out the most recent two months as the test set, earlier dates for training. This prevents future-date leakage that a random split of time-series data would allow. The split is visualised both as proportions and on the calendar timeline.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40: Training set row count</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41: Test set row count</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42: Chart — train/test split bar</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43: Chart — split timeline by month</w:t>
      </w:r>
    </w:p>
    <w:p>
      <w:pPr>
        <w:pStyle w:val="Heading2"/>
        <w:spacing w:after="120" w:before="220"/>
      </w:pPr>
      <w:r>
        <w:rPr>
          <w:b/>
          <w:bCs/>
          <w:color w:val="2E5A88"/>
          <w:sz w:val="26"/>
          <w:szCs w:val="26"/>
        </w:rPr>
        <w:t xml:space="preserve">Model Selection</w:t>
      </w:r>
    </w:p>
    <w:p>
      <w:pPr>
        <w:spacing w:after="140" w:line="300"/>
        <w:jc w:val="both"/>
      </w:pPr>
      <w:r>
        <w:rPr>
          <w:sz w:val="22"/>
          <w:szCs w:val="22"/>
        </w:rPr>
        <w:t xml:space="preserve">Three MLlib regression models are compared: Linear Regression (fast baseline), Random Forest (non-linear interactions), and Gradient-Boosted Trees (highest accuracy, higher cost), with a CrossValidator grid search tuning the strongest family. A logistic-regression compliance classifier extends the analysis to the brief's classification metrics.</w:t>
      </w:r>
    </w:p>
    <w:p>
      <w:pPr>
        <w:pStyle w:val="Heading2"/>
        <w:spacing w:after="120" w:before="220"/>
      </w:pPr>
      <w:r>
        <w:rPr>
          <w:b/>
          <w:bCs/>
          <w:color w:val="2E5A88"/>
          <w:sz w:val="26"/>
          <w:szCs w:val="26"/>
        </w:rPr>
        <w:t xml:space="preserve">Algorithm Complexity (B1)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5A88" w:val="clear"/>
            <w:tcMar>
              <w:top w:type="dxa" w:w="60"/>
              <w:left w:type="dxa" w:w="100"/>
              <w:bottom w:type="dxa" w:w="60"/>
              <w:right w:type="dxa" w:w="100"/>
            </w:tcMar>
          </w:tcPr>
          <w:p>
            <w:r>
              <w:rPr>
                <w:b/>
                <w:bCs/>
                <w:color w:val="FFFFFF"/>
                <w:sz w:val="20"/>
                <w:szCs w:val="20"/>
              </w:rPr>
              <w:t xml:space="preserve">Operation</w:t>
            </w:r>
          </w:p>
        </w:tc>
        <w:tc>
          <w:tcPr>
            <w:shd w:fill="2E5A88" w:val="clear"/>
            <w:tcMar>
              <w:top w:type="dxa" w:w="60"/>
              <w:left w:type="dxa" w:w="100"/>
              <w:bottom w:type="dxa" w:w="60"/>
              <w:right w:type="dxa" w:w="100"/>
            </w:tcMar>
          </w:tcPr>
          <w:p>
            <w:r>
              <w:rPr>
                <w:b/>
                <w:bCs/>
                <w:color w:val="FFFFFF"/>
                <w:sz w:val="20"/>
                <w:szCs w:val="20"/>
              </w:rPr>
              <w:t xml:space="preserve">Complexity</w:t>
            </w:r>
          </w:p>
        </w:tc>
        <w:tc>
          <w:tcPr>
            <w:shd w:fill="2E5A88" w:val="clear"/>
            <w:tcMar>
              <w:top w:type="dxa" w:w="60"/>
              <w:left w:type="dxa" w:w="100"/>
              <w:bottom w:type="dxa" w:w="60"/>
              <w:right w:type="dxa" w:w="100"/>
            </w:tcMar>
          </w:tcPr>
          <w:p>
            <w:r>
              <w:rPr>
                <w:b/>
                <w:bCs/>
                <w:color w:val="FFFFFF"/>
                <w:sz w:val="20"/>
                <w:szCs w:val="20"/>
              </w:rPr>
              <w:t xml:space="preserve">Notes</w:t>
            </w:r>
          </w:p>
        </w:tc>
      </w:tr>
      <w:tr>
        <w:tc>
          <w:tcPr>
            <w:shd w:fill="EAF0F6" w:val="clear"/>
            <w:tcMar>
              <w:top w:type="dxa" w:w="60"/>
              <w:left w:type="dxa" w:w="100"/>
              <w:bottom w:type="dxa" w:w="60"/>
              <w:right w:type="dxa" w:w="100"/>
            </w:tcMar>
          </w:tcPr>
          <w:p>
            <w:r>
              <w:rPr>
                <w:b w:val="false"/>
                <w:bCs w:val="false"/>
                <w:color w:val="000000"/>
                <w:sz w:val="20"/>
                <w:szCs w:val="20"/>
              </w:rPr>
              <w:t xml:space="preserve">XML parsing</w:t>
            </w:r>
          </w:p>
        </w:tc>
        <w:tc>
          <w:tcPr>
            <w:shd w:fill="EAF0F6" w:val="clear"/>
            <w:tcMar>
              <w:top w:type="dxa" w:w="60"/>
              <w:left w:type="dxa" w:w="100"/>
              <w:bottom w:type="dxa" w:w="60"/>
              <w:right w:type="dxa" w:w="100"/>
            </w:tcMar>
          </w:tcPr>
          <w:p>
            <w:r>
              <w:rPr>
                <w:b w:val="false"/>
                <w:bCs w:val="false"/>
                <w:color w:val="000000"/>
                <w:sz w:val="20"/>
                <w:szCs w:val="20"/>
              </w:rPr>
              <w:t xml:space="preserve">O(F·n)</w:t>
            </w:r>
          </w:p>
        </w:tc>
        <w:tc>
          <w:tcPr>
            <w:shd w:fill="EAF0F6" w:val="clear"/>
            <w:tcMar>
              <w:top w:type="dxa" w:w="60"/>
              <w:left w:type="dxa" w:w="100"/>
              <w:bottom w:type="dxa" w:w="60"/>
              <w:right w:type="dxa" w:w="100"/>
            </w:tcMar>
          </w:tcPr>
          <w:p>
            <w:r>
              <w:rPr>
                <w:b w:val="false"/>
                <w:bCs w:val="false"/>
                <w:color w:val="000000"/>
                <w:sz w:val="20"/>
                <w:szCs w:val="20"/>
              </w:rPr>
              <w:t xml:space="preserve">F files, n nodes each; linear scan</w:t>
            </w:r>
          </w:p>
        </w:tc>
      </w:tr>
      <w:tr>
        <w:tc>
          <w:tcPr>
            <w:tcMar>
              <w:top w:type="dxa" w:w="60"/>
              <w:left w:type="dxa" w:w="100"/>
              <w:bottom w:type="dxa" w:w="60"/>
              <w:right w:type="dxa" w:w="100"/>
            </w:tcMar>
          </w:tcPr>
          <w:p>
            <w:r>
              <w:rPr>
                <w:b w:val="false"/>
                <w:bCs w:val="false"/>
                <w:color w:val="000000"/>
                <w:sz w:val="20"/>
                <w:szCs w:val="20"/>
              </w:rPr>
              <w:t xml:space="preserve">Calendar join</w:t>
            </w:r>
          </w:p>
        </w:tc>
        <w:tc>
          <w:tcPr>
            <w:tcMar>
              <w:top w:type="dxa" w:w="60"/>
              <w:left w:type="dxa" w:w="100"/>
              <w:bottom w:type="dxa" w:w="60"/>
              <w:right w:type="dxa" w:w="100"/>
            </w:tcMar>
          </w:tcPr>
          <w:p>
            <w:r>
              <w:rPr>
                <w:b w:val="false"/>
                <w:bCs w:val="false"/>
                <w:color w:val="000000"/>
                <w:sz w:val="20"/>
                <w:szCs w:val="20"/>
              </w:rPr>
              <w:t xml:space="preserve">O(T·d)</w:t>
            </w:r>
          </w:p>
        </w:tc>
        <w:tc>
          <w:tcPr>
            <w:tcMar>
              <w:top w:type="dxa" w:w="60"/>
              <w:left w:type="dxa" w:w="100"/>
              <w:bottom w:type="dxa" w:w="60"/>
              <w:right w:type="dxa" w:w="100"/>
            </w:tcMar>
          </w:tcPr>
          <w:p>
            <w:r>
              <w:rPr>
                <w:b w:val="false"/>
                <w:bCs w:val="false"/>
                <w:color w:val="000000"/>
                <w:sz w:val="20"/>
                <w:szCs w:val="20"/>
              </w:rPr>
              <w:t xml:space="preserve">weekday-matched, avoids Cartesian product</w:t>
            </w:r>
          </w:p>
        </w:tc>
      </w:tr>
      <w:tr>
        <w:tc>
          <w:tcPr>
            <w:shd w:fill="EAF0F6" w:val="clear"/>
            <w:tcMar>
              <w:top w:type="dxa" w:w="60"/>
              <w:left w:type="dxa" w:w="100"/>
              <w:bottom w:type="dxa" w:w="60"/>
              <w:right w:type="dxa" w:w="100"/>
            </w:tcMar>
          </w:tcPr>
          <w:p>
            <w:r>
              <w:rPr>
                <w:b w:val="false"/>
                <w:bCs w:val="false"/>
                <w:color w:val="000000"/>
                <w:sz w:val="20"/>
                <w:szCs w:val="20"/>
              </w:rPr>
              <w:t xml:space="preserve">groupBy / agg</w:t>
            </w:r>
          </w:p>
        </w:tc>
        <w:tc>
          <w:tcPr>
            <w:shd w:fill="EAF0F6" w:val="clear"/>
            <w:tcMar>
              <w:top w:type="dxa" w:w="60"/>
              <w:left w:type="dxa" w:w="100"/>
              <w:bottom w:type="dxa" w:w="60"/>
              <w:right w:type="dxa" w:w="100"/>
            </w:tcMar>
          </w:tcPr>
          <w:p>
            <w:r>
              <w:rPr>
                <w:b w:val="false"/>
                <w:bCs w:val="false"/>
                <w:color w:val="000000"/>
                <w:sz w:val="20"/>
                <w:szCs w:val="20"/>
              </w:rPr>
              <w:t xml:space="preserve">O(n log n)</w:t>
            </w:r>
          </w:p>
        </w:tc>
        <w:tc>
          <w:tcPr>
            <w:shd w:fill="EAF0F6" w:val="clear"/>
            <w:tcMar>
              <w:top w:type="dxa" w:w="60"/>
              <w:left w:type="dxa" w:w="100"/>
              <w:bottom w:type="dxa" w:w="60"/>
              <w:right w:type="dxa" w:w="100"/>
            </w:tcMar>
          </w:tcPr>
          <w:p>
            <w:r>
              <w:rPr>
                <w:b w:val="false"/>
                <w:bCs w:val="false"/>
                <w:color w:val="000000"/>
                <w:sz w:val="20"/>
                <w:szCs w:val="20"/>
              </w:rPr>
              <w:t xml:space="preserve">shuffle-based aggregation</w:t>
            </w:r>
          </w:p>
        </w:tc>
      </w:tr>
      <w:tr>
        <w:tc>
          <w:tcPr>
            <w:tcMar>
              <w:top w:type="dxa" w:w="60"/>
              <w:left w:type="dxa" w:w="100"/>
              <w:bottom w:type="dxa" w:w="60"/>
              <w:right w:type="dxa" w:w="100"/>
            </w:tcMar>
          </w:tcPr>
          <w:p>
            <w:r>
              <w:rPr>
                <w:b w:val="false"/>
                <w:bCs w:val="false"/>
                <w:color w:val="000000"/>
                <w:sz w:val="20"/>
                <w:szCs w:val="20"/>
              </w:rPr>
              <w:t xml:space="preserve">Linear Regression</w:t>
            </w:r>
          </w:p>
        </w:tc>
        <w:tc>
          <w:tcPr>
            <w:tcMar>
              <w:top w:type="dxa" w:w="60"/>
              <w:left w:type="dxa" w:w="100"/>
              <w:bottom w:type="dxa" w:w="60"/>
              <w:right w:type="dxa" w:w="100"/>
            </w:tcMar>
          </w:tcPr>
          <w:p>
            <w:r>
              <w:rPr>
                <w:b w:val="false"/>
                <w:bCs w:val="false"/>
                <w:color w:val="000000"/>
                <w:sz w:val="20"/>
                <w:szCs w:val="20"/>
              </w:rPr>
              <w:t xml:space="preserve">O(n·d²)</w:t>
            </w:r>
          </w:p>
        </w:tc>
        <w:tc>
          <w:tcPr>
            <w:tcMar>
              <w:top w:type="dxa" w:w="60"/>
              <w:left w:type="dxa" w:w="100"/>
              <w:bottom w:type="dxa" w:w="60"/>
              <w:right w:type="dxa" w:w="100"/>
            </w:tcMar>
          </w:tcPr>
          <w:p>
            <w:r>
              <w:rPr>
                <w:b w:val="false"/>
                <w:bCs w:val="false"/>
                <w:color w:val="000000"/>
                <w:sz w:val="20"/>
                <w:szCs w:val="20"/>
              </w:rPr>
              <w:t xml:space="preserve">normal equations, small d</w:t>
            </w:r>
          </w:p>
        </w:tc>
      </w:tr>
      <w:tr>
        <w:tc>
          <w:tcPr>
            <w:shd w:fill="EAF0F6" w:val="clear"/>
            <w:tcMar>
              <w:top w:type="dxa" w:w="60"/>
              <w:left w:type="dxa" w:w="100"/>
              <w:bottom w:type="dxa" w:w="60"/>
              <w:right w:type="dxa" w:w="100"/>
            </w:tcMar>
          </w:tcPr>
          <w:p>
            <w:r>
              <w:rPr>
                <w:b w:val="false"/>
                <w:bCs w:val="false"/>
                <w:color w:val="000000"/>
                <w:sz w:val="20"/>
                <w:szCs w:val="20"/>
              </w:rPr>
              <w:t xml:space="preserve">Random Forest</w:t>
            </w:r>
          </w:p>
        </w:tc>
        <w:tc>
          <w:tcPr>
            <w:shd w:fill="EAF0F6" w:val="clear"/>
            <w:tcMar>
              <w:top w:type="dxa" w:w="60"/>
              <w:left w:type="dxa" w:w="100"/>
              <w:bottom w:type="dxa" w:w="60"/>
              <w:right w:type="dxa" w:w="100"/>
            </w:tcMar>
          </w:tcPr>
          <w:p>
            <w:r>
              <w:rPr>
                <w:b w:val="false"/>
                <w:bCs w:val="false"/>
                <w:color w:val="000000"/>
                <w:sz w:val="20"/>
                <w:szCs w:val="20"/>
              </w:rPr>
              <w:t xml:space="preserve">O(n log n·d·trees)</w:t>
            </w:r>
          </w:p>
        </w:tc>
        <w:tc>
          <w:tcPr>
            <w:shd w:fill="EAF0F6" w:val="clear"/>
            <w:tcMar>
              <w:top w:type="dxa" w:w="60"/>
              <w:left w:type="dxa" w:w="100"/>
              <w:bottom w:type="dxa" w:w="60"/>
              <w:right w:type="dxa" w:w="100"/>
            </w:tcMar>
          </w:tcPr>
          <w:p>
            <w:r>
              <w:rPr>
                <w:b w:val="false"/>
                <w:bCs w:val="false"/>
                <w:color w:val="000000"/>
                <w:sz w:val="20"/>
                <w:szCs w:val="20"/>
              </w:rPr>
              <w:t xml:space="preserve">per-tree split search</w:t>
            </w:r>
          </w:p>
        </w:tc>
      </w:tr>
      <w:tr>
        <w:tc>
          <w:tcPr>
            <w:tcMar>
              <w:top w:type="dxa" w:w="60"/>
              <w:left w:type="dxa" w:w="100"/>
              <w:bottom w:type="dxa" w:w="60"/>
              <w:right w:type="dxa" w:w="100"/>
            </w:tcMar>
          </w:tcPr>
          <w:p>
            <w:r>
              <w:rPr>
                <w:b w:val="false"/>
                <w:bCs w:val="false"/>
                <w:color w:val="000000"/>
                <w:sz w:val="20"/>
                <w:szCs w:val="20"/>
              </w:rPr>
              <w:t xml:space="preserve">Gradient-Boosted Trees</w:t>
            </w:r>
          </w:p>
        </w:tc>
        <w:tc>
          <w:tcPr>
            <w:tcMar>
              <w:top w:type="dxa" w:w="60"/>
              <w:left w:type="dxa" w:w="100"/>
              <w:bottom w:type="dxa" w:w="60"/>
              <w:right w:type="dxa" w:w="100"/>
            </w:tcMar>
          </w:tcPr>
          <w:p>
            <w:r>
              <w:rPr>
                <w:b w:val="false"/>
                <w:bCs w:val="false"/>
                <w:color w:val="000000"/>
                <w:sz w:val="20"/>
                <w:szCs w:val="20"/>
              </w:rPr>
              <w:t xml:space="preserve">O(n log n·d·iters)</w:t>
            </w:r>
          </w:p>
        </w:tc>
        <w:tc>
          <w:tcPr>
            <w:tcMar>
              <w:top w:type="dxa" w:w="60"/>
              <w:left w:type="dxa" w:w="100"/>
              <w:bottom w:type="dxa" w:w="60"/>
              <w:right w:type="dxa" w:w="100"/>
            </w:tcMar>
          </w:tcPr>
          <w:p>
            <w:r>
              <w:rPr>
                <w:b w:val="false"/>
                <w:bCs w:val="false"/>
                <w:color w:val="000000"/>
                <w:sz w:val="20"/>
                <w:szCs w:val="20"/>
              </w:rPr>
              <w:t xml:space="preserve">sequential, slower wall-clock</w:t>
            </w:r>
          </w:p>
        </w:tc>
      </w:tr>
    </w:tbl>
    <w:p>
      <w:pPr>
        <w:spacing w:after="140" w:line="300"/>
        <w:jc w:val="both"/>
      </w:pPr>
      <w:r>
        <w:rPr>
          <w:sz w:val="22"/>
          <w:szCs w:val="22"/>
        </w:rPr>
        <w:t xml:space="preserve">Complexity is also evidenced empirically: measured scalability of training time against dataset size, relative training cost across the three algorithms, and measured inference latency per model.</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64: Scalability measurement console output</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65: Chart — measured scalability curve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66: Chart — Big-O complexity terms</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67: Chart — relative training cost</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68: Chart — inference latency per model</w:t>
      </w:r>
    </w:p>
    <w:p>
      <w:r>
        <w:br w:type="page"/>
      </w:r>
    </w:p>
    <w:p>
      <w:pPr>
        <w:pStyle w:val="Heading1"/>
        <w:spacing w:after="160" w:before="300"/>
      </w:pPr>
      <w:r>
        <w:rPr>
          <w:b/>
          <w:bCs/>
          <w:color w:val="2E5A88"/>
          <w:sz w:val="32"/>
          <w:szCs w:val="32"/>
        </w:rPr>
        <w:t xml:space="preserve">Results and Evaluation</w:t>
      </w:r>
    </w:p>
    <w:p>
      <w:pPr>
        <w:pStyle w:val="Heading2"/>
        <w:spacing w:after="120" w:before="220"/>
      </w:pPr>
      <w:r>
        <w:rPr>
          <w:b/>
          <w:bCs/>
          <w:color w:val="2E5A88"/>
          <w:sz w:val="26"/>
          <w:szCs w:val="26"/>
        </w:rPr>
        <w:t xml:space="preserve">Regression Model Performance</w:t>
      </w:r>
    </w:p>
    <w:p>
      <w:pPr>
        <w:spacing w:after="140" w:line="300"/>
        <w:jc w:val="both"/>
      </w:pPr>
      <w:r>
        <w:rPr>
          <w:sz w:val="22"/>
          <w:szCs w:val="22"/>
        </w:rPr>
        <w:t xml:space="preserve">The three models were evaluated on the held-out test set with RMSE, MAE and R², plus training time and the brief's Model Efficiency metric (R² per second). Diagnostic charts include actual-vs-predicted, residuals, error distribution, per-model error box plots, a Q-Q normality check, feature importance and the CrossValidator grid results. Insert your measured values in the table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E5A88" w:val="clear"/>
            <w:tcMar>
              <w:top w:type="dxa" w:w="60"/>
              <w:left w:type="dxa" w:w="100"/>
              <w:bottom w:type="dxa" w:w="60"/>
              <w:right w:type="dxa" w:w="100"/>
            </w:tcMar>
          </w:tcPr>
          <w:p>
            <w:r>
              <w:rPr>
                <w:b/>
                <w:bCs/>
                <w:color w:val="FFFFFF"/>
                <w:sz w:val="20"/>
                <w:szCs w:val="20"/>
              </w:rPr>
              <w:t xml:space="preserve">Model</w:t>
            </w:r>
          </w:p>
        </w:tc>
        <w:tc>
          <w:tcPr>
            <w:shd w:fill="2E5A88" w:val="clear"/>
            <w:tcMar>
              <w:top w:type="dxa" w:w="60"/>
              <w:left w:type="dxa" w:w="100"/>
              <w:bottom w:type="dxa" w:w="60"/>
              <w:right w:type="dxa" w:w="100"/>
            </w:tcMar>
          </w:tcPr>
          <w:p>
            <w:r>
              <w:rPr>
                <w:b/>
                <w:bCs/>
                <w:color w:val="FFFFFF"/>
                <w:sz w:val="20"/>
                <w:szCs w:val="20"/>
              </w:rPr>
              <w:t xml:space="preserve">RMSE</w:t>
            </w:r>
          </w:p>
        </w:tc>
        <w:tc>
          <w:tcPr>
            <w:shd w:fill="2E5A88" w:val="clear"/>
            <w:tcMar>
              <w:top w:type="dxa" w:w="60"/>
              <w:left w:type="dxa" w:w="100"/>
              <w:bottom w:type="dxa" w:w="60"/>
              <w:right w:type="dxa" w:w="100"/>
            </w:tcMar>
          </w:tcPr>
          <w:p>
            <w:r>
              <w:rPr>
                <w:b/>
                <w:bCs/>
                <w:color w:val="FFFFFF"/>
                <w:sz w:val="20"/>
                <w:szCs w:val="20"/>
              </w:rPr>
              <w:t xml:space="preserve">MAE</w:t>
            </w:r>
          </w:p>
        </w:tc>
        <w:tc>
          <w:tcPr>
            <w:shd w:fill="2E5A88" w:val="clear"/>
            <w:tcMar>
              <w:top w:type="dxa" w:w="60"/>
              <w:left w:type="dxa" w:w="100"/>
              <w:bottom w:type="dxa" w:w="60"/>
              <w:right w:type="dxa" w:w="100"/>
            </w:tcMar>
          </w:tcPr>
          <w:p>
            <w:r>
              <w:rPr>
                <w:b/>
                <w:bCs/>
                <w:color w:val="FFFFFF"/>
                <w:sz w:val="20"/>
                <w:szCs w:val="20"/>
              </w:rPr>
              <w:t xml:space="preserve">R²</w:t>
            </w:r>
          </w:p>
        </w:tc>
        <w:tc>
          <w:tcPr>
            <w:shd w:fill="2E5A88" w:val="clear"/>
            <w:tcMar>
              <w:top w:type="dxa" w:w="60"/>
              <w:left w:type="dxa" w:w="100"/>
              <w:bottom w:type="dxa" w:w="60"/>
              <w:right w:type="dxa" w:w="100"/>
            </w:tcMar>
          </w:tcPr>
          <w:p>
            <w:r>
              <w:rPr>
                <w:b/>
                <w:bCs/>
                <w:color w:val="FFFFFF"/>
                <w:sz w:val="20"/>
                <w:szCs w:val="20"/>
              </w:rPr>
              <w:t xml:space="preserve">Train time (s)</w:t>
            </w:r>
          </w:p>
        </w:tc>
      </w:tr>
      <w:tr>
        <w:tc>
          <w:tcPr>
            <w:shd w:fill="EAF0F6" w:val="clear"/>
            <w:tcMar>
              <w:top w:type="dxa" w:w="60"/>
              <w:left w:type="dxa" w:w="100"/>
              <w:bottom w:type="dxa" w:w="60"/>
              <w:right w:type="dxa" w:w="100"/>
            </w:tcMar>
          </w:tcPr>
          <w:p>
            <w:r>
              <w:rPr>
                <w:b w:val="false"/>
                <w:bCs w:val="false"/>
                <w:color w:val="000000"/>
                <w:sz w:val="20"/>
                <w:szCs w:val="20"/>
              </w:rPr>
              <w:t xml:space="preserve">Linear Regression</w:t>
            </w:r>
          </w:p>
        </w:tc>
        <w:tc>
          <w:tcPr>
            <w:shd w:fill="EAF0F6" w:val="clear"/>
            <w:tcMar>
              <w:top w:type="dxa" w:w="60"/>
              <w:left w:type="dxa" w:w="100"/>
              <w:bottom w:type="dxa" w:w="60"/>
              <w:right w:type="dxa" w:w="100"/>
            </w:tcMar>
          </w:tcPr>
          <w:p>
            <w:r>
              <w:rPr>
                <w:b w:val="false"/>
                <w:bCs w:val="false"/>
                <w:color w:val="000000"/>
                <w:sz w:val="20"/>
                <w:szCs w:val="20"/>
              </w:rPr>
              <w:t xml:space="preserve">[INSERT]</w:t>
            </w:r>
          </w:p>
        </w:tc>
        <w:tc>
          <w:tcPr>
            <w:shd w:fill="EAF0F6" w:val="clear"/>
            <w:tcMar>
              <w:top w:type="dxa" w:w="60"/>
              <w:left w:type="dxa" w:w="100"/>
              <w:bottom w:type="dxa" w:w="60"/>
              <w:right w:type="dxa" w:w="100"/>
            </w:tcMar>
          </w:tcPr>
          <w:p>
            <w:r>
              <w:rPr>
                <w:b w:val="false"/>
                <w:bCs w:val="false"/>
                <w:color w:val="000000"/>
                <w:sz w:val="20"/>
                <w:szCs w:val="20"/>
              </w:rPr>
              <w:t xml:space="preserve">[INSERT]</w:t>
            </w:r>
          </w:p>
        </w:tc>
        <w:tc>
          <w:tcPr>
            <w:shd w:fill="EAF0F6" w:val="clear"/>
            <w:tcMar>
              <w:top w:type="dxa" w:w="60"/>
              <w:left w:type="dxa" w:w="100"/>
              <w:bottom w:type="dxa" w:w="60"/>
              <w:right w:type="dxa" w:w="100"/>
            </w:tcMar>
          </w:tcPr>
          <w:p>
            <w:r>
              <w:rPr>
                <w:b w:val="false"/>
                <w:bCs w:val="false"/>
                <w:color w:val="000000"/>
                <w:sz w:val="20"/>
                <w:szCs w:val="20"/>
              </w:rPr>
              <w:t xml:space="preserve">[INSERT]</w:t>
            </w:r>
          </w:p>
        </w:tc>
        <w:tc>
          <w:tcPr>
            <w:shd w:fill="EAF0F6" w:val="clear"/>
            <w:tcMar>
              <w:top w:type="dxa" w:w="60"/>
              <w:left w:type="dxa" w:w="100"/>
              <w:bottom w:type="dxa" w:w="60"/>
              <w:right w:type="dxa" w:w="100"/>
            </w:tcMar>
          </w:tcPr>
          <w:p>
            <w:r>
              <w:rPr>
                <w:b w:val="false"/>
                <w:bCs w:val="false"/>
                <w:color w:val="000000"/>
                <w:sz w:val="20"/>
                <w:szCs w:val="20"/>
              </w:rPr>
              <w:t xml:space="preserve">[INSERT]</w:t>
            </w:r>
          </w:p>
        </w:tc>
      </w:tr>
      <w:tr>
        <w:tc>
          <w:tcPr>
            <w:tcMar>
              <w:top w:type="dxa" w:w="60"/>
              <w:left w:type="dxa" w:w="100"/>
              <w:bottom w:type="dxa" w:w="60"/>
              <w:right w:type="dxa" w:w="100"/>
            </w:tcMar>
          </w:tcPr>
          <w:p>
            <w:r>
              <w:rPr>
                <w:b w:val="false"/>
                <w:bCs w:val="false"/>
                <w:color w:val="000000"/>
                <w:sz w:val="20"/>
                <w:szCs w:val="20"/>
              </w:rPr>
              <w:t xml:space="preserve">Random Forest</w:t>
            </w:r>
          </w:p>
        </w:tc>
        <w:tc>
          <w:tcPr>
            <w:tcMar>
              <w:top w:type="dxa" w:w="60"/>
              <w:left w:type="dxa" w:w="100"/>
              <w:bottom w:type="dxa" w:w="60"/>
              <w:right w:type="dxa" w:w="100"/>
            </w:tcMar>
          </w:tcPr>
          <w:p>
            <w:r>
              <w:rPr>
                <w:b w:val="false"/>
                <w:bCs w:val="false"/>
                <w:color w:val="000000"/>
                <w:sz w:val="20"/>
                <w:szCs w:val="20"/>
              </w:rPr>
              <w:t xml:space="preserve">[INSERT]</w:t>
            </w:r>
          </w:p>
        </w:tc>
        <w:tc>
          <w:tcPr>
            <w:tcMar>
              <w:top w:type="dxa" w:w="60"/>
              <w:left w:type="dxa" w:w="100"/>
              <w:bottom w:type="dxa" w:w="60"/>
              <w:right w:type="dxa" w:w="100"/>
            </w:tcMar>
          </w:tcPr>
          <w:p>
            <w:r>
              <w:rPr>
                <w:b w:val="false"/>
                <w:bCs w:val="false"/>
                <w:color w:val="000000"/>
                <w:sz w:val="20"/>
                <w:szCs w:val="20"/>
              </w:rPr>
              <w:t xml:space="preserve">[INSERT]</w:t>
            </w:r>
          </w:p>
        </w:tc>
        <w:tc>
          <w:tcPr>
            <w:tcMar>
              <w:top w:type="dxa" w:w="60"/>
              <w:left w:type="dxa" w:w="100"/>
              <w:bottom w:type="dxa" w:w="60"/>
              <w:right w:type="dxa" w:w="100"/>
            </w:tcMar>
          </w:tcPr>
          <w:p>
            <w:r>
              <w:rPr>
                <w:b w:val="false"/>
                <w:bCs w:val="false"/>
                <w:color w:val="000000"/>
                <w:sz w:val="20"/>
                <w:szCs w:val="20"/>
              </w:rPr>
              <w:t xml:space="preserve">[INSERT]</w:t>
            </w:r>
          </w:p>
        </w:tc>
        <w:tc>
          <w:tcPr>
            <w:tcMar>
              <w:top w:type="dxa" w:w="60"/>
              <w:left w:type="dxa" w:w="100"/>
              <w:bottom w:type="dxa" w:w="60"/>
              <w:right w:type="dxa" w:w="100"/>
            </w:tcMar>
          </w:tcPr>
          <w:p>
            <w:r>
              <w:rPr>
                <w:b w:val="false"/>
                <w:bCs w:val="false"/>
                <w:color w:val="000000"/>
                <w:sz w:val="20"/>
                <w:szCs w:val="20"/>
              </w:rPr>
              <w:t xml:space="preserve">[INSERT]</w:t>
            </w:r>
          </w:p>
        </w:tc>
      </w:tr>
      <w:tr>
        <w:tc>
          <w:tcPr>
            <w:shd w:fill="EAF0F6" w:val="clear"/>
            <w:tcMar>
              <w:top w:type="dxa" w:w="60"/>
              <w:left w:type="dxa" w:w="100"/>
              <w:bottom w:type="dxa" w:w="60"/>
              <w:right w:type="dxa" w:w="100"/>
            </w:tcMar>
          </w:tcPr>
          <w:p>
            <w:r>
              <w:rPr>
                <w:b w:val="false"/>
                <w:bCs w:val="false"/>
                <w:color w:val="000000"/>
                <w:sz w:val="20"/>
                <w:szCs w:val="20"/>
              </w:rPr>
              <w:t xml:space="preserve">Gradient-Boosted Trees</w:t>
            </w:r>
          </w:p>
        </w:tc>
        <w:tc>
          <w:tcPr>
            <w:shd w:fill="EAF0F6" w:val="clear"/>
            <w:tcMar>
              <w:top w:type="dxa" w:w="60"/>
              <w:left w:type="dxa" w:w="100"/>
              <w:bottom w:type="dxa" w:w="60"/>
              <w:right w:type="dxa" w:w="100"/>
            </w:tcMar>
          </w:tcPr>
          <w:p>
            <w:r>
              <w:rPr>
                <w:b w:val="false"/>
                <w:bCs w:val="false"/>
                <w:color w:val="000000"/>
                <w:sz w:val="20"/>
                <w:szCs w:val="20"/>
              </w:rPr>
              <w:t xml:space="preserve">[INSERT]</w:t>
            </w:r>
          </w:p>
        </w:tc>
        <w:tc>
          <w:tcPr>
            <w:shd w:fill="EAF0F6" w:val="clear"/>
            <w:tcMar>
              <w:top w:type="dxa" w:w="60"/>
              <w:left w:type="dxa" w:w="100"/>
              <w:bottom w:type="dxa" w:w="60"/>
              <w:right w:type="dxa" w:w="100"/>
            </w:tcMar>
          </w:tcPr>
          <w:p>
            <w:r>
              <w:rPr>
                <w:b w:val="false"/>
                <w:bCs w:val="false"/>
                <w:color w:val="000000"/>
                <w:sz w:val="20"/>
                <w:szCs w:val="20"/>
              </w:rPr>
              <w:t xml:space="preserve">[INSERT]</w:t>
            </w:r>
          </w:p>
        </w:tc>
        <w:tc>
          <w:tcPr>
            <w:shd w:fill="EAF0F6" w:val="clear"/>
            <w:tcMar>
              <w:top w:type="dxa" w:w="60"/>
              <w:left w:type="dxa" w:w="100"/>
              <w:bottom w:type="dxa" w:w="60"/>
              <w:right w:type="dxa" w:w="100"/>
            </w:tcMar>
          </w:tcPr>
          <w:p>
            <w:r>
              <w:rPr>
                <w:b w:val="false"/>
                <w:bCs w:val="false"/>
                <w:color w:val="000000"/>
                <w:sz w:val="20"/>
                <w:szCs w:val="20"/>
              </w:rPr>
              <w:t xml:space="preserve">[INSERT]</w:t>
            </w:r>
          </w:p>
        </w:tc>
        <w:tc>
          <w:tcPr>
            <w:shd w:fill="EAF0F6" w:val="clear"/>
            <w:tcMar>
              <w:top w:type="dxa" w:w="60"/>
              <w:left w:type="dxa" w:w="100"/>
              <w:bottom w:type="dxa" w:w="60"/>
              <w:right w:type="dxa" w:w="100"/>
            </w:tcMar>
          </w:tcPr>
          <w:p>
            <w:r>
              <w:rPr>
                <w:b w:val="false"/>
                <w:bCs w:val="false"/>
                <w:color w:val="000000"/>
                <w:sz w:val="20"/>
                <w:szCs w:val="20"/>
              </w:rPr>
              <w:t xml:space="preserve">[INSERT]</w:t>
            </w:r>
          </w:p>
        </w:tc>
      </w:tr>
    </w:tbl>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44: Three-model training console output</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45: Chart — R² comparison</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46: Chart — MAE comparison</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47: Chart — RMSE comparison</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48: Chart — training time comparison</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49: Chart — model efficiency (R²/sec)</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50: Chart — actual vs predicted</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51: Chart — residual plot</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52: Chart — error distribution</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53: Chart — error box plot per model</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54: Chart — Q-Q plot of residuals</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55: Chart — feature importance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56: CrossValidator console output</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57: Chart — CrossValidator grid results</w:t>
      </w:r>
    </w:p>
    <w:p>
      <w:pPr>
        <w:pStyle w:val="Heading2"/>
        <w:spacing w:after="120" w:before="220"/>
      </w:pPr>
      <w:r>
        <w:rPr>
          <w:b/>
          <w:bCs/>
          <w:color w:val="2E5A88"/>
          <w:sz w:val="26"/>
          <w:szCs w:val="26"/>
        </w:rPr>
        <w:t xml:space="preserve">Compliance Classification Results</w:t>
      </w:r>
    </w:p>
    <w:p>
      <w:pPr>
        <w:spacing w:after="140" w:line="300"/>
        <w:jc w:val="both"/>
      </w:pPr>
      <w:r>
        <w:rPr>
          <w:sz w:val="22"/>
          <w:szCs w:val="22"/>
        </w:rPr>
        <w:t xml:space="preserve">Trips are labelled compliant when the delay lies within the brief's ±2-minute Service Reliability tolerance. A logistic-regression classifier is evaluated with Accuracy, Precision, Recall, F1-score and ROC-AUC, with the confusion matrix and ROC curve visualised below.</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58: Class labels created (compliance)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59: Chart — class balance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60: Classification metrics console output</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61: Chart — classification metrics bar</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62: Chart — confusion matrix</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63: Chart — ROC curve</w:t>
      </w:r>
    </w:p>
    <w:p>
      <w:pPr>
        <w:pStyle w:val="Heading2"/>
        <w:spacing w:after="120" w:before="220"/>
      </w:pPr>
      <w:r>
        <w:rPr>
          <w:b/>
          <w:bCs/>
          <w:color w:val="2E5A88"/>
          <w:sz w:val="26"/>
          <w:szCs w:val="26"/>
        </w:rPr>
        <w:t xml:space="preserve">Route Risk Score Results</w:t>
      </w:r>
    </w:p>
    <w:p>
      <w:pPr>
        <w:spacing w:after="140" w:line="300"/>
        <w:jc w:val="both"/>
      </w:pPr>
      <w:r>
        <w:rPr>
          <w:sz w:val="22"/>
          <w:szCs w:val="22"/>
        </w:rPr>
        <w:t xml:space="preserve">The best model's predictions were combined with headway irregularity and service reliability into the composite Route Risk Score (weights 0.5 / 0.25 / 0.25). The ranked output, component breakdown, distribution, and reliability-versus-delay view identify the routes a transport authority should prioritise, benchmarked against the brief's 85% on-time target.</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70: Route Risk Score top-10 console output</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71: Chart — route risk top 10</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72: Chart — risk score component breakdown</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73: Chart — risk score distribution</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74: Chart — reliability vs delay coloured by risk</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75: Chart — reliability vs 85% target</w:t>
      </w:r>
    </w:p>
    <w:p>
      <w:r>
        <w:br w:type="page"/>
      </w:r>
    </w:p>
    <w:p>
      <w:pPr>
        <w:pStyle w:val="Heading1"/>
        <w:spacing w:after="160" w:before="300"/>
      </w:pPr>
      <w:r>
        <w:rPr>
          <w:b/>
          <w:bCs/>
          <w:color w:val="2E5A88"/>
          <w:sz w:val="32"/>
          <w:szCs w:val="32"/>
        </w:rPr>
        <w:t xml:space="preserve">System Design and Implementation</w:t>
      </w:r>
    </w:p>
    <w:p>
      <w:pPr>
        <w:pStyle w:val="Heading2"/>
        <w:spacing w:after="120" w:before="220"/>
      </w:pPr>
      <w:r>
        <w:rPr>
          <w:b/>
          <w:bCs/>
          <w:color w:val="2E5A88"/>
          <w:sz w:val="26"/>
          <w:szCs w:val="26"/>
        </w:rPr>
        <w:t xml:space="preserve">Architecture and Big Data Evidence</w:t>
      </w:r>
    </w:p>
    <w:p>
      <w:pPr>
        <w:spacing w:after="140" w:line="300"/>
        <w:jc w:val="both"/>
      </w:pPr>
      <w:r>
        <w:rPr>
          <w:sz w:val="22"/>
          <w:szCs w:val="22"/>
        </w:rPr>
        <w:t xml:space="preserve">The layered pipeline is: (1) ingestion of TransXChange XML via a Python parser; (2) PySpark processing — calendar expansion, augmentation, cleaning, caching, Parquet checkpointing; (3) MLlib feature engineering; (4) model comparison + classification; (5) Route Risk Score; (6) secure SQLite storage; (7) Streamlit dashboard. Spark UI evidence (jobs, storage/caching), partition utilisation, SQL, DAG/lazy-evaluation and broadcast-join figures appear below.</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1: Spark environment (version and cores)</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8: Spark UI — Jobs tab (partition/stage evidence)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11: Spark UI — Storage tab (caching evidence)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18: Parquet checkpoint confirmation (data persistence)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35: PySpark SQL query output</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36: Chart — SQL result visualised</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37: Lazy evaluation + DAG explain plan</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69: Broadcast join output (route metadata)</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76: Parameterised SQL console output (secure storage)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77: SQL dump + schema output</w:t>
      </w:r>
    </w:p>
    <w:p>
      <w:pPr>
        <w:pStyle w:val="Heading2"/>
        <w:spacing w:after="120" w:before="220"/>
      </w:pPr>
      <w:r>
        <w:rPr>
          <w:b/>
          <w:bCs/>
          <w:color w:val="2E5A88"/>
          <w:sz w:val="26"/>
          <w:szCs w:val="26"/>
        </w:rPr>
        <w:t xml:space="preserve">User Interface — Streamlit Dashboard</w:t>
      </w:r>
    </w:p>
    <w:p>
      <w:pPr>
        <w:spacing w:after="140" w:line="300"/>
        <w:jc w:val="both"/>
      </w:pPr>
      <w:r>
        <w:rPr>
          <w:sz w:val="22"/>
          <w:szCs w:val="22"/>
        </w:rPr>
        <w:t xml:space="preserve">A professional Streamlit dashboard presents the platform to non-technical stakeholders: an overview with KPI cards, interactive EDA, model performance, the compliance classifier's confusion matrix and ROC curve, a live delay predictor that runs the saved PySpark model on user inputs, and a Route Risk Explorer that queries the SQLite database using parameterised queries only.</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78: Streamlit dashboard — Overview page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79: Streamlit dashboard — Live Delay Predictor</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Figure 80: Streamlit dashboard — Route Risk Explorer</w:t>
      </w:r>
    </w:p>
    <w:p>
      <w:pPr>
        <w:pStyle w:val="Heading2"/>
        <w:spacing w:after="120" w:before="220"/>
      </w:pPr>
      <w:r>
        <w:rPr>
          <w:b/>
          <w:bCs/>
          <w:color w:val="2E5A88"/>
          <w:sz w:val="26"/>
          <w:szCs w:val="26"/>
        </w:rPr>
        <w:t xml:space="preserve">Security Considerations</w:t>
      </w:r>
    </w:p>
    <w:p>
      <w:pPr>
        <w:spacing w:after="140" w:line="300"/>
        <w:jc w:val="both"/>
      </w:pPr>
      <w:r>
        <w:rPr>
          <w:sz w:val="22"/>
          <w:szCs w:val="22"/>
        </w:rPr>
        <w:t xml:space="preserve">All database access — in both the notebook and the dashboard — uses parameterised queries with bound placeholders rather than string concatenation, preventing SQL injection. No hard-coded credentials are used; source data is published under the UK Open Government Licence and contains no personal data.</w:t>
      </w:r>
    </w:p>
    <w:p>
      <w:r>
        <w:br w:type="page"/>
      </w:r>
    </w:p>
    <w:p>
      <w:pPr>
        <w:pStyle w:val="Heading1"/>
        <w:spacing w:after="160" w:before="300"/>
      </w:pPr>
      <w:r>
        <w:rPr>
          <w:b/>
          <w:bCs/>
          <w:color w:val="2E5A88"/>
          <w:sz w:val="32"/>
          <w:szCs w:val="32"/>
        </w:rPr>
        <w:t xml:space="preserve">Critical Reflection</w:t>
      </w:r>
    </w:p>
    <w:p>
      <w:pPr>
        <w:pStyle w:val="Heading2"/>
        <w:spacing w:after="120" w:before="220"/>
      </w:pPr>
      <w:r>
        <w:rPr>
          <w:b/>
          <w:bCs/>
          <w:color w:val="2E5A88"/>
          <w:sz w:val="26"/>
          <w:szCs w:val="26"/>
        </w:rPr>
        <w:t xml:space="preserve">What Worked Well</w:t>
      </w:r>
    </w:p>
    <w:p>
      <w:pPr>
        <w:pStyle w:val="ListParagraph"/>
        <w:numPr>
          <w:ilvl w:val="0"/>
          <w:numId w:val="1"/>
        </w:numPr>
        <w:spacing w:after="80" w:line="290"/>
      </w:pPr>
      <w:r>
        <w:rPr>
          <w:sz w:val="22"/>
          <w:szCs w:val="22"/>
        </w:rPr>
        <w:t xml:space="preserve">The parser handled all 151 real TransXChange files with zero errors.</w:t>
      </w:r>
    </w:p>
    <w:p>
      <w:pPr>
        <w:pStyle w:val="ListParagraph"/>
        <w:numPr>
          <w:ilvl w:val="0"/>
          <w:numId w:val="1"/>
        </w:numPr>
        <w:spacing w:after="80" w:line="290"/>
      </w:pPr>
      <w:r>
        <w:rPr>
          <w:sz w:val="22"/>
          <w:szCs w:val="22"/>
        </w:rPr>
        <w:t xml:space="preserve">Calendar expansion produced a genuinely large dataset, giving PySpark real distributed work.</w:t>
      </w:r>
    </w:p>
    <w:p>
      <w:pPr>
        <w:pStyle w:val="ListParagraph"/>
        <w:numPr>
          <w:ilvl w:val="0"/>
          <w:numId w:val="1"/>
        </w:numPr>
        <w:spacing w:after="80" w:line="290"/>
      </w:pPr>
      <w:r>
        <w:rPr>
          <w:sz w:val="22"/>
          <w:szCs w:val="22"/>
        </w:rPr>
        <w:t xml:space="preserve">Caching, repartitioning and a broadcast join improved iterative performance measurably.</w:t>
      </w:r>
    </w:p>
    <w:p>
      <w:pPr>
        <w:pStyle w:val="ListParagraph"/>
        <w:numPr>
          <w:ilvl w:val="0"/>
          <w:numId w:val="1"/>
        </w:numPr>
        <w:spacing w:after="80" w:line="290"/>
      </w:pPr>
      <w:r>
        <w:rPr>
          <w:sz w:val="22"/>
          <w:szCs w:val="22"/>
        </w:rPr>
        <w:t xml:space="preserve">The composite Route Risk Score and dashboard turn predictions into a stakeholder deliverable.</w:t>
      </w:r>
    </w:p>
    <w:p>
      <w:pPr>
        <w:pStyle w:val="Heading2"/>
        <w:spacing w:after="120" w:before="220"/>
      </w:pPr>
      <w:r>
        <w:rPr>
          <w:b/>
          <w:bCs/>
          <w:color w:val="2E5A88"/>
          <w:sz w:val="26"/>
          <w:szCs w:val="26"/>
        </w:rPr>
        <w:t xml:space="preserve">Memory-versus-Distributed Trade-off</w:t>
      </w:r>
    </w:p>
    <w:p>
      <w:pPr>
        <w:spacing w:after="140" w:line="300"/>
        <w:jc w:val="both"/>
      </w:pPr>
      <w:r>
        <w:rPr>
          <w:sz w:val="22"/>
          <w:szCs w:val="22"/>
        </w:rPr>
        <w:t xml:space="preserve">XML parsing was driver-side because TransXChange's nested structure is not Spark-native and, at 151 files, distribution adds overhead without benefit. Calendar expansion, cleaning and training operate on millions of rows and require distribution. This division of labour is a conscious decision.</w:t>
      </w:r>
    </w:p>
    <w:p>
      <w:pPr>
        <w:pStyle w:val="Heading2"/>
        <w:spacing w:after="120" w:before="220"/>
      </w:pPr>
      <w:r>
        <w:rPr>
          <w:b/>
          <w:bCs/>
          <w:color w:val="2E5A88"/>
          <w:sz w:val="26"/>
          <w:szCs w:val="26"/>
        </w:rPr>
        <w:t xml:space="preserve">Limitations</w:t>
      </w:r>
    </w:p>
    <w:p>
      <w:pPr>
        <w:pStyle w:val="ListParagraph"/>
        <w:numPr>
          <w:ilvl w:val="0"/>
          <w:numId w:val="1"/>
        </w:numPr>
        <w:spacing w:after="80" w:line="290"/>
      </w:pPr>
      <w:r>
        <w:rPr>
          <w:sz w:val="22"/>
          <w:szCs w:val="22"/>
        </w:rPr>
        <w:t xml:space="preserve">Delay values are synthetic and not validated against real observed delay, so metrics demonstrate pipeline correctness rather than literal real-world accuracy.</w:t>
      </w:r>
    </w:p>
    <w:p>
      <w:pPr>
        <w:pStyle w:val="ListParagraph"/>
        <w:numPr>
          <w:ilvl w:val="0"/>
          <w:numId w:val="1"/>
        </w:numPr>
        <w:spacing w:after="80" w:line="290"/>
      </w:pPr>
      <w:r>
        <w:rPr>
          <w:sz w:val="22"/>
          <w:szCs w:val="22"/>
        </w:rPr>
        <w:t xml:space="preserve">Travel Time Variability and passenger-load-based Service Efficiency were not computed, as the required data is unavailable through the BODS free tier.</w:t>
      </w:r>
    </w:p>
    <w:p>
      <w:pPr>
        <w:pStyle w:val="ListParagraph"/>
        <w:numPr>
          <w:ilvl w:val="0"/>
          <w:numId w:val="1"/>
        </w:numPr>
        <w:spacing w:after="80" w:line="290"/>
      </w:pPr>
      <w:r>
        <w:rPr>
          <w:sz w:val="22"/>
          <w:szCs w:val="22"/>
        </w:rPr>
        <w:t xml:space="preserve">The Route Risk Score weighting is a documented default rather than one calibrated against real stakeholder priorities.</w:t>
      </w:r>
    </w:p>
    <w:p>
      <w:pPr>
        <w:pStyle w:val="Heading2"/>
        <w:spacing w:after="120" w:before="220"/>
      </w:pPr>
      <w:r>
        <w:rPr>
          <w:b/>
          <w:bCs/>
          <w:color w:val="2E5A88"/>
          <w:sz w:val="26"/>
          <w:szCs w:val="26"/>
        </w:rPr>
        <w:t xml:space="preserve">Future Work</w:t>
      </w:r>
    </w:p>
    <w:p>
      <w:pPr>
        <w:spacing w:after="140" w:line="300"/>
        <w:jc w:val="both"/>
      </w:pPr>
      <w:r>
        <w:rPr>
          <w:sz w:val="22"/>
          <w:szCs w:val="22"/>
        </w:rPr>
        <w:t xml:space="preserve">Future work could poll the live BODS feed to build a real historical archive replacing synthetic delay, add weather and event features, and extend the dashboard with live-feed monitoring.</w:t>
      </w:r>
    </w:p>
    <w:p>
      <w:pPr>
        <w:pStyle w:val="Heading2"/>
        <w:spacing w:after="120" w:before="220"/>
      </w:pPr>
      <w:r>
        <w:rPr>
          <w:b/>
          <w:bCs/>
          <w:color w:val="2E5A88"/>
          <w:sz w:val="26"/>
          <w:szCs w:val="26"/>
        </w:rPr>
        <w:t xml:space="preserve">Ethical, Legal and Social Considerations</w:t>
      </w:r>
    </w:p>
    <w:p>
      <w:pPr>
        <w:spacing w:after="140" w:line="300"/>
        <w:jc w:val="both"/>
      </w:pPr>
      <w:r>
        <w:rPr>
          <w:sz w:val="22"/>
          <w:szCs w:val="22"/>
        </w:rPr>
        <w:t xml:space="preserve">All data is used under the Open Government Licence with no personal information (GDPR-compliant). Synthetic generation is documented to avoid misrepresenting findings. A route-prioritisation tool carries fairness risk: uncritical use could deprioritise routes serving lower-income areas, so human oversight is essential.</w:t>
      </w:r>
    </w:p>
    <w:p>
      <w:r>
        <w:br w:type="page"/>
      </w:r>
    </w:p>
    <w:p>
      <w:pPr>
        <w:pStyle w:val="Heading1"/>
        <w:spacing w:after="160" w:before="300"/>
      </w:pPr>
      <w:r>
        <w:rPr>
          <w:b/>
          <w:bCs/>
          <w:color w:val="2E5A88"/>
          <w:sz w:val="32"/>
          <w:szCs w:val="32"/>
        </w:rPr>
        <w:t xml:space="preserve">Conclusion</w:t>
      </w:r>
    </w:p>
    <w:p>
      <w:pPr>
        <w:spacing w:after="140" w:line="300"/>
        <w:jc w:val="both"/>
      </w:pPr>
      <w:r>
        <w:rPr>
          <w:sz w:val="22"/>
          <w:szCs w:val="22"/>
        </w:rPr>
        <w:t xml:space="preserve">This project delivered a complete big-data platform: real bus timetables ingested at scale, a documented synthetic delay signal, millions of records processed in PySpark, three regression models compared with cross-validated tuning, a compliance classifier evaluated with the full classification metric set, a composite Route Risk Score, secure SQLite storage, and an interactive Streamlit dashboard with live prediction. It meets learning outcomes B1, B2, B4, B6, B7 and B8. While synthetic delay limits real-world accuracy claims, the pipeline is reproducible, scalable and applicable to a genuine smart-city problem.</w:t>
      </w:r>
    </w:p>
    <w:p>
      <w:r>
        <w:br w:type="page"/>
      </w:r>
    </w:p>
    <w:p>
      <w:pPr>
        <w:pStyle w:val="Heading1"/>
        <w:spacing w:after="160" w:before="300"/>
      </w:pPr>
      <w:r>
        <w:rPr>
          <w:b/>
          <w:bCs/>
          <w:color w:val="2E5A88"/>
          <w:sz w:val="32"/>
          <w:szCs w:val="32"/>
        </w:rPr>
        <w:t xml:space="preserve">References</w:t>
      </w:r>
    </w:p>
    <w:p>
      <w:pPr>
        <w:spacing w:after="120" w:line="280"/>
        <w:ind w:left="720" w:hanging="720"/>
      </w:pPr>
      <w:r>
        <w:rPr>
          <w:sz w:val="22"/>
          <w:szCs w:val="22"/>
        </w:rPr>
        <w:t xml:space="preserve">Apache Spark. (2023). Apache Spark™ — Unified engine for large-scale data analytics [Computer software]. https://spark.apache.org</w:t>
      </w:r>
    </w:p>
    <w:p>
      <w:pPr>
        <w:spacing w:after="120" w:line="280"/>
        <w:ind w:left="720" w:hanging="720"/>
      </w:pPr>
      <w:r>
        <w:rPr>
          <w:sz w:val="22"/>
          <w:szCs w:val="22"/>
        </w:rPr>
        <w:t xml:space="preserve">Breiman, L. (2001). Random forests. Machine Learning, 45(1), 5–32. https://doi.org/10.1023/A:1010933404324</w:t>
      </w:r>
    </w:p>
    <w:p>
      <w:pPr>
        <w:spacing w:after="120" w:line="280"/>
        <w:ind w:left="720" w:hanging="720"/>
      </w:pPr>
      <w:r>
        <w:rPr>
          <w:sz w:val="22"/>
          <w:szCs w:val="22"/>
        </w:rPr>
        <w:t xml:space="preserve">Chen, T., &amp; Guestrin, C. (2016). XGBoost: A scalable tree boosting system. In Proceedings of the 22nd ACM SIGKDD International Conference on Knowledge Discovery and Data Mining (pp. 785–794). ACM. https://doi.org/10.1145/2939672.2939785</w:t>
      </w:r>
    </w:p>
    <w:p>
      <w:pPr>
        <w:spacing w:after="120" w:line="280"/>
        <w:ind w:left="720" w:hanging="720"/>
      </w:pPr>
      <w:r>
        <w:rPr>
          <w:sz w:val="22"/>
          <w:szCs w:val="22"/>
        </w:rPr>
        <w:t xml:space="preserve">Department for Transport. (2023). Bus Open Data Service (BODS). https://data.bus-data.dft.gov.uk/</w:t>
      </w:r>
    </w:p>
    <w:p>
      <w:pPr>
        <w:spacing w:after="120" w:line="280"/>
        <w:ind w:left="720" w:hanging="720"/>
      </w:pPr>
      <w:r>
        <w:rPr>
          <w:sz w:val="22"/>
          <w:szCs w:val="22"/>
        </w:rPr>
        <w:t xml:space="preserve">Hunter, J. D. (2007). Matplotlib: A 2D graphics environment. Computing in Science &amp; Engineering, 9(3), 90–95. https://doi.org/10.1109/MCSE.2007.55</w:t>
      </w:r>
    </w:p>
    <w:p>
      <w:pPr>
        <w:spacing w:after="120" w:line="280"/>
        <w:ind w:left="720" w:hanging="720"/>
      </w:pPr>
      <w:r>
        <w:rPr>
          <w:sz w:val="22"/>
          <w:szCs w:val="22"/>
        </w:rPr>
        <w:t xml:space="preserve">Mazloumi, E., Currie, G., &amp; Rose, G. (2010). Using GPS data to gain insight into public transport travel time variability. Journal of Transportation Engineering, 136(7), 623–631. https://doi.org/10.1061/(ASCE)TE.1943-5436.0000126</w:t>
      </w:r>
    </w:p>
    <w:p>
      <w:pPr>
        <w:spacing w:after="120" w:line="280"/>
        <w:ind w:left="720" w:hanging="720"/>
      </w:pPr>
      <w:r>
        <w:rPr>
          <w:sz w:val="22"/>
          <w:szCs w:val="22"/>
        </w:rPr>
        <w:t xml:space="preserve">McKinney, W. (2010). Data structures for statistical computing in Python. In Proceedings of the 9th Python in Science Conference (pp. 56–61). https://doi.org/10.25080/Majora-92bf1922-00a</w:t>
      </w:r>
    </w:p>
    <w:p>
      <w:pPr>
        <w:spacing w:after="120" w:line="280"/>
        <w:ind w:left="720" w:hanging="720"/>
      </w:pPr>
      <w:r>
        <w:rPr>
          <w:sz w:val="22"/>
          <w:szCs w:val="22"/>
        </w:rPr>
        <w:t xml:space="preserve">PySpark. (2023). PySpark documentation (Version 3.4) [Computer software]. Apache Software Foundation. https://spark.apache.org/docs/latest/api/python/</w:t>
      </w:r>
    </w:p>
    <w:p>
      <w:pPr>
        <w:spacing w:after="120" w:line="280"/>
        <w:ind w:left="720" w:hanging="720"/>
      </w:pPr>
      <w:r>
        <w:rPr>
          <w:sz w:val="22"/>
          <w:szCs w:val="22"/>
        </w:rPr>
        <w:t xml:space="preserve">Streamlit Inc. (2024). Streamlit — A faster way to build and share data apps [Computer software]. https://streamlit.io</w:t>
      </w:r>
    </w:p>
    <w:p>
      <w:pPr>
        <w:spacing w:after="120" w:line="280"/>
        <w:ind w:left="720" w:hanging="720"/>
      </w:pPr>
      <w:r>
        <w:rPr>
          <w:sz w:val="22"/>
          <w:szCs w:val="22"/>
        </w:rPr>
        <w:t xml:space="preserve">Zaharia, M., Xin, R. S., Wendell, P., Das, T., Armbrust, M., Dave, A., ... Stoica, I. (2016). Apache Spark: A unified engine for big data processing. Communications of the ACM, 59(11), 56–65. https://doi.org/10.1145/2934664</w:t>
      </w:r>
    </w:p>
    <w:p>
      <w:r>
        <w:br w:type="page"/>
      </w:r>
    </w:p>
    <w:p>
      <w:pPr>
        <w:pStyle w:val="Heading1"/>
        <w:spacing w:after="160" w:before="300"/>
      </w:pPr>
      <w:r>
        <w:rPr>
          <w:b/>
          <w:bCs/>
          <w:color w:val="2E5A88"/>
          <w:sz w:val="32"/>
          <w:szCs w:val="32"/>
        </w:rPr>
        <w:t xml:space="preserve">Appendix</w:t>
      </w:r>
    </w:p>
    <w:p>
      <w:pPr>
        <w:spacing w:after="140" w:line="300"/>
        <w:jc w:val="both"/>
      </w:pPr>
      <w:r>
        <w:rPr>
          <w:sz w:val="22"/>
          <w:szCs w:val="22"/>
        </w:rPr>
        <w:t xml:space="preserve">GitHub Repository: [Insert your GitHub link here]</w:t>
      </w:r>
    </w:p>
    <w:p>
      <w:pPr>
        <w:spacing w:after="140" w:line="300"/>
        <w:jc w:val="both"/>
      </w:pPr>
      <w:r>
        <w:rPr>
          <w:sz w:val="22"/>
          <w:szCs w:val="22"/>
        </w:rPr>
        <w:t xml:space="preserve">The complete implementation is provided in the accompanying Jupyter notebook (bus_delay_risk_scoring.ipynb) and dashboard (app.py). Screenshot key code sections below.</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Appendix A: XML parsing code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Appendix B: Model training, comparison &amp; CrossValidator code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Appendix C: Compliance classifier code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Appendix D: Route Risk Score code</w:t>
      </w:r>
    </w:p>
    <w:tbl>
      <w:tblPr>
        <w:tblW w:type="pct" w:w="100%"/>
        <w:tblBorders>
          <w:top w:val="dashed" w:color="2E5A88" w:sz="6"/>
          <w:left w:val="dashed" w:color="2E5A88" w:sz="6"/>
          <w:bottom w:val="dashed" w:color="2E5A88" w:sz="6"/>
          <w:right w:val="dashed" w:color="2E5A88" w:sz="6"/>
          <w:insideH w:val="single" w:color="auto" w:sz="4"/>
          <w:insideV w:val="single" w:color="auto" w:sz="4"/>
        </w:tblBorders>
      </w:tblPr>
      <w:tblGrid>
        <w:gridCol w:w="100"/>
      </w:tblGrid>
      <w:tr>
        <w:tc>
          <w:tcPr>
            <w:shd w:fill="EAF0F6" w:val="clear"/>
            <w:tcMar>
              <w:top w:type="dxa" w:w="200"/>
              <w:left w:type="dxa" w:w="200"/>
              <w:bottom w:type="dxa" w:w="200"/>
              <w:right w:type="dxa" w:w="200"/>
            </w:tcMar>
          </w:tcPr>
          <w:p>
            <w:pPr>
              <w:jc w:val="center"/>
            </w:pPr>
            <w:r>
              <w:rPr>
                <w:b/>
                <w:bCs/>
                <w:color w:val="2E5A88"/>
                <w:sz w:val="22"/>
                <w:szCs w:val="22"/>
              </w:rPr>
              <w:t xml:space="preserve">📷  PLACE SCREENSHOT / IMAGE HERE</w:t>
            </w:r>
          </w:p>
        </w:tc>
      </w:tr>
    </w:tbl>
    <w:p>
      <w:pPr>
        <w:spacing w:after="200" w:before="60"/>
        <w:jc w:val="center"/>
      </w:pPr>
      <w:r>
        <w:rPr>
          <w:i/>
          <w:iCs/>
          <w:color w:val="555555"/>
          <w:sz w:val="20"/>
          <w:szCs w:val="20"/>
        </w:rPr>
        <w:t xml:space="preserve">Appendix E: Streamlit app code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2026-07-18T09:07:15.899Z</dcterms:created>
  <dcterms:modified xsi:type="dcterms:W3CDTF">2026-07-18T09:07:15.912Z</dcterms:modified>
</cp:coreProperties>
</file>

<file path=docProps/custom.xml><?xml version="1.0" encoding="utf-8"?>
<Properties xmlns="http://schemas.openxmlformats.org/officeDocument/2006/custom-properties" xmlns:vt="http://schemas.openxmlformats.org/officeDocument/2006/docPropsVTypes"/>
</file>