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6AA52" w14:textId="014C2DFA" w:rsidR="00663E65" w:rsidRPr="00C061A8" w:rsidRDefault="00C061A8" w:rsidP="00C061A8">
      <w:pPr>
        <w:jc w:val="center"/>
        <w:rPr>
          <w:sz w:val="40"/>
          <w:szCs w:val="40"/>
        </w:rPr>
      </w:pPr>
      <w:r w:rsidRPr="00C061A8">
        <w:rPr>
          <w:sz w:val="40"/>
          <w:szCs w:val="40"/>
        </w:rPr>
        <w:t>S&amp;P 500</w:t>
      </w:r>
    </w:p>
    <w:p w14:paraId="6F29B4BA" w14:textId="7855B270" w:rsidR="00C061A8" w:rsidRPr="00C061A8" w:rsidRDefault="00C061A8" w:rsidP="00C061A8">
      <w:pPr>
        <w:jc w:val="center"/>
        <w:rPr>
          <w:sz w:val="40"/>
          <w:szCs w:val="40"/>
        </w:rPr>
      </w:pPr>
      <w:r w:rsidRPr="00C061A8">
        <w:rPr>
          <w:sz w:val="40"/>
          <w:szCs w:val="40"/>
        </w:rPr>
        <w:t>Time Series analysis</w:t>
      </w:r>
    </w:p>
    <w:p w14:paraId="0A0DE76D" w14:textId="6BDF3D28" w:rsidR="00C061A8" w:rsidRPr="00C061A8" w:rsidRDefault="00C061A8" w:rsidP="00C061A8">
      <w:pPr>
        <w:jc w:val="center"/>
        <w:rPr>
          <w:sz w:val="40"/>
          <w:szCs w:val="40"/>
        </w:rPr>
      </w:pPr>
      <w:r w:rsidRPr="00C061A8">
        <w:rPr>
          <w:sz w:val="40"/>
          <w:szCs w:val="40"/>
        </w:rPr>
        <w:t xml:space="preserve">Roi Hezkiyahu </w:t>
      </w:r>
      <w:r w:rsidRPr="00C061A8">
        <w:rPr>
          <w:sz w:val="40"/>
          <w:szCs w:val="40"/>
        </w:rPr>
        <w:t>205884018</w:t>
      </w:r>
    </w:p>
    <w:p w14:paraId="6F9CB867" w14:textId="49D7D434" w:rsidR="00C061A8" w:rsidRDefault="00C061A8" w:rsidP="00C061A8">
      <w:pPr>
        <w:jc w:val="center"/>
        <w:rPr>
          <w:sz w:val="40"/>
          <w:szCs w:val="40"/>
        </w:rPr>
      </w:pPr>
      <w:r w:rsidRPr="00C061A8">
        <w:rPr>
          <w:sz w:val="40"/>
          <w:szCs w:val="40"/>
        </w:rPr>
        <w:t>Tel Aviv University</w:t>
      </w:r>
    </w:p>
    <w:p w14:paraId="77F4A581" w14:textId="77777777" w:rsidR="00C061A8" w:rsidRDefault="00C061A8">
      <w:pPr>
        <w:bidi w:val="0"/>
        <w:rPr>
          <w:sz w:val="40"/>
          <w:szCs w:val="40"/>
        </w:rPr>
      </w:pPr>
      <w:r>
        <w:rPr>
          <w:sz w:val="40"/>
          <w:szCs w:val="40"/>
        </w:rPr>
        <w:br w:type="page"/>
      </w:r>
    </w:p>
    <w:p w14:paraId="45F1019E" w14:textId="691E22B9" w:rsidR="00C061A8" w:rsidRPr="00B74EAD" w:rsidRDefault="00C061A8" w:rsidP="00C061A8">
      <w:pPr>
        <w:pStyle w:val="ListParagraph"/>
        <w:numPr>
          <w:ilvl w:val="0"/>
          <w:numId w:val="1"/>
        </w:numPr>
        <w:bidi w:val="0"/>
        <w:rPr>
          <w:rFonts w:asciiTheme="minorBidi" w:hAnsiTheme="minorBidi"/>
          <w:b/>
          <w:bCs/>
          <w:u w:val="single"/>
        </w:rPr>
      </w:pPr>
      <w:r w:rsidRPr="00B74EAD">
        <w:rPr>
          <w:rFonts w:asciiTheme="minorBidi" w:hAnsiTheme="minorBidi"/>
          <w:b/>
          <w:bCs/>
          <w:u w:val="single"/>
        </w:rPr>
        <w:lastRenderedPageBreak/>
        <w:t>Introduction</w:t>
      </w:r>
    </w:p>
    <w:p w14:paraId="33568EEB" w14:textId="53230A1D" w:rsidR="00B74EAD" w:rsidRDefault="00B74EAD" w:rsidP="00B74EAD">
      <w:pPr>
        <w:pStyle w:val="ListParagraph"/>
        <w:bidi w:val="0"/>
        <w:ind w:left="360"/>
        <w:rPr>
          <w:rFonts w:asciiTheme="minorBidi" w:hAnsiTheme="minorBidi" w:cs="Arial"/>
        </w:rPr>
      </w:pPr>
      <w:r w:rsidRPr="00B74EAD">
        <w:rPr>
          <w:rFonts w:asciiTheme="minorBidi" w:hAnsiTheme="minorBidi"/>
        </w:rPr>
        <w:t>The S&amp;P 500</w:t>
      </w:r>
      <w:r>
        <w:rPr>
          <w:rFonts w:asciiTheme="minorBidi" w:hAnsiTheme="minorBidi"/>
        </w:rPr>
        <w:t xml:space="preserve"> (</w:t>
      </w:r>
      <w:r w:rsidRPr="00B74EAD">
        <w:rPr>
          <w:rFonts w:asciiTheme="minorBidi" w:hAnsiTheme="minorBidi"/>
        </w:rPr>
        <w:t>Standard &amp; Poor’s 500)</w:t>
      </w:r>
      <w:r w:rsidRPr="00B74EAD">
        <w:rPr>
          <w:rFonts w:asciiTheme="minorBidi" w:hAnsiTheme="minorBidi"/>
        </w:rPr>
        <w:t xml:space="preserve"> is a market index representing the stock performance of 500 large companies on US stock exchanges. It's widely regarded as the best single gauge of large-cap U.S. equities and a key indicator of the health of the economy. This report </w:t>
      </w:r>
      <w:r>
        <w:rPr>
          <w:rFonts w:asciiTheme="minorBidi" w:hAnsiTheme="minorBidi"/>
        </w:rPr>
        <w:t>is an</w:t>
      </w:r>
      <w:r w:rsidRPr="00B74EAD">
        <w:rPr>
          <w:rFonts w:asciiTheme="minorBidi" w:hAnsiTheme="minorBidi"/>
        </w:rPr>
        <w:t xml:space="preserve"> </w:t>
      </w:r>
      <w:r>
        <w:rPr>
          <w:rFonts w:asciiTheme="minorBidi" w:hAnsiTheme="minorBidi"/>
        </w:rPr>
        <w:t>analysis of</w:t>
      </w:r>
      <w:r w:rsidRPr="00B74EAD">
        <w:rPr>
          <w:rFonts w:asciiTheme="minorBidi" w:hAnsiTheme="minorBidi"/>
        </w:rPr>
        <w:t xml:space="preserve"> the S&amp;P 500's daily closing prices from 1950 to 2020</w:t>
      </w:r>
      <w:r w:rsidR="00095343">
        <w:rPr>
          <w:rFonts w:asciiTheme="minorBidi" w:hAnsiTheme="minorBidi"/>
        </w:rPr>
        <w:t xml:space="preserve"> taken from Kaggle [1]</w:t>
      </w:r>
      <w:r w:rsidRPr="00B74EAD">
        <w:rPr>
          <w:rFonts w:asciiTheme="minorBidi" w:hAnsiTheme="minorBidi"/>
        </w:rPr>
        <w:t xml:space="preserve">, aiming to uncover trends, seasonal variations, and forecast future closing </w:t>
      </w:r>
      <w:r w:rsidRPr="00B74EAD">
        <w:rPr>
          <w:rFonts w:asciiTheme="minorBidi" w:hAnsiTheme="minorBidi"/>
        </w:rPr>
        <w:t>prices</w:t>
      </w:r>
      <w:r>
        <w:rPr>
          <w:rFonts w:asciiTheme="minorBidi" w:hAnsiTheme="minorBidi"/>
        </w:rPr>
        <w:t xml:space="preserve"> </w:t>
      </w:r>
      <w:r w:rsidRPr="00B74EAD">
        <w:rPr>
          <w:rFonts w:asciiTheme="minorBidi" w:hAnsiTheme="minorBidi"/>
        </w:rPr>
        <w:t>for the next year</w:t>
      </w:r>
      <w:r w:rsidRPr="00B74EAD">
        <w:rPr>
          <w:rFonts w:asciiTheme="minorBidi" w:hAnsiTheme="minorBidi" w:cs="Arial"/>
          <w:rtl/>
        </w:rPr>
        <w:t>.</w:t>
      </w:r>
    </w:p>
    <w:p w14:paraId="0CB0B002" w14:textId="77777777" w:rsidR="00F66D65" w:rsidRPr="00B74EAD" w:rsidRDefault="00F66D65" w:rsidP="00F66D65">
      <w:pPr>
        <w:pStyle w:val="ListParagraph"/>
        <w:bidi w:val="0"/>
        <w:ind w:left="360"/>
        <w:rPr>
          <w:rFonts w:asciiTheme="minorBidi" w:hAnsiTheme="minorBidi"/>
        </w:rPr>
      </w:pPr>
    </w:p>
    <w:p w14:paraId="0A5D1519" w14:textId="15016ADB" w:rsidR="002F57D7" w:rsidRPr="00B74EAD" w:rsidRDefault="002F57D7" w:rsidP="002F57D7">
      <w:pPr>
        <w:pStyle w:val="ListParagraph"/>
        <w:numPr>
          <w:ilvl w:val="0"/>
          <w:numId w:val="1"/>
        </w:numPr>
        <w:bidi w:val="0"/>
        <w:rPr>
          <w:rFonts w:asciiTheme="minorBidi" w:hAnsiTheme="minorBidi"/>
          <w:b/>
          <w:bCs/>
          <w:u w:val="single"/>
        </w:rPr>
      </w:pPr>
      <w:r w:rsidRPr="00B74EAD">
        <w:rPr>
          <w:rFonts w:asciiTheme="minorBidi" w:hAnsiTheme="minorBidi"/>
          <w:b/>
          <w:bCs/>
          <w:u w:val="single"/>
        </w:rPr>
        <w:t>Explanatory Data Analysis</w:t>
      </w:r>
    </w:p>
    <w:p w14:paraId="10E6FBB4" w14:textId="3693751E" w:rsidR="002F57D7" w:rsidRPr="00B74EAD" w:rsidRDefault="002F57D7" w:rsidP="002F57D7">
      <w:pPr>
        <w:pStyle w:val="ListParagraph"/>
        <w:bidi w:val="0"/>
        <w:ind w:left="360"/>
        <w:rPr>
          <w:rFonts w:asciiTheme="minorBidi" w:hAnsiTheme="minorBidi"/>
        </w:rPr>
      </w:pPr>
      <w:r w:rsidRPr="00B74EAD">
        <w:rPr>
          <w:rFonts w:asciiTheme="minorBidi" w:hAnsiTheme="minorBidi"/>
        </w:rPr>
        <w:t xml:space="preserve">By looking at figure 1 we can see that the data has some exponential trend so we will continue the analysis and the rest of the work with the Log close price which has a more linear trend (figure 2) </w:t>
      </w:r>
    </w:p>
    <w:p w14:paraId="143FACFF" w14:textId="5D96F548" w:rsidR="002F57D7" w:rsidRPr="00B74EAD" w:rsidRDefault="002F57D7" w:rsidP="002F57D7">
      <w:pPr>
        <w:pStyle w:val="ListParagraph"/>
        <w:bidi w:val="0"/>
        <w:ind w:left="360"/>
        <w:rPr>
          <w:rFonts w:asciiTheme="minorBidi" w:hAnsiTheme="minorBidi"/>
        </w:rPr>
      </w:pPr>
      <w:r w:rsidRPr="00B74EAD">
        <w:rPr>
          <w:rFonts w:asciiTheme="minorBidi" w:hAnsiTheme="minorBidi"/>
          <w:noProof/>
        </w:rPr>
        <w:drawing>
          <wp:anchor distT="0" distB="0" distL="114300" distR="114300" simplePos="0" relativeHeight="251658240" behindDoc="1" locked="0" layoutInCell="1" allowOverlap="1" wp14:anchorId="2F5FA1AD" wp14:editId="37E210A9">
            <wp:simplePos x="0" y="0"/>
            <wp:positionH relativeFrom="column">
              <wp:posOffset>-137160</wp:posOffset>
            </wp:positionH>
            <wp:positionV relativeFrom="paragraph">
              <wp:posOffset>201930</wp:posOffset>
            </wp:positionV>
            <wp:extent cx="5461000" cy="2734945"/>
            <wp:effectExtent l="0" t="0" r="6350" b="8255"/>
            <wp:wrapTopAndBottom/>
            <wp:docPr id="18593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1000" cy="2734945"/>
                    </a:xfrm>
                    <a:prstGeom prst="rect">
                      <a:avLst/>
                    </a:prstGeom>
                    <a:noFill/>
                    <a:ln>
                      <a:noFill/>
                    </a:ln>
                  </pic:spPr>
                </pic:pic>
              </a:graphicData>
            </a:graphic>
            <wp14:sizeRelH relativeFrom="margin">
              <wp14:pctWidth>0</wp14:pctWidth>
            </wp14:sizeRelH>
          </wp:anchor>
        </w:drawing>
      </w:r>
    </w:p>
    <w:p w14:paraId="71DB354E" w14:textId="3B039E71" w:rsidR="00C061A8" w:rsidRPr="00B74EAD" w:rsidRDefault="002F57D7" w:rsidP="002F57D7">
      <w:pPr>
        <w:pStyle w:val="Caption"/>
        <w:bidi w:val="0"/>
        <w:rPr>
          <w:rFonts w:asciiTheme="minorBidi" w:hAnsiTheme="minorBidi"/>
          <w:sz w:val="22"/>
          <w:szCs w:val="22"/>
        </w:rPr>
      </w:pPr>
      <w:r w:rsidRPr="00B74EAD">
        <w:rPr>
          <w:rFonts w:asciiTheme="minorBidi" w:hAnsiTheme="minorBidi"/>
          <w:sz w:val="22"/>
          <w:szCs w:val="22"/>
        </w:rPr>
        <w:t xml:space="preserve">Figure </w:t>
      </w:r>
      <w:r w:rsidRPr="00B74EAD">
        <w:rPr>
          <w:rFonts w:asciiTheme="minorBidi" w:hAnsiTheme="minorBidi"/>
          <w:sz w:val="22"/>
          <w:szCs w:val="22"/>
        </w:rPr>
        <w:fldChar w:fldCharType="begin"/>
      </w:r>
      <w:r w:rsidRPr="00B74EAD">
        <w:rPr>
          <w:rFonts w:asciiTheme="minorBidi" w:hAnsiTheme="minorBidi"/>
          <w:sz w:val="22"/>
          <w:szCs w:val="22"/>
        </w:rPr>
        <w:instrText xml:space="preserve"> SEQ Figure \* ARABIC </w:instrText>
      </w:r>
      <w:r w:rsidRPr="00B74EAD">
        <w:rPr>
          <w:rFonts w:asciiTheme="minorBidi" w:hAnsiTheme="minorBidi"/>
          <w:sz w:val="22"/>
          <w:szCs w:val="22"/>
        </w:rPr>
        <w:fldChar w:fldCharType="separate"/>
      </w:r>
      <w:r w:rsidR="00CD776E">
        <w:rPr>
          <w:rFonts w:asciiTheme="minorBidi" w:hAnsiTheme="minorBidi"/>
          <w:noProof/>
          <w:sz w:val="22"/>
          <w:szCs w:val="22"/>
        </w:rPr>
        <w:t>1</w:t>
      </w:r>
      <w:r w:rsidRPr="00B74EAD">
        <w:rPr>
          <w:rFonts w:asciiTheme="minorBidi" w:hAnsiTheme="minorBidi"/>
          <w:sz w:val="22"/>
          <w:szCs w:val="22"/>
        </w:rPr>
        <w:fldChar w:fldCharType="end"/>
      </w:r>
      <w:r w:rsidRPr="00B74EAD">
        <w:rPr>
          <w:rFonts w:asciiTheme="minorBidi" w:hAnsiTheme="minorBidi"/>
          <w:sz w:val="22"/>
          <w:szCs w:val="22"/>
        </w:rPr>
        <w:t xml:space="preserve">: Close price of the S&amp;P 500 stock index each day from </w:t>
      </w:r>
      <w:proofErr w:type="gramStart"/>
      <w:r w:rsidRPr="00B74EAD">
        <w:rPr>
          <w:rFonts w:asciiTheme="minorBidi" w:hAnsiTheme="minorBidi"/>
          <w:sz w:val="22"/>
          <w:szCs w:val="22"/>
        </w:rPr>
        <w:t>1950-2020</w:t>
      </w:r>
      <w:proofErr w:type="gramEnd"/>
    </w:p>
    <w:p w14:paraId="698D70E1" w14:textId="77777777" w:rsidR="002F57D7" w:rsidRPr="00B74EAD" w:rsidRDefault="002F57D7" w:rsidP="002F57D7">
      <w:pPr>
        <w:keepNext/>
        <w:bidi w:val="0"/>
        <w:rPr>
          <w:rFonts w:asciiTheme="minorBidi" w:hAnsiTheme="minorBidi"/>
        </w:rPr>
      </w:pPr>
      <w:r w:rsidRPr="00B74EAD">
        <w:rPr>
          <w:rFonts w:asciiTheme="minorBidi" w:hAnsiTheme="minorBidi"/>
          <w:noProof/>
        </w:rPr>
        <w:drawing>
          <wp:inline distT="0" distB="0" distL="0" distR="0" wp14:anchorId="25DDA57A" wp14:editId="446F223A">
            <wp:extent cx="5311140" cy="3260963"/>
            <wp:effectExtent l="0" t="0" r="3810" b="0"/>
            <wp:docPr id="1283392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7944" cy="3265140"/>
                    </a:xfrm>
                    <a:prstGeom prst="rect">
                      <a:avLst/>
                    </a:prstGeom>
                    <a:noFill/>
                    <a:ln>
                      <a:noFill/>
                    </a:ln>
                  </pic:spPr>
                </pic:pic>
              </a:graphicData>
            </a:graphic>
          </wp:inline>
        </w:drawing>
      </w:r>
    </w:p>
    <w:p w14:paraId="01FF23C1" w14:textId="275FB375" w:rsidR="002F57D7" w:rsidRDefault="002F57D7" w:rsidP="002F57D7">
      <w:pPr>
        <w:pStyle w:val="Caption"/>
        <w:bidi w:val="0"/>
        <w:rPr>
          <w:rFonts w:asciiTheme="minorBidi" w:hAnsiTheme="minorBidi"/>
          <w:sz w:val="22"/>
          <w:szCs w:val="22"/>
        </w:rPr>
      </w:pPr>
      <w:r w:rsidRPr="00B74EAD">
        <w:rPr>
          <w:rFonts w:asciiTheme="minorBidi" w:hAnsiTheme="minorBidi"/>
          <w:sz w:val="22"/>
          <w:szCs w:val="22"/>
        </w:rPr>
        <w:t xml:space="preserve">Figure </w:t>
      </w:r>
      <w:r w:rsidRPr="00B74EAD">
        <w:rPr>
          <w:rFonts w:asciiTheme="minorBidi" w:hAnsiTheme="minorBidi"/>
          <w:sz w:val="22"/>
          <w:szCs w:val="22"/>
        </w:rPr>
        <w:fldChar w:fldCharType="begin"/>
      </w:r>
      <w:r w:rsidRPr="00B74EAD">
        <w:rPr>
          <w:rFonts w:asciiTheme="minorBidi" w:hAnsiTheme="minorBidi"/>
          <w:sz w:val="22"/>
          <w:szCs w:val="22"/>
        </w:rPr>
        <w:instrText xml:space="preserve"> SEQ Figure \* ARABIC </w:instrText>
      </w:r>
      <w:r w:rsidRPr="00B74EAD">
        <w:rPr>
          <w:rFonts w:asciiTheme="minorBidi" w:hAnsiTheme="minorBidi"/>
          <w:sz w:val="22"/>
          <w:szCs w:val="22"/>
        </w:rPr>
        <w:fldChar w:fldCharType="separate"/>
      </w:r>
      <w:r w:rsidR="00CD776E">
        <w:rPr>
          <w:rFonts w:asciiTheme="minorBidi" w:hAnsiTheme="minorBidi"/>
          <w:noProof/>
          <w:sz w:val="22"/>
          <w:szCs w:val="22"/>
        </w:rPr>
        <w:t>2</w:t>
      </w:r>
      <w:r w:rsidRPr="00B74EAD">
        <w:rPr>
          <w:rFonts w:asciiTheme="minorBidi" w:hAnsiTheme="minorBidi"/>
          <w:sz w:val="22"/>
          <w:szCs w:val="22"/>
        </w:rPr>
        <w:fldChar w:fldCharType="end"/>
      </w:r>
      <w:r w:rsidRPr="00B74EAD">
        <w:rPr>
          <w:rFonts w:asciiTheme="minorBidi" w:hAnsiTheme="minorBidi"/>
          <w:sz w:val="22"/>
          <w:szCs w:val="22"/>
        </w:rPr>
        <w:t xml:space="preserve">: Log close price of the S&amp;P 500 stock index each day from </w:t>
      </w:r>
      <w:proofErr w:type="gramStart"/>
      <w:r w:rsidRPr="00B74EAD">
        <w:rPr>
          <w:rFonts w:asciiTheme="minorBidi" w:hAnsiTheme="minorBidi"/>
          <w:sz w:val="22"/>
          <w:szCs w:val="22"/>
        </w:rPr>
        <w:t>1950-2020</w:t>
      </w:r>
      <w:proofErr w:type="gramEnd"/>
    </w:p>
    <w:p w14:paraId="0BAA90EF" w14:textId="2B063A07" w:rsidR="007E39BD" w:rsidRDefault="009847B3" w:rsidP="007E39BD">
      <w:pPr>
        <w:keepNext/>
        <w:bidi w:val="0"/>
      </w:pPr>
      <w:r>
        <w:lastRenderedPageBreak/>
        <w:t xml:space="preserve">By looking at the decomposition of the time series with a yearly period (figure 3) we can see that there is some seasonality over the year and that the general trend of the data is upwards with a high noise. </w:t>
      </w:r>
      <w:r w:rsidR="00BC2056">
        <w:t>The magnitude of the seasonality is very low (-0.02 – 0.01) which suggests that although its present it does not dominate the S&amp;P 500 movements.</w:t>
      </w:r>
      <w:r w:rsidR="007E39BD">
        <w:rPr>
          <w:noProof/>
        </w:rPr>
        <w:drawing>
          <wp:inline distT="0" distB="0" distL="0" distR="0" wp14:anchorId="74DE2509" wp14:editId="0BAB2813">
            <wp:extent cx="5273040" cy="3756660"/>
            <wp:effectExtent l="0" t="0" r="3810" b="0"/>
            <wp:docPr id="1683036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756660"/>
                    </a:xfrm>
                    <a:prstGeom prst="rect">
                      <a:avLst/>
                    </a:prstGeom>
                    <a:noFill/>
                    <a:ln>
                      <a:noFill/>
                    </a:ln>
                  </pic:spPr>
                </pic:pic>
              </a:graphicData>
            </a:graphic>
          </wp:inline>
        </w:drawing>
      </w:r>
    </w:p>
    <w:p w14:paraId="138C42AE" w14:textId="56D753F5" w:rsidR="00F66D65" w:rsidRDefault="007E39BD" w:rsidP="007E39BD">
      <w:pPr>
        <w:pStyle w:val="Caption"/>
        <w:bidi w:val="0"/>
      </w:pPr>
      <w:r>
        <w:t xml:space="preserve">Figure </w:t>
      </w:r>
      <w:r>
        <w:fldChar w:fldCharType="begin"/>
      </w:r>
      <w:r>
        <w:instrText xml:space="preserve"> SEQ Figure \* ARABIC </w:instrText>
      </w:r>
      <w:r>
        <w:fldChar w:fldCharType="separate"/>
      </w:r>
      <w:r w:rsidR="00CD776E">
        <w:rPr>
          <w:noProof/>
        </w:rPr>
        <w:t>3</w:t>
      </w:r>
      <w:r>
        <w:fldChar w:fldCharType="end"/>
      </w:r>
      <w:r>
        <w:t>: Break down of S&amp;P Log Close price into Trend, Seasonality and Residual. with a period of 365 days.</w:t>
      </w:r>
    </w:p>
    <w:p w14:paraId="3358430E" w14:textId="16609B34" w:rsidR="00095343" w:rsidRDefault="00DB3242" w:rsidP="00DB3242">
      <w:pPr>
        <w:bidi w:val="0"/>
      </w:pPr>
      <w:r>
        <w:t>Taking a closer look at the seasonality (Figure 4) we can see that the start of the year tends to have greater price than the end of the year, this correlated with the “</w:t>
      </w:r>
      <w:r w:rsidRPr="00DB3242">
        <w:t>Sell in May and go away</w:t>
      </w:r>
      <w:r>
        <w:t xml:space="preserve">” </w:t>
      </w:r>
      <w:r w:rsidRPr="00DB3242">
        <w:t>phenomenon</w:t>
      </w:r>
      <w:r w:rsidR="00095343">
        <w:t xml:space="preserve"> [2]</w:t>
      </w:r>
      <w:r>
        <w:t xml:space="preserve"> which claims that the stock market historically underperforms at the summer months</w:t>
      </w:r>
      <w:r w:rsidR="00095343">
        <w:t xml:space="preserve"> May - October</w:t>
      </w:r>
      <w:r>
        <w:t xml:space="preserve">. </w:t>
      </w:r>
      <w:r w:rsidR="00095343">
        <w:rPr>
          <w:rFonts w:ascii="Georgia" w:hAnsi="Georgia"/>
          <w:noProof/>
          <w:color w:val="353C3F"/>
          <w:sz w:val="27"/>
          <w:szCs w:val="27"/>
          <w:shd w:val="clear" w:color="auto" w:fill="FFFFFF"/>
        </w:rPr>
        <w:drawing>
          <wp:inline distT="0" distB="0" distL="0" distR="0" wp14:anchorId="00C189EF" wp14:editId="23FEF305">
            <wp:extent cx="4991100" cy="2423160"/>
            <wp:effectExtent l="0" t="0" r="0" b="0"/>
            <wp:docPr id="876503851" name="Picture 4" descr="A blue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03851" name="Picture 4" descr="A blue line graph on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2423160"/>
                    </a:xfrm>
                    <a:prstGeom prst="rect">
                      <a:avLst/>
                    </a:prstGeom>
                    <a:noFill/>
                    <a:ln>
                      <a:noFill/>
                    </a:ln>
                  </pic:spPr>
                </pic:pic>
              </a:graphicData>
            </a:graphic>
          </wp:inline>
        </w:drawing>
      </w:r>
    </w:p>
    <w:p w14:paraId="20C6FC71" w14:textId="4723662F" w:rsidR="00095343" w:rsidRDefault="00095343">
      <w:pPr>
        <w:bidi w:val="0"/>
      </w:pPr>
      <w:r>
        <w:br w:type="page"/>
      </w:r>
    </w:p>
    <w:p w14:paraId="2A36A241" w14:textId="31E2578D" w:rsidR="00095343" w:rsidRPr="00095343" w:rsidRDefault="00095343" w:rsidP="00095343">
      <w:pPr>
        <w:bidi w:val="0"/>
        <w:rPr>
          <w:b/>
          <w:bCs/>
          <w:u w:val="single"/>
        </w:rPr>
      </w:pPr>
      <w:proofErr w:type="spellStart"/>
      <w:r w:rsidRPr="00095343">
        <w:rPr>
          <w:b/>
          <w:bCs/>
          <w:u w:val="single"/>
        </w:rPr>
        <w:lastRenderedPageBreak/>
        <w:t>Refrences</w:t>
      </w:r>
      <w:proofErr w:type="spellEnd"/>
    </w:p>
    <w:p w14:paraId="1BAD95E4" w14:textId="521C7EBB" w:rsidR="00095343" w:rsidRPr="00095343" w:rsidRDefault="00095343" w:rsidP="00095343">
      <w:pPr>
        <w:bidi w:val="0"/>
      </w:pPr>
      <w:r w:rsidRPr="00095343">
        <w:t xml:space="preserve">[1] </w:t>
      </w:r>
      <w:r w:rsidRPr="00DC1081">
        <w:t>https://www.kaggle.com/datasets/henryhan117/sp-500-historical-data/data</w:t>
      </w:r>
    </w:p>
    <w:p w14:paraId="64AA7C10" w14:textId="0247E876" w:rsidR="00DB3242" w:rsidRPr="00DB3242" w:rsidRDefault="00095343" w:rsidP="00095343">
      <w:pPr>
        <w:bidi w:val="0"/>
      </w:pPr>
      <w:r w:rsidRPr="00095343">
        <w:t xml:space="preserve">[2] </w:t>
      </w:r>
      <w:r w:rsidRPr="00095343">
        <w:t xml:space="preserve">Bouman, Sven, and Ben Jacobsen. 2002. "The Halloween Indicator, "Sell in May and Go Away": Another </w:t>
      </w:r>
      <w:proofErr w:type="gramStart"/>
      <w:r w:rsidRPr="00095343">
        <w:t>Puzzle .</w:t>
      </w:r>
      <w:proofErr w:type="gramEnd"/>
      <w:r w:rsidRPr="00095343">
        <w:t>" American Economic Review, 92 (5): 1618-1635.DOI: 10.1257/000282802762024683</w:t>
      </w:r>
    </w:p>
    <w:sectPr w:rsidR="00DB3242" w:rsidRPr="00DB3242" w:rsidSect="008B0D1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61854"/>
    <w:multiLevelType w:val="hybridMultilevel"/>
    <w:tmpl w:val="AE00A7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195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30"/>
    <w:rsid w:val="00095343"/>
    <w:rsid w:val="002F57D7"/>
    <w:rsid w:val="004F152A"/>
    <w:rsid w:val="005C2C11"/>
    <w:rsid w:val="00663E65"/>
    <w:rsid w:val="00682A35"/>
    <w:rsid w:val="006A1C82"/>
    <w:rsid w:val="007E39BD"/>
    <w:rsid w:val="008411AD"/>
    <w:rsid w:val="008B0D19"/>
    <w:rsid w:val="00980057"/>
    <w:rsid w:val="009847B3"/>
    <w:rsid w:val="00A02D8E"/>
    <w:rsid w:val="00A1432F"/>
    <w:rsid w:val="00B74EAD"/>
    <w:rsid w:val="00BA5797"/>
    <w:rsid w:val="00BC2056"/>
    <w:rsid w:val="00C061A8"/>
    <w:rsid w:val="00CD776E"/>
    <w:rsid w:val="00DB3242"/>
    <w:rsid w:val="00E04130"/>
    <w:rsid w:val="00F66D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9CC0"/>
  <w15:chartTrackingRefBased/>
  <w15:docId w15:val="{9E124CB8-211F-4DCC-9DAA-C7656663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E04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1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1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1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1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130"/>
    <w:rPr>
      <w:rFonts w:eastAsiaTheme="majorEastAsia" w:cstheme="majorBidi"/>
      <w:color w:val="272727" w:themeColor="text1" w:themeTint="D8"/>
    </w:rPr>
  </w:style>
  <w:style w:type="paragraph" w:styleId="Title">
    <w:name w:val="Title"/>
    <w:basedOn w:val="Normal"/>
    <w:next w:val="Normal"/>
    <w:link w:val="TitleChar"/>
    <w:uiPriority w:val="10"/>
    <w:qFormat/>
    <w:rsid w:val="00E04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130"/>
    <w:pPr>
      <w:spacing w:before="160"/>
      <w:jc w:val="center"/>
    </w:pPr>
    <w:rPr>
      <w:i/>
      <w:iCs/>
      <w:color w:val="404040" w:themeColor="text1" w:themeTint="BF"/>
    </w:rPr>
  </w:style>
  <w:style w:type="character" w:customStyle="1" w:styleId="QuoteChar">
    <w:name w:val="Quote Char"/>
    <w:basedOn w:val="DefaultParagraphFont"/>
    <w:link w:val="Quote"/>
    <w:uiPriority w:val="29"/>
    <w:rsid w:val="00E04130"/>
    <w:rPr>
      <w:i/>
      <w:iCs/>
      <w:color w:val="404040" w:themeColor="text1" w:themeTint="BF"/>
    </w:rPr>
  </w:style>
  <w:style w:type="paragraph" w:styleId="ListParagraph">
    <w:name w:val="List Paragraph"/>
    <w:basedOn w:val="Normal"/>
    <w:uiPriority w:val="34"/>
    <w:qFormat/>
    <w:rsid w:val="00E04130"/>
    <w:pPr>
      <w:ind w:left="720"/>
      <w:contextualSpacing/>
    </w:pPr>
  </w:style>
  <w:style w:type="character" w:styleId="IntenseEmphasis">
    <w:name w:val="Intense Emphasis"/>
    <w:basedOn w:val="DefaultParagraphFont"/>
    <w:uiPriority w:val="21"/>
    <w:qFormat/>
    <w:rsid w:val="00E04130"/>
    <w:rPr>
      <w:i/>
      <w:iCs/>
      <w:color w:val="0F4761" w:themeColor="accent1" w:themeShade="BF"/>
    </w:rPr>
  </w:style>
  <w:style w:type="paragraph" w:styleId="IntenseQuote">
    <w:name w:val="Intense Quote"/>
    <w:basedOn w:val="Normal"/>
    <w:next w:val="Normal"/>
    <w:link w:val="IntenseQuoteChar"/>
    <w:uiPriority w:val="30"/>
    <w:qFormat/>
    <w:rsid w:val="00E04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130"/>
    <w:rPr>
      <w:i/>
      <w:iCs/>
      <w:color w:val="0F4761" w:themeColor="accent1" w:themeShade="BF"/>
    </w:rPr>
  </w:style>
  <w:style w:type="character" w:styleId="IntenseReference">
    <w:name w:val="Intense Reference"/>
    <w:basedOn w:val="DefaultParagraphFont"/>
    <w:uiPriority w:val="32"/>
    <w:qFormat/>
    <w:rsid w:val="00E04130"/>
    <w:rPr>
      <w:b/>
      <w:bCs/>
      <w:smallCaps/>
      <w:color w:val="0F4761" w:themeColor="accent1" w:themeShade="BF"/>
      <w:spacing w:val="5"/>
    </w:rPr>
  </w:style>
  <w:style w:type="paragraph" w:styleId="Caption">
    <w:name w:val="caption"/>
    <w:basedOn w:val="Normal"/>
    <w:next w:val="Normal"/>
    <w:uiPriority w:val="35"/>
    <w:unhideWhenUsed/>
    <w:qFormat/>
    <w:rsid w:val="002F57D7"/>
    <w:pPr>
      <w:spacing w:after="200" w:line="240" w:lineRule="auto"/>
    </w:pPr>
    <w:rPr>
      <w:i/>
      <w:iCs/>
      <w:color w:val="0E2841" w:themeColor="text2"/>
      <w:sz w:val="18"/>
      <w:szCs w:val="18"/>
    </w:rPr>
  </w:style>
  <w:style w:type="character" w:customStyle="1" w:styleId="year">
    <w:name w:val="year"/>
    <w:basedOn w:val="DefaultParagraphFont"/>
    <w:rsid w:val="00095343"/>
  </w:style>
  <w:style w:type="character" w:customStyle="1" w:styleId="title0">
    <w:name w:val="title"/>
    <w:basedOn w:val="DefaultParagraphFont"/>
    <w:rsid w:val="00095343"/>
  </w:style>
  <w:style w:type="character" w:customStyle="1" w:styleId="journal">
    <w:name w:val="journal"/>
    <w:basedOn w:val="DefaultParagraphFont"/>
    <w:rsid w:val="00095343"/>
  </w:style>
  <w:style w:type="character" w:customStyle="1" w:styleId="vol">
    <w:name w:val="vol"/>
    <w:basedOn w:val="DefaultParagraphFont"/>
    <w:rsid w:val="00095343"/>
  </w:style>
  <w:style w:type="character" w:customStyle="1" w:styleId="pages">
    <w:name w:val="pages"/>
    <w:basedOn w:val="DefaultParagraphFont"/>
    <w:rsid w:val="00095343"/>
  </w:style>
  <w:style w:type="character" w:customStyle="1" w:styleId="doi">
    <w:name w:val="doi"/>
    <w:basedOn w:val="DefaultParagraphFont"/>
    <w:rsid w:val="00095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11533</TotalTime>
  <Pages>4</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Hezkiyahu</dc:creator>
  <cp:keywords/>
  <dc:description/>
  <cp:lastModifiedBy>Roi  Hezkiyahu</cp:lastModifiedBy>
  <cp:revision>7</cp:revision>
  <cp:lastPrinted>2024-03-28T09:04:00Z</cp:lastPrinted>
  <dcterms:created xsi:type="dcterms:W3CDTF">2024-03-27T14:26:00Z</dcterms:created>
  <dcterms:modified xsi:type="dcterms:W3CDTF">2024-04-04T13:42:00Z</dcterms:modified>
</cp:coreProperties>
</file>