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B7057" w14:textId="5AB2BEF0" w:rsidR="00EE4476" w:rsidRDefault="00EE4476" w:rsidP="00EE4476">
      <w:pPr>
        <w:jc w:val="center"/>
        <w:rPr>
          <w:sz w:val="40"/>
          <w:szCs w:val="40"/>
        </w:rPr>
      </w:pPr>
      <w:r w:rsidRPr="00C061A8">
        <w:rPr>
          <w:sz w:val="40"/>
          <w:szCs w:val="40"/>
        </w:rPr>
        <w:t>Tel Aviv University</w:t>
      </w:r>
    </w:p>
    <w:p w14:paraId="6F29B4BA" w14:textId="782C3E76" w:rsidR="00C061A8" w:rsidRPr="00C061A8" w:rsidRDefault="00C061A8" w:rsidP="00EE4476">
      <w:pPr>
        <w:jc w:val="center"/>
        <w:rPr>
          <w:sz w:val="40"/>
          <w:szCs w:val="40"/>
        </w:rPr>
      </w:pPr>
      <w:r w:rsidRPr="00C061A8">
        <w:rPr>
          <w:sz w:val="40"/>
          <w:szCs w:val="40"/>
        </w:rPr>
        <w:t>S&amp;P 500</w:t>
      </w:r>
      <w:r w:rsidR="00EE4476">
        <w:rPr>
          <w:sz w:val="40"/>
          <w:szCs w:val="40"/>
        </w:rPr>
        <w:t xml:space="preserve">: </w:t>
      </w:r>
      <w:r w:rsidRPr="00C061A8">
        <w:rPr>
          <w:sz w:val="40"/>
          <w:szCs w:val="40"/>
        </w:rPr>
        <w:t>Time Series analysis</w:t>
      </w:r>
    </w:p>
    <w:p w14:paraId="2E1BA34A" w14:textId="77777777" w:rsidR="00EE4476" w:rsidRPr="00EE4476" w:rsidRDefault="00C061A8" w:rsidP="00C061A8">
      <w:pPr>
        <w:jc w:val="center"/>
        <w:rPr>
          <w:b/>
          <w:bCs/>
          <w:sz w:val="40"/>
          <w:szCs w:val="40"/>
        </w:rPr>
      </w:pPr>
      <w:r w:rsidRPr="00EE4476">
        <w:rPr>
          <w:b/>
          <w:bCs/>
          <w:sz w:val="40"/>
          <w:szCs w:val="40"/>
        </w:rPr>
        <w:t xml:space="preserve">Roi Hezkiyahu </w:t>
      </w:r>
    </w:p>
    <w:p w14:paraId="33E18B4B" w14:textId="5D32B5FC" w:rsidR="00EE4476" w:rsidRDefault="00EE4476" w:rsidP="00C061A8">
      <w:pPr>
        <w:jc w:val="center"/>
        <w:rPr>
          <w:sz w:val="40"/>
          <w:szCs w:val="40"/>
        </w:rPr>
      </w:pPr>
      <w:r>
        <w:rPr>
          <w:sz w:val="40"/>
          <w:szCs w:val="40"/>
        </w:rPr>
        <w:t>Roihezkiyahu@gmail.tau.ax.il</w:t>
      </w:r>
    </w:p>
    <w:p w14:paraId="0A0DE76D" w14:textId="3FFA9CC6" w:rsidR="00EE4476" w:rsidRDefault="00C061A8" w:rsidP="00C061A8">
      <w:pPr>
        <w:jc w:val="center"/>
        <w:rPr>
          <w:sz w:val="40"/>
          <w:szCs w:val="40"/>
        </w:rPr>
      </w:pPr>
      <w:r w:rsidRPr="00C061A8">
        <w:rPr>
          <w:sz w:val="40"/>
          <w:szCs w:val="40"/>
        </w:rPr>
        <w:t>205884018</w:t>
      </w:r>
    </w:p>
    <w:p w14:paraId="0C5D2389" w14:textId="77777777" w:rsidR="00EE4476" w:rsidRDefault="00EE4476">
      <w:pPr>
        <w:bidi w:val="0"/>
        <w:rPr>
          <w:sz w:val="40"/>
          <w:szCs w:val="40"/>
        </w:rPr>
      </w:pPr>
      <w:r>
        <w:rPr>
          <w:sz w:val="40"/>
          <w:szCs w:val="40"/>
        </w:rPr>
        <w:br w:type="page"/>
      </w:r>
    </w:p>
    <w:p w14:paraId="499DA61E" w14:textId="731B118C" w:rsidR="00C061A8" w:rsidRDefault="00EE4476" w:rsidP="00C061A8">
      <w:pPr>
        <w:jc w:val="center"/>
        <w:rPr>
          <w:b/>
          <w:bCs/>
          <w:sz w:val="24"/>
          <w:szCs w:val="24"/>
        </w:rPr>
      </w:pPr>
      <w:r w:rsidRPr="00EE4476">
        <w:rPr>
          <w:b/>
          <w:bCs/>
          <w:sz w:val="24"/>
          <w:szCs w:val="24"/>
        </w:rPr>
        <w:lastRenderedPageBreak/>
        <w:t>Abstract</w:t>
      </w:r>
    </w:p>
    <w:p w14:paraId="084C4F78" w14:textId="78FC6432" w:rsidR="00EE4476" w:rsidRPr="00EE4476" w:rsidRDefault="00EE4476" w:rsidP="00EE4476">
      <w:pPr>
        <w:bidi w:val="0"/>
        <w:rPr>
          <w:b/>
          <w:bCs/>
          <w:sz w:val="24"/>
          <w:szCs w:val="24"/>
        </w:rPr>
      </w:pPr>
      <w:r w:rsidRPr="00EE4476">
        <w:rPr>
          <w:sz w:val="24"/>
          <w:szCs w:val="24"/>
        </w:rPr>
        <w:t xml:space="preserve">This report presents a comprehensive time series analysis of the S&amp;P 500's </w:t>
      </w:r>
      <w:r>
        <w:rPr>
          <w:sz w:val="24"/>
          <w:szCs w:val="24"/>
        </w:rPr>
        <w:t>weekly</w:t>
      </w:r>
      <w:r w:rsidRPr="00EE4476">
        <w:rPr>
          <w:sz w:val="24"/>
          <w:szCs w:val="24"/>
        </w:rPr>
        <w:t xml:space="preserve"> closing prices from 1950 to 2020, using historical data sourced from Kaggle. The objective is to identify underlying trends, seasonal variations, and potential predictors that could influence future closing prices. The analysis includes a logarithmic transformation of the closing prices to simplify the interpretation of exponential growth trends and improve forecasting models. Seasonal decomposition reveals subtle yet consistent patterns aligning with established financial market strategies, notably the "Sell in May and go away" strategy. The findings suggest that while seasonality influences the index's fluctuations, it does not dominate the overall movement, which is primarily driven by long-term trends. This study enhances our understanding of the S&amp;P 500's dynamics and provides a quantitative foundation for future economic and financial predictions</w:t>
      </w:r>
      <w:r>
        <w:rPr>
          <w:rFonts w:cs="Arial"/>
          <w:b/>
          <w:bCs/>
          <w:sz w:val="24"/>
          <w:szCs w:val="24"/>
        </w:rPr>
        <w:t>.</w:t>
      </w:r>
    </w:p>
    <w:p w14:paraId="77F4A581" w14:textId="77777777" w:rsidR="00C061A8" w:rsidRDefault="00C061A8">
      <w:pPr>
        <w:bidi w:val="0"/>
        <w:rPr>
          <w:sz w:val="40"/>
          <w:szCs w:val="40"/>
        </w:rPr>
      </w:pPr>
      <w:r>
        <w:rPr>
          <w:sz w:val="40"/>
          <w:szCs w:val="40"/>
        </w:rPr>
        <w:br w:type="page"/>
      </w:r>
    </w:p>
    <w:p w14:paraId="45F1019E" w14:textId="691E22B9" w:rsidR="00C061A8" w:rsidRPr="00EE4476" w:rsidRDefault="00C061A8" w:rsidP="00C061A8">
      <w:pPr>
        <w:pStyle w:val="ListParagraph"/>
        <w:numPr>
          <w:ilvl w:val="0"/>
          <w:numId w:val="1"/>
        </w:numPr>
        <w:bidi w:val="0"/>
        <w:rPr>
          <w:rFonts w:asciiTheme="minorBidi" w:hAnsiTheme="minorBidi"/>
          <w:b/>
          <w:bCs/>
          <w:sz w:val="24"/>
          <w:szCs w:val="24"/>
          <w:u w:val="single"/>
        </w:rPr>
      </w:pPr>
      <w:r w:rsidRPr="00EE4476">
        <w:rPr>
          <w:rFonts w:asciiTheme="minorBidi" w:hAnsiTheme="minorBidi"/>
          <w:b/>
          <w:bCs/>
          <w:sz w:val="24"/>
          <w:szCs w:val="24"/>
          <w:u w:val="single"/>
        </w:rPr>
        <w:lastRenderedPageBreak/>
        <w:t>Introduction</w:t>
      </w:r>
    </w:p>
    <w:p w14:paraId="0EA5A7B1" w14:textId="77777777" w:rsidR="004938CE" w:rsidRPr="00EE4476" w:rsidRDefault="00B74EAD" w:rsidP="004938CE">
      <w:pPr>
        <w:pStyle w:val="ListParagraph"/>
        <w:bidi w:val="0"/>
        <w:ind w:left="360"/>
        <w:rPr>
          <w:rFonts w:asciiTheme="minorBidi" w:hAnsiTheme="minorBidi" w:cs="Arial"/>
          <w:sz w:val="24"/>
          <w:szCs w:val="24"/>
        </w:rPr>
      </w:pPr>
      <w:r w:rsidRPr="00EE4476">
        <w:rPr>
          <w:rFonts w:asciiTheme="minorBidi" w:hAnsiTheme="minorBidi"/>
          <w:sz w:val="24"/>
          <w:szCs w:val="24"/>
        </w:rPr>
        <w:t xml:space="preserve">The S&amp;P 500 (Standard &amp; Poor’s 500) is a market index representing the stock performance of 500 large companies on US stock exchanges. It's widely regarded as the best single gauge of large-cap U.S. equities and a key indicator of the health of the economy. This report is an analysis of the S&amp;P 500's </w:t>
      </w:r>
      <w:r w:rsidR="004938CE" w:rsidRPr="00EE4476">
        <w:rPr>
          <w:rFonts w:asciiTheme="minorBidi" w:hAnsiTheme="minorBidi"/>
          <w:sz w:val="24"/>
          <w:szCs w:val="24"/>
        </w:rPr>
        <w:t>weekly</w:t>
      </w:r>
      <w:r w:rsidRPr="00EE4476">
        <w:rPr>
          <w:rFonts w:asciiTheme="minorBidi" w:hAnsiTheme="minorBidi"/>
          <w:sz w:val="24"/>
          <w:szCs w:val="24"/>
        </w:rPr>
        <w:t xml:space="preserve"> closing prices from 1950 to 2020</w:t>
      </w:r>
      <w:r w:rsidR="00095343" w:rsidRPr="00EE4476">
        <w:rPr>
          <w:rFonts w:asciiTheme="minorBidi" w:hAnsiTheme="minorBidi"/>
          <w:sz w:val="24"/>
          <w:szCs w:val="24"/>
        </w:rPr>
        <w:t xml:space="preserve"> taken from Kaggle [1]</w:t>
      </w:r>
      <w:r w:rsidRPr="00EE4476">
        <w:rPr>
          <w:rFonts w:asciiTheme="minorBidi" w:hAnsiTheme="minorBidi"/>
          <w:sz w:val="24"/>
          <w:szCs w:val="24"/>
        </w:rPr>
        <w:t>, aiming to uncover trends, seasonal variations, and forecast future closing prices for the next year</w:t>
      </w:r>
      <w:r w:rsidRPr="00EE4476">
        <w:rPr>
          <w:rFonts w:asciiTheme="minorBidi" w:hAnsiTheme="minorBidi" w:cs="Arial"/>
          <w:sz w:val="24"/>
          <w:szCs w:val="24"/>
          <w:rtl/>
        </w:rPr>
        <w:t>.</w:t>
      </w:r>
      <w:r w:rsidR="004938CE" w:rsidRPr="00EE4476">
        <w:rPr>
          <w:rFonts w:asciiTheme="minorBidi" w:hAnsiTheme="minorBidi" w:cs="Arial"/>
          <w:sz w:val="24"/>
          <w:szCs w:val="24"/>
        </w:rPr>
        <w:t xml:space="preserve"> In this work we will also include exogenous variables such as volume and elections related features to see their contribution to our predictions.</w:t>
      </w:r>
    </w:p>
    <w:p w14:paraId="312CED1A" w14:textId="28FAF3D0" w:rsidR="004938CE" w:rsidRPr="00EE4476" w:rsidRDefault="000824A7" w:rsidP="000824A7">
      <w:pPr>
        <w:bidi w:val="0"/>
        <w:rPr>
          <w:rFonts w:asciiTheme="minorBidi" w:hAnsiTheme="minorBidi" w:cs="Arial"/>
          <w:b/>
          <w:bCs/>
          <w:sz w:val="24"/>
          <w:szCs w:val="24"/>
        </w:rPr>
      </w:pPr>
      <w:r w:rsidRPr="00EE4476">
        <w:rPr>
          <w:rFonts w:asciiTheme="minorBidi" w:hAnsiTheme="minorBidi" w:cs="Arial"/>
          <w:b/>
          <w:bCs/>
          <w:sz w:val="24"/>
          <w:szCs w:val="24"/>
        </w:rPr>
        <w:t>1.1 EDA</w:t>
      </w:r>
    </w:p>
    <w:p w14:paraId="143FACFF" w14:textId="7BB5EDC9" w:rsidR="002F57D7" w:rsidRPr="00EE4476" w:rsidRDefault="000824A7" w:rsidP="000824A7">
      <w:pPr>
        <w:pStyle w:val="ListParagraph"/>
        <w:bidi w:val="0"/>
        <w:ind w:left="360"/>
        <w:rPr>
          <w:rFonts w:asciiTheme="minorBidi" w:hAnsiTheme="minorBidi" w:cs="Arial"/>
          <w:sz w:val="24"/>
          <w:szCs w:val="24"/>
        </w:rPr>
      </w:pPr>
      <w:r w:rsidRPr="00EE4476">
        <w:rPr>
          <w:noProof/>
          <w:sz w:val="24"/>
          <w:szCs w:val="24"/>
        </w:rPr>
        <w:drawing>
          <wp:anchor distT="0" distB="0" distL="114300" distR="114300" simplePos="0" relativeHeight="251658240" behindDoc="1" locked="0" layoutInCell="1" allowOverlap="1" wp14:anchorId="2F5FA1AD" wp14:editId="32AE8654">
            <wp:simplePos x="0" y="0"/>
            <wp:positionH relativeFrom="column">
              <wp:posOffset>-175260</wp:posOffset>
            </wp:positionH>
            <wp:positionV relativeFrom="paragraph">
              <wp:posOffset>452120</wp:posOffset>
            </wp:positionV>
            <wp:extent cx="5486400" cy="2308860"/>
            <wp:effectExtent l="0" t="0" r="0" b="0"/>
            <wp:wrapTopAndBottom/>
            <wp:docPr id="1859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86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8640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7D7" w:rsidRPr="00EE4476">
        <w:rPr>
          <w:rFonts w:asciiTheme="minorBidi" w:hAnsiTheme="minorBidi"/>
          <w:sz w:val="24"/>
          <w:szCs w:val="24"/>
        </w:rPr>
        <w:t xml:space="preserve">By looking at figure 1 we can see that the data has some exponential trend so </w:t>
      </w:r>
      <w:r w:rsidR="004938CE" w:rsidRPr="00EE4476">
        <w:rPr>
          <w:rFonts w:asciiTheme="minorBidi" w:hAnsiTheme="minorBidi"/>
          <w:sz w:val="24"/>
          <w:szCs w:val="24"/>
        </w:rPr>
        <w:t xml:space="preserve">we will use the </w:t>
      </w:r>
      <w:r w:rsidR="002F57D7" w:rsidRPr="00EE4476">
        <w:rPr>
          <w:rFonts w:asciiTheme="minorBidi" w:hAnsiTheme="minorBidi"/>
          <w:sz w:val="24"/>
          <w:szCs w:val="24"/>
        </w:rPr>
        <w:t xml:space="preserve">Log close price which has a more linear trend (figure 2) </w:t>
      </w:r>
    </w:p>
    <w:p w14:paraId="71DB354E" w14:textId="3E6F9274" w:rsidR="00C061A8" w:rsidRPr="00EE4476" w:rsidRDefault="002F57D7" w:rsidP="002F57D7">
      <w:pPr>
        <w:pStyle w:val="Caption"/>
        <w:bidi w:val="0"/>
        <w:rPr>
          <w:rFonts w:asciiTheme="minorBidi" w:hAnsiTheme="minorBidi"/>
          <w:sz w:val="24"/>
          <w:szCs w:val="24"/>
        </w:rPr>
      </w:pPr>
      <w:r w:rsidRPr="00EE4476">
        <w:rPr>
          <w:rFonts w:asciiTheme="minorBidi" w:hAnsiTheme="minorBidi"/>
          <w:sz w:val="24"/>
          <w:szCs w:val="24"/>
        </w:rPr>
        <w:t xml:space="preserve">Figure </w:t>
      </w:r>
      <w:r w:rsidRPr="00EE4476">
        <w:rPr>
          <w:rFonts w:asciiTheme="minorBidi" w:hAnsiTheme="minorBidi"/>
          <w:sz w:val="24"/>
          <w:szCs w:val="24"/>
        </w:rPr>
        <w:fldChar w:fldCharType="begin"/>
      </w:r>
      <w:r w:rsidRPr="00EE4476">
        <w:rPr>
          <w:rFonts w:asciiTheme="minorBidi" w:hAnsiTheme="minorBidi"/>
          <w:sz w:val="24"/>
          <w:szCs w:val="24"/>
        </w:rPr>
        <w:instrText xml:space="preserve"> SEQ Figure \* ARABIC </w:instrText>
      </w:r>
      <w:r w:rsidRPr="00EE4476">
        <w:rPr>
          <w:rFonts w:asciiTheme="minorBidi" w:hAnsiTheme="minorBidi"/>
          <w:sz w:val="24"/>
          <w:szCs w:val="24"/>
        </w:rPr>
        <w:fldChar w:fldCharType="separate"/>
      </w:r>
      <w:r w:rsidR="003B72CD">
        <w:rPr>
          <w:rFonts w:asciiTheme="minorBidi" w:hAnsiTheme="minorBidi"/>
          <w:noProof/>
          <w:sz w:val="24"/>
          <w:szCs w:val="24"/>
        </w:rPr>
        <w:t>1</w:t>
      </w:r>
      <w:r w:rsidRPr="00EE4476">
        <w:rPr>
          <w:rFonts w:asciiTheme="minorBidi" w:hAnsiTheme="minorBidi"/>
          <w:sz w:val="24"/>
          <w:szCs w:val="24"/>
        </w:rPr>
        <w:fldChar w:fldCharType="end"/>
      </w:r>
      <w:r w:rsidRPr="00EE4476">
        <w:rPr>
          <w:rFonts w:asciiTheme="minorBidi" w:hAnsiTheme="minorBidi"/>
          <w:sz w:val="24"/>
          <w:szCs w:val="24"/>
        </w:rPr>
        <w:t xml:space="preserve">: Close price of the S&amp;P 500 stock index each </w:t>
      </w:r>
      <w:r w:rsidR="004938CE" w:rsidRPr="00EE4476">
        <w:rPr>
          <w:rFonts w:asciiTheme="minorBidi" w:hAnsiTheme="minorBidi"/>
          <w:sz w:val="24"/>
          <w:szCs w:val="24"/>
        </w:rPr>
        <w:t>week</w:t>
      </w:r>
      <w:r w:rsidRPr="00EE4476">
        <w:rPr>
          <w:rFonts w:asciiTheme="minorBidi" w:hAnsiTheme="minorBidi"/>
          <w:sz w:val="24"/>
          <w:szCs w:val="24"/>
        </w:rPr>
        <w:t xml:space="preserve"> from </w:t>
      </w:r>
      <w:proofErr w:type="gramStart"/>
      <w:r w:rsidRPr="00EE4476">
        <w:rPr>
          <w:rFonts w:asciiTheme="minorBidi" w:hAnsiTheme="minorBidi"/>
          <w:sz w:val="24"/>
          <w:szCs w:val="24"/>
        </w:rPr>
        <w:t>1950-2020</w:t>
      </w:r>
      <w:proofErr w:type="gramEnd"/>
    </w:p>
    <w:p w14:paraId="698D70E1" w14:textId="77777777" w:rsidR="002F57D7" w:rsidRPr="00EE4476" w:rsidRDefault="002F57D7" w:rsidP="002F57D7">
      <w:pPr>
        <w:keepNext/>
        <w:bidi w:val="0"/>
        <w:rPr>
          <w:rFonts w:asciiTheme="minorBidi" w:hAnsiTheme="minorBidi"/>
          <w:sz w:val="24"/>
          <w:szCs w:val="24"/>
        </w:rPr>
      </w:pPr>
      <w:r w:rsidRPr="00EE4476">
        <w:rPr>
          <w:rFonts w:asciiTheme="minorBidi" w:hAnsiTheme="minorBidi"/>
          <w:noProof/>
          <w:sz w:val="24"/>
          <w:szCs w:val="24"/>
        </w:rPr>
        <w:drawing>
          <wp:inline distT="0" distB="0" distL="0" distR="0" wp14:anchorId="25DDA57A" wp14:editId="1907D5DE">
            <wp:extent cx="5309870" cy="2971800"/>
            <wp:effectExtent l="0" t="0" r="5080" b="0"/>
            <wp:docPr id="128339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2388"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28740" cy="2982361"/>
                    </a:xfrm>
                    <a:prstGeom prst="rect">
                      <a:avLst/>
                    </a:prstGeom>
                    <a:noFill/>
                    <a:ln>
                      <a:noFill/>
                    </a:ln>
                  </pic:spPr>
                </pic:pic>
              </a:graphicData>
            </a:graphic>
          </wp:inline>
        </w:drawing>
      </w:r>
    </w:p>
    <w:p w14:paraId="01FF23C1" w14:textId="76805513" w:rsidR="002F57D7" w:rsidRPr="00EE4476" w:rsidRDefault="002F57D7" w:rsidP="002F57D7">
      <w:pPr>
        <w:pStyle w:val="Caption"/>
        <w:bidi w:val="0"/>
        <w:rPr>
          <w:rFonts w:asciiTheme="minorBidi" w:hAnsiTheme="minorBidi"/>
          <w:sz w:val="24"/>
          <w:szCs w:val="24"/>
        </w:rPr>
      </w:pPr>
      <w:r w:rsidRPr="00EE4476">
        <w:rPr>
          <w:rFonts w:asciiTheme="minorBidi" w:hAnsiTheme="minorBidi"/>
          <w:sz w:val="24"/>
          <w:szCs w:val="24"/>
        </w:rPr>
        <w:t xml:space="preserve">Figure </w:t>
      </w:r>
      <w:r w:rsidRPr="00EE4476">
        <w:rPr>
          <w:rFonts w:asciiTheme="minorBidi" w:hAnsiTheme="minorBidi"/>
          <w:sz w:val="24"/>
          <w:szCs w:val="24"/>
        </w:rPr>
        <w:fldChar w:fldCharType="begin"/>
      </w:r>
      <w:r w:rsidRPr="00EE4476">
        <w:rPr>
          <w:rFonts w:asciiTheme="minorBidi" w:hAnsiTheme="minorBidi"/>
          <w:sz w:val="24"/>
          <w:szCs w:val="24"/>
        </w:rPr>
        <w:instrText xml:space="preserve"> SEQ Figure \* ARABIC </w:instrText>
      </w:r>
      <w:r w:rsidRPr="00EE4476">
        <w:rPr>
          <w:rFonts w:asciiTheme="minorBidi" w:hAnsiTheme="minorBidi"/>
          <w:sz w:val="24"/>
          <w:szCs w:val="24"/>
        </w:rPr>
        <w:fldChar w:fldCharType="separate"/>
      </w:r>
      <w:r w:rsidR="003B72CD">
        <w:rPr>
          <w:rFonts w:asciiTheme="minorBidi" w:hAnsiTheme="minorBidi"/>
          <w:noProof/>
          <w:sz w:val="24"/>
          <w:szCs w:val="24"/>
        </w:rPr>
        <w:t>2</w:t>
      </w:r>
      <w:r w:rsidRPr="00EE4476">
        <w:rPr>
          <w:rFonts w:asciiTheme="minorBidi" w:hAnsiTheme="minorBidi"/>
          <w:sz w:val="24"/>
          <w:szCs w:val="24"/>
        </w:rPr>
        <w:fldChar w:fldCharType="end"/>
      </w:r>
      <w:r w:rsidRPr="00EE4476">
        <w:rPr>
          <w:rFonts w:asciiTheme="minorBidi" w:hAnsiTheme="minorBidi"/>
          <w:sz w:val="24"/>
          <w:szCs w:val="24"/>
        </w:rPr>
        <w:t xml:space="preserve">: Log close price of the S&amp;P 500 stock index each </w:t>
      </w:r>
      <w:r w:rsidR="004938CE" w:rsidRPr="00EE4476">
        <w:rPr>
          <w:rFonts w:asciiTheme="minorBidi" w:hAnsiTheme="minorBidi"/>
          <w:sz w:val="24"/>
          <w:szCs w:val="24"/>
        </w:rPr>
        <w:t>week</w:t>
      </w:r>
      <w:r w:rsidRPr="00EE4476">
        <w:rPr>
          <w:rFonts w:asciiTheme="minorBidi" w:hAnsiTheme="minorBidi"/>
          <w:sz w:val="24"/>
          <w:szCs w:val="24"/>
        </w:rPr>
        <w:t xml:space="preserve"> from </w:t>
      </w:r>
      <w:proofErr w:type="gramStart"/>
      <w:r w:rsidRPr="00EE4476">
        <w:rPr>
          <w:rFonts w:asciiTheme="minorBidi" w:hAnsiTheme="minorBidi"/>
          <w:sz w:val="24"/>
          <w:szCs w:val="24"/>
        </w:rPr>
        <w:t>1950-2020</w:t>
      </w:r>
      <w:proofErr w:type="gramEnd"/>
    </w:p>
    <w:p w14:paraId="0BAA90EF" w14:textId="60B34B75" w:rsidR="007E39BD" w:rsidRPr="00EE4476" w:rsidRDefault="009847B3" w:rsidP="007E39BD">
      <w:pPr>
        <w:keepNext/>
        <w:bidi w:val="0"/>
        <w:rPr>
          <w:sz w:val="24"/>
          <w:szCs w:val="24"/>
        </w:rPr>
      </w:pPr>
      <w:r w:rsidRPr="00EE4476">
        <w:rPr>
          <w:sz w:val="24"/>
          <w:szCs w:val="24"/>
        </w:rPr>
        <w:lastRenderedPageBreak/>
        <w:t xml:space="preserve">By looking at the decomposition of the time series with a yearly period (figure 3) we can see that there is some seasonality over the year and that the general trend of the data is upwards with a high noise. </w:t>
      </w:r>
      <w:r w:rsidR="00BC2056" w:rsidRPr="00EE4476">
        <w:rPr>
          <w:sz w:val="24"/>
          <w:szCs w:val="24"/>
        </w:rPr>
        <w:t>The magnitude of the seasonality is very low (-0.02 – 0.01) which suggests that although its present it does not dominate the S&amp;P 500 movements</w:t>
      </w:r>
      <w:r w:rsidR="000824A7" w:rsidRPr="00EE4476">
        <w:rPr>
          <w:sz w:val="24"/>
          <w:szCs w:val="24"/>
        </w:rPr>
        <w:t>, the main component is the trend</w:t>
      </w:r>
      <w:r w:rsidR="00BC2056" w:rsidRPr="00EE4476">
        <w:rPr>
          <w:sz w:val="24"/>
          <w:szCs w:val="24"/>
        </w:rPr>
        <w:t>.</w:t>
      </w:r>
      <w:r w:rsidR="007E39BD" w:rsidRPr="00EE4476">
        <w:rPr>
          <w:noProof/>
          <w:sz w:val="24"/>
          <w:szCs w:val="24"/>
        </w:rPr>
        <w:drawing>
          <wp:inline distT="0" distB="0" distL="0" distR="0" wp14:anchorId="74DE2509" wp14:editId="2FC744E4">
            <wp:extent cx="5742305" cy="4084320"/>
            <wp:effectExtent l="0" t="0" r="0" b="0"/>
            <wp:docPr id="1683036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6812"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48524" cy="4088743"/>
                    </a:xfrm>
                    <a:prstGeom prst="rect">
                      <a:avLst/>
                    </a:prstGeom>
                    <a:noFill/>
                    <a:ln>
                      <a:noFill/>
                    </a:ln>
                  </pic:spPr>
                </pic:pic>
              </a:graphicData>
            </a:graphic>
          </wp:inline>
        </w:drawing>
      </w:r>
    </w:p>
    <w:p w14:paraId="138C42AE" w14:textId="56681F5B" w:rsidR="00F66D65" w:rsidRPr="00EE4476" w:rsidRDefault="007E39BD" w:rsidP="007E39BD">
      <w:pPr>
        <w:pStyle w:val="Caption"/>
        <w:bidi w:val="0"/>
        <w:rPr>
          <w:sz w:val="24"/>
          <w:szCs w:val="24"/>
        </w:rPr>
      </w:pPr>
      <w:r w:rsidRPr="00EE4476">
        <w:rPr>
          <w:sz w:val="24"/>
          <w:szCs w:val="24"/>
        </w:rPr>
        <w:t xml:space="preserve">Figure </w:t>
      </w:r>
      <w:r w:rsidRPr="00EE4476">
        <w:rPr>
          <w:sz w:val="24"/>
          <w:szCs w:val="24"/>
        </w:rPr>
        <w:fldChar w:fldCharType="begin"/>
      </w:r>
      <w:r w:rsidRPr="00EE4476">
        <w:rPr>
          <w:sz w:val="24"/>
          <w:szCs w:val="24"/>
        </w:rPr>
        <w:instrText xml:space="preserve"> SEQ Figure \* ARABIC </w:instrText>
      </w:r>
      <w:r w:rsidRPr="00EE4476">
        <w:rPr>
          <w:sz w:val="24"/>
          <w:szCs w:val="24"/>
        </w:rPr>
        <w:fldChar w:fldCharType="separate"/>
      </w:r>
      <w:r w:rsidR="003B72CD">
        <w:rPr>
          <w:noProof/>
          <w:sz w:val="24"/>
          <w:szCs w:val="24"/>
        </w:rPr>
        <w:t>3</w:t>
      </w:r>
      <w:r w:rsidRPr="00EE4476">
        <w:rPr>
          <w:sz w:val="24"/>
          <w:szCs w:val="24"/>
        </w:rPr>
        <w:fldChar w:fldCharType="end"/>
      </w:r>
      <w:r w:rsidRPr="00EE4476">
        <w:rPr>
          <w:sz w:val="24"/>
          <w:szCs w:val="24"/>
        </w:rPr>
        <w:t xml:space="preserve">: Break down of S&amp;P Log Close price into Trend, Seasonality and Residual. with a period of </w:t>
      </w:r>
      <w:r w:rsidR="004938CE" w:rsidRPr="00EE4476">
        <w:rPr>
          <w:sz w:val="24"/>
          <w:szCs w:val="24"/>
        </w:rPr>
        <w:t>52</w:t>
      </w:r>
      <w:r w:rsidRPr="00EE4476">
        <w:rPr>
          <w:sz w:val="24"/>
          <w:szCs w:val="24"/>
        </w:rPr>
        <w:t xml:space="preserve"> </w:t>
      </w:r>
      <w:r w:rsidR="004938CE" w:rsidRPr="00EE4476">
        <w:rPr>
          <w:sz w:val="24"/>
          <w:szCs w:val="24"/>
        </w:rPr>
        <w:t>weeks</w:t>
      </w:r>
      <w:r w:rsidRPr="00EE4476">
        <w:rPr>
          <w:sz w:val="24"/>
          <w:szCs w:val="24"/>
        </w:rPr>
        <w:t>.</w:t>
      </w:r>
    </w:p>
    <w:p w14:paraId="07FE0173" w14:textId="2352C0DD" w:rsidR="003C1E4F" w:rsidRPr="00EE4476" w:rsidRDefault="00DB3242" w:rsidP="003C1E4F">
      <w:pPr>
        <w:keepNext/>
        <w:bidi w:val="0"/>
        <w:rPr>
          <w:sz w:val="24"/>
          <w:szCs w:val="24"/>
        </w:rPr>
      </w:pPr>
      <w:r w:rsidRPr="00EE4476">
        <w:rPr>
          <w:sz w:val="24"/>
          <w:szCs w:val="24"/>
        </w:rPr>
        <w:t xml:space="preserve">Taking a closer look at the seasonality (Figure 4) we can see that the start of the year tends to have greater price than the end of the year, this correlated with the “Sell in May and go away” </w:t>
      </w:r>
      <w:r w:rsidR="000824A7" w:rsidRPr="00EE4476">
        <w:rPr>
          <w:sz w:val="24"/>
          <w:szCs w:val="24"/>
        </w:rPr>
        <w:t>strategy</w:t>
      </w:r>
      <w:r w:rsidR="00095343" w:rsidRPr="00EE4476">
        <w:rPr>
          <w:sz w:val="24"/>
          <w:szCs w:val="24"/>
        </w:rPr>
        <w:t xml:space="preserve"> [2]</w:t>
      </w:r>
      <w:r w:rsidRPr="00EE4476">
        <w:rPr>
          <w:sz w:val="24"/>
          <w:szCs w:val="24"/>
        </w:rPr>
        <w:t xml:space="preserve"> which claims that the stock market historically underperforms at the summer months</w:t>
      </w:r>
      <w:r w:rsidR="00095343" w:rsidRPr="00EE4476">
        <w:rPr>
          <w:sz w:val="24"/>
          <w:szCs w:val="24"/>
        </w:rPr>
        <w:t xml:space="preserve"> May - October</w:t>
      </w:r>
      <w:r w:rsidRPr="00EE4476">
        <w:rPr>
          <w:sz w:val="24"/>
          <w:szCs w:val="24"/>
        </w:rPr>
        <w:t xml:space="preserve">. </w:t>
      </w:r>
      <w:r w:rsidR="00095343" w:rsidRPr="00EE4476">
        <w:rPr>
          <w:rFonts w:ascii="Georgia" w:hAnsi="Georgia"/>
          <w:noProof/>
          <w:color w:val="353C3F"/>
          <w:sz w:val="24"/>
          <w:szCs w:val="24"/>
          <w:shd w:val="clear" w:color="auto" w:fill="FFFFFF"/>
        </w:rPr>
        <w:drawing>
          <wp:inline distT="0" distB="0" distL="0" distR="0" wp14:anchorId="00C189EF" wp14:editId="68888C57">
            <wp:extent cx="5699129" cy="1783080"/>
            <wp:effectExtent l="0" t="0" r="0" b="7620"/>
            <wp:docPr id="876503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03851"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07651" cy="1785746"/>
                    </a:xfrm>
                    <a:prstGeom prst="rect">
                      <a:avLst/>
                    </a:prstGeom>
                    <a:noFill/>
                    <a:ln>
                      <a:noFill/>
                    </a:ln>
                  </pic:spPr>
                </pic:pic>
              </a:graphicData>
            </a:graphic>
          </wp:inline>
        </w:drawing>
      </w:r>
    </w:p>
    <w:p w14:paraId="659FFA82" w14:textId="0E4461B2" w:rsidR="00B83894" w:rsidRPr="00EE4476" w:rsidRDefault="003C1E4F" w:rsidP="00EE4476">
      <w:pPr>
        <w:pStyle w:val="Caption"/>
        <w:bidi w:val="0"/>
        <w:rPr>
          <w:sz w:val="24"/>
          <w:szCs w:val="24"/>
          <w:rtl/>
        </w:rPr>
      </w:pPr>
      <w:r w:rsidRPr="00EE4476">
        <w:rPr>
          <w:sz w:val="24"/>
          <w:szCs w:val="24"/>
        </w:rPr>
        <w:t xml:space="preserve">Figure </w:t>
      </w:r>
      <w:r w:rsidRPr="00EE4476">
        <w:rPr>
          <w:sz w:val="24"/>
          <w:szCs w:val="24"/>
        </w:rPr>
        <w:fldChar w:fldCharType="begin"/>
      </w:r>
      <w:r w:rsidRPr="00EE4476">
        <w:rPr>
          <w:sz w:val="24"/>
          <w:szCs w:val="24"/>
        </w:rPr>
        <w:instrText xml:space="preserve"> SEQ Figure \* ARABIC </w:instrText>
      </w:r>
      <w:r w:rsidRPr="00EE4476">
        <w:rPr>
          <w:sz w:val="24"/>
          <w:szCs w:val="24"/>
        </w:rPr>
        <w:fldChar w:fldCharType="separate"/>
      </w:r>
      <w:r w:rsidR="003B72CD">
        <w:rPr>
          <w:noProof/>
          <w:sz w:val="24"/>
          <w:szCs w:val="24"/>
        </w:rPr>
        <w:t>4</w:t>
      </w:r>
      <w:r w:rsidRPr="00EE4476">
        <w:rPr>
          <w:sz w:val="24"/>
          <w:szCs w:val="24"/>
        </w:rPr>
        <w:fldChar w:fldCharType="end"/>
      </w:r>
      <w:r w:rsidRPr="00EE4476">
        <w:rPr>
          <w:sz w:val="24"/>
          <w:szCs w:val="24"/>
        </w:rPr>
        <w:t>: Monthly Seasonality</w:t>
      </w:r>
    </w:p>
    <w:p w14:paraId="2F590009" w14:textId="49A8A3C8" w:rsidR="000E18D3" w:rsidRPr="00EE4476" w:rsidRDefault="000E18D3" w:rsidP="000E18D3">
      <w:pPr>
        <w:pStyle w:val="Default"/>
        <w:numPr>
          <w:ilvl w:val="0"/>
          <w:numId w:val="1"/>
        </w:numPr>
        <w:rPr>
          <w:b/>
          <w:bCs/>
          <w:u w:val="single"/>
        </w:rPr>
      </w:pPr>
      <w:r w:rsidRPr="00EE4476">
        <w:rPr>
          <w:rFonts w:asciiTheme="minorHAnsi" w:hAnsiTheme="minorHAnsi" w:cstheme="minorBidi"/>
          <w:b/>
          <w:bCs/>
          <w:color w:val="auto"/>
          <w:kern w:val="2"/>
          <w:u w:val="single"/>
        </w:rPr>
        <w:lastRenderedPageBreak/>
        <w:t>Methodology</w:t>
      </w:r>
    </w:p>
    <w:p w14:paraId="03349A01" w14:textId="0F82D9FC" w:rsidR="005C6219" w:rsidRPr="00EE4476" w:rsidRDefault="005C6219" w:rsidP="005C6219">
      <w:pPr>
        <w:pStyle w:val="Default"/>
        <w:ind w:left="360"/>
        <w:rPr>
          <w:rFonts w:asciiTheme="minorHAnsi" w:hAnsiTheme="minorHAnsi" w:cstheme="minorBidi"/>
          <w:color w:val="auto"/>
          <w:kern w:val="2"/>
        </w:rPr>
      </w:pPr>
      <w:r w:rsidRPr="00EE4476">
        <w:rPr>
          <w:rFonts w:asciiTheme="minorHAnsi" w:hAnsiTheme="minorHAnsi" w:cstheme="minorBidi"/>
          <w:color w:val="auto"/>
          <w:kern w:val="2"/>
        </w:rPr>
        <w:t>To</w:t>
      </w:r>
      <w:r w:rsidR="000E18D3" w:rsidRPr="00EE4476">
        <w:rPr>
          <w:rFonts w:asciiTheme="minorHAnsi" w:hAnsiTheme="minorHAnsi" w:cstheme="minorBidi"/>
          <w:color w:val="auto"/>
          <w:kern w:val="2"/>
        </w:rPr>
        <w:t xml:space="preserve"> model the </w:t>
      </w:r>
      <w:r w:rsidR="00B83894" w:rsidRPr="00EE4476">
        <w:rPr>
          <w:rFonts w:asciiTheme="minorHAnsi" w:hAnsiTheme="minorHAnsi" w:cstheme="minorBidi"/>
          <w:color w:val="auto"/>
          <w:kern w:val="2"/>
        </w:rPr>
        <w:t>data,</w:t>
      </w:r>
      <w:r w:rsidR="000E18D3" w:rsidRPr="00EE4476">
        <w:rPr>
          <w:rFonts w:asciiTheme="minorHAnsi" w:hAnsiTheme="minorHAnsi" w:cstheme="minorBidi"/>
          <w:color w:val="auto"/>
          <w:kern w:val="2"/>
        </w:rPr>
        <w:t xml:space="preserve"> we used 2 methods: SARIMA and PROPHET, we also tried </w:t>
      </w:r>
      <w:r w:rsidR="00B83894" w:rsidRPr="00EE4476">
        <w:rPr>
          <w:rFonts w:asciiTheme="minorHAnsi" w:hAnsiTheme="minorHAnsi" w:cstheme="minorBidi"/>
          <w:color w:val="auto"/>
          <w:kern w:val="2"/>
        </w:rPr>
        <w:t xml:space="preserve">Deep </w:t>
      </w:r>
      <w:r w:rsidR="000E18D3" w:rsidRPr="00EE4476">
        <w:rPr>
          <w:rFonts w:asciiTheme="minorHAnsi" w:hAnsiTheme="minorHAnsi" w:cstheme="minorBidi"/>
          <w:color w:val="auto"/>
          <w:kern w:val="2"/>
        </w:rPr>
        <w:t xml:space="preserve">LSTM which </w:t>
      </w:r>
      <w:r w:rsidRPr="00EE4476">
        <w:rPr>
          <w:rFonts w:asciiTheme="minorHAnsi" w:hAnsiTheme="minorHAnsi" w:cstheme="minorBidi"/>
          <w:color w:val="auto"/>
          <w:kern w:val="2"/>
        </w:rPr>
        <w:t>performed</w:t>
      </w:r>
      <w:r w:rsidR="000E18D3" w:rsidRPr="00EE4476">
        <w:rPr>
          <w:rFonts w:asciiTheme="minorHAnsi" w:hAnsiTheme="minorHAnsi" w:cstheme="minorBidi"/>
          <w:color w:val="auto"/>
          <w:kern w:val="2"/>
        </w:rPr>
        <w:t xml:space="preserve"> considerably worse so we will not </w:t>
      </w:r>
      <w:r w:rsidR="003C1E4F" w:rsidRPr="00EE4476">
        <w:rPr>
          <w:rFonts w:asciiTheme="minorHAnsi" w:hAnsiTheme="minorHAnsi" w:cstheme="minorBidi"/>
          <w:color w:val="auto"/>
          <w:kern w:val="2"/>
        </w:rPr>
        <w:t>discuss</w:t>
      </w:r>
      <w:r w:rsidR="000E18D3" w:rsidRPr="00EE4476">
        <w:rPr>
          <w:rFonts w:asciiTheme="minorHAnsi" w:hAnsiTheme="minorHAnsi" w:cstheme="minorBidi"/>
          <w:color w:val="auto"/>
          <w:kern w:val="2"/>
        </w:rPr>
        <w:t xml:space="preserve"> it in the report.</w:t>
      </w:r>
    </w:p>
    <w:p w14:paraId="56BDA170" w14:textId="0959EC28" w:rsidR="005C6219" w:rsidRPr="00EE4476" w:rsidRDefault="005C6219" w:rsidP="005C6219">
      <w:pPr>
        <w:pStyle w:val="Default"/>
        <w:numPr>
          <w:ilvl w:val="1"/>
          <w:numId w:val="3"/>
        </w:numPr>
        <w:rPr>
          <w:rFonts w:asciiTheme="minorHAnsi" w:hAnsiTheme="minorHAnsi" w:cstheme="minorBidi"/>
          <w:b/>
          <w:bCs/>
          <w:color w:val="auto"/>
          <w:kern w:val="2"/>
        </w:rPr>
      </w:pPr>
      <w:r w:rsidRPr="00EE4476">
        <w:rPr>
          <w:rFonts w:asciiTheme="minorHAnsi" w:hAnsiTheme="minorHAnsi" w:cstheme="minorBidi"/>
          <w:b/>
          <w:bCs/>
          <w:color w:val="auto"/>
          <w:kern w:val="2"/>
        </w:rPr>
        <w:t>SARIMA</w:t>
      </w:r>
    </w:p>
    <w:p w14:paraId="04E9621C" w14:textId="72ED0FE8" w:rsidR="005C6219" w:rsidRPr="00EE4476" w:rsidRDefault="005C6219" w:rsidP="005C6219">
      <w:pPr>
        <w:pStyle w:val="Default"/>
        <w:ind w:left="360"/>
        <w:rPr>
          <w:rFonts w:asciiTheme="minorHAnsi" w:eastAsiaTheme="minorEastAsia" w:hAnsiTheme="minorHAnsi" w:cstheme="minorBidi"/>
          <w:color w:val="auto"/>
          <w:kern w:val="2"/>
        </w:rPr>
      </w:pPr>
      <w:r w:rsidRPr="00EE4476">
        <w:rPr>
          <w:rFonts w:asciiTheme="minorHAnsi" w:hAnsiTheme="minorHAnsi" w:cstheme="minorBidi"/>
          <w:color w:val="auto"/>
          <w:kern w:val="2"/>
        </w:rPr>
        <w:t xml:space="preserve">To choose the best SARIMA </w:t>
      </w:r>
      <w:r w:rsidR="00DF5F04" w:rsidRPr="00EE4476">
        <w:rPr>
          <w:rFonts w:asciiTheme="minorHAnsi" w:hAnsiTheme="minorHAnsi" w:cstheme="minorBidi"/>
          <w:color w:val="auto"/>
          <w:kern w:val="2"/>
        </w:rPr>
        <w:t>parameters</w:t>
      </w:r>
      <w:r w:rsidRPr="00EE4476">
        <w:rPr>
          <w:rFonts w:asciiTheme="minorHAnsi" w:hAnsiTheme="minorHAnsi" w:cstheme="minorBidi"/>
          <w:color w:val="auto"/>
          <w:kern w:val="2"/>
        </w:rPr>
        <w:t xml:space="preserve"> we used 5-fold cross validation, checking the best MSE (predictive measure) and AIC (goodness of fit measure) across a grid of values: </w:t>
      </w:r>
      <m:oMath>
        <m:r>
          <m:rPr>
            <m:sty m:val="p"/>
          </m:rPr>
          <w:rPr>
            <w:rFonts w:ascii="Cambria Math" w:hAnsi="Cambria Math" w:cstheme="minorBidi"/>
            <w:color w:val="auto"/>
            <w:kern w:val="2"/>
          </w:rPr>
          <m:t xml:space="preserve">p∈ </m:t>
        </m:r>
        <m:d>
          <m:dPr>
            <m:begChr m:val="["/>
            <m:endChr m:val="]"/>
            <m:ctrlPr>
              <w:rPr>
                <w:rFonts w:ascii="Cambria Math" w:hAnsi="Cambria Math" w:cstheme="minorBidi"/>
                <w:color w:val="auto"/>
                <w:kern w:val="2"/>
              </w:rPr>
            </m:ctrlPr>
          </m:dPr>
          <m:e>
            <m:r>
              <m:rPr>
                <m:sty m:val="p"/>
              </m:rPr>
              <w:rPr>
                <w:rFonts w:ascii="Cambria Math" w:hAnsi="Cambria Math" w:cstheme="minorBidi"/>
                <w:color w:val="auto"/>
                <w:kern w:val="2"/>
              </w:rPr>
              <m:t>1, 2,3</m:t>
            </m:r>
          </m:e>
        </m:d>
        <m:r>
          <w:rPr>
            <w:rFonts w:ascii="Cambria Math" w:hAnsi="Cambria Math" w:cstheme="minorBidi"/>
            <w:color w:val="auto"/>
            <w:kern w:val="2"/>
          </w:rPr>
          <m:t xml:space="preserve">, </m:t>
        </m:r>
        <m:r>
          <m:rPr>
            <m:sty m:val="p"/>
          </m:rPr>
          <w:rPr>
            <w:rFonts w:ascii="Cambria Math" w:hAnsi="Cambria Math" w:cstheme="minorBidi"/>
            <w:color w:val="auto"/>
            <w:kern w:val="2"/>
          </w:rPr>
          <m:t xml:space="preserve">d∈ </m:t>
        </m:r>
        <m:d>
          <m:dPr>
            <m:begChr m:val="["/>
            <m:endChr m:val="]"/>
            <m:ctrlPr>
              <w:rPr>
                <w:rFonts w:ascii="Cambria Math" w:hAnsi="Cambria Math" w:cstheme="minorBidi"/>
                <w:color w:val="auto"/>
                <w:kern w:val="2"/>
              </w:rPr>
            </m:ctrlPr>
          </m:dPr>
          <m:e>
            <m:r>
              <m:rPr>
                <m:sty m:val="p"/>
              </m:rPr>
              <w:rPr>
                <w:rFonts w:ascii="Cambria Math" w:hAnsi="Cambria Math" w:cstheme="minorBidi"/>
                <w:color w:val="auto"/>
                <w:kern w:val="2"/>
              </w:rPr>
              <m:t>0, 1</m:t>
            </m:r>
          </m:e>
        </m:d>
        <m:r>
          <m:rPr>
            <m:sty m:val="p"/>
          </m:rPr>
          <w:rPr>
            <w:rFonts w:ascii="Cambria Math" w:hAnsi="Cambria Math" w:cstheme="minorBidi"/>
            <w:color w:val="auto"/>
            <w:kern w:val="2"/>
          </w:rPr>
          <m:t xml:space="preserve">, q∈ </m:t>
        </m:r>
        <m:d>
          <m:dPr>
            <m:begChr m:val="["/>
            <m:endChr m:val="]"/>
            <m:ctrlPr>
              <w:rPr>
                <w:rFonts w:ascii="Cambria Math" w:hAnsi="Cambria Math" w:cstheme="minorBidi"/>
                <w:color w:val="auto"/>
                <w:kern w:val="2"/>
              </w:rPr>
            </m:ctrlPr>
          </m:dPr>
          <m:e>
            <m:r>
              <m:rPr>
                <m:sty m:val="p"/>
              </m:rPr>
              <w:rPr>
                <w:rFonts w:ascii="Cambria Math" w:hAnsi="Cambria Math" w:cstheme="minorBidi"/>
                <w:color w:val="auto"/>
                <w:kern w:val="2"/>
              </w:rPr>
              <m:t>0, 1, 2</m:t>
            </m:r>
          </m:e>
        </m:d>
        <m:r>
          <m:rPr>
            <m:sty m:val="p"/>
          </m:rPr>
          <w:rPr>
            <w:rFonts w:ascii="Cambria Math" w:hAnsi="Cambria Math" w:cstheme="minorBidi"/>
            <w:color w:val="auto"/>
            <w:kern w:val="2"/>
          </w:rPr>
          <m:t xml:space="preserve">, P∈ </m:t>
        </m:r>
        <m:d>
          <m:dPr>
            <m:begChr m:val="["/>
            <m:endChr m:val="]"/>
            <m:ctrlPr>
              <w:rPr>
                <w:rFonts w:ascii="Cambria Math" w:hAnsi="Cambria Math" w:cstheme="minorBidi"/>
                <w:color w:val="auto"/>
                <w:kern w:val="2"/>
              </w:rPr>
            </m:ctrlPr>
          </m:dPr>
          <m:e>
            <m:r>
              <m:rPr>
                <m:sty m:val="p"/>
              </m:rPr>
              <w:rPr>
                <w:rFonts w:ascii="Cambria Math" w:hAnsi="Cambria Math" w:cstheme="minorBidi"/>
                <w:color w:val="auto"/>
                <w:kern w:val="2"/>
              </w:rPr>
              <m:t>0, 1,2,3</m:t>
            </m:r>
          </m:e>
        </m:d>
        <m:r>
          <m:rPr>
            <m:sty m:val="p"/>
          </m:rPr>
          <w:rPr>
            <w:rFonts w:ascii="Cambria Math" w:hAnsi="Cambria Math" w:cstheme="minorBidi"/>
            <w:color w:val="auto"/>
            <w:kern w:val="2"/>
          </w:rPr>
          <m:t xml:space="preserve">, D∈ </m:t>
        </m:r>
        <m:d>
          <m:dPr>
            <m:begChr m:val="["/>
            <m:endChr m:val="]"/>
            <m:ctrlPr>
              <w:rPr>
                <w:rFonts w:ascii="Cambria Math" w:hAnsi="Cambria Math" w:cstheme="minorBidi"/>
                <w:color w:val="auto"/>
                <w:kern w:val="2"/>
              </w:rPr>
            </m:ctrlPr>
          </m:dPr>
          <m:e>
            <m:r>
              <m:rPr>
                <m:sty m:val="p"/>
              </m:rPr>
              <w:rPr>
                <w:rFonts w:ascii="Cambria Math" w:hAnsi="Cambria Math" w:cstheme="minorBidi"/>
                <w:color w:val="auto"/>
                <w:kern w:val="2"/>
              </w:rPr>
              <m:t>1,2,3,4</m:t>
            </m:r>
          </m:e>
        </m:d>
        <m:r>
          <m:rPr>
            <m:sty m:val="p"/>
          </m:rPr>
          <w:rPr>
            <w:rFonts w:ascii="Cambria Math" w:hAnsi="Cambria Math" w:cstheme="minorBidi"/>
            <w:color w:val="auto"/>
            <w:kern w:val="2"/>
          </w:rPr>
          <m:t xml:space="preserve">, Q∈ </m:t>
        </m:r>
        <m:d>
          <m:dPr>
            <m:begChr m:val="["/>
            <m:endChr m:val="]"/>
            <m:ctrlPr>
              <w:rPr>
                <w:rFonts w:ascii="Cambria Math" w:hAnsi="Cambria Math" w:cstheme="minorBidi"/>
                <w:color w:val="auto"/>
                <w:kern w:val="2"/>
              </w:rPr>
            </m:ctrlPr>
          </m:dPr>
          <m:e>
            <m:r>
              <m:rPr>
                <m:sty m:val="p"/>
              </m:rPr>
              <w:rPr>
                <w:rFonts w:ascii="Cambria Math" w:hAnsi="Cambria Math" w:cstheme="minorBidi"/>
                <w:color w:val="auto"/>
                <w:kern w:val="2"/>
              </w:rPr>
              <m:t>1,2,3,4</m:t>
            </m:r>
          </m:e>
        </m:d>
        <m:r>
          <m:rPr>
            <m:sty m:val="p"/>
          </m:rPr>
          <w:rPr>
            <w:rFonts w:ascii="Cambria Math" w:hAnsi="Cambria Math" w:cstheme="minorBidi"/>
            <w:color w:val="auto"/>
            <w:kern w:val="2"/>
          </w:rPr>
          <m:t>, S = 4</m:t>
        </m:r>
        <m:r>
          <w:rPr>
            <w:rFonts w:ascii="Cambria Math" w:hAnsi="Cambria Math" w:cstheme="minorBidi"/>
            <w:color w:val="auto"/>
            <w:kern w:val="2"/>
          </w:rPr>
          <m:t>.</m:t>
        </m:r>
      </m:oMath>
      <w:r w:rsidR="00DF5F04" w:rsidRPr="00EE4476">
        <w:rPr>
          <w:rFonts w:asciiTheme="minorHAnsi" w:eastAsiaTheme="minorEastAsia" w:hAnsiTheme="minorHAnsi" w:cstheme="minorBidi"/>
          <w:color w:val="auto"/>
          <w:kern w:val="2"/>
        </w:rPr>
        <w:t xml:space="preserve"> </w:t>
      </w:r>
    </w:p>
    <w:p w14:paraId="47513162" w14:textId="50CBC630" w:rsidR="005C6219" w:rsidRPr="00EE4476" w:rsidRDefault="003C1E4F" w:rsidP="003C1E4F">
      <w:pPr>
        <w:pStyle w:val="Default"/>
        <w:ind w:left="360"/>
        <w:rPr>
          <w:rFonts w:asciiTheme="minorHAnsi" w:eastAsiaTheme="minorEastAsia" w:hAnsiTheme="minorHAnsi" w:cstheme="minorBidi"/>
          <w:color w:val="auto"/>
          <w:kern w:val="2"/>
        </w:rPr>
      </w:pPr>
      <w:r w:rsidRPr="00EE4476">
        <w:rPr>
          <w:rFonts w:asciiTheme="minorHAnsi" w:eastAsiaTheme="minorEastAsia" w:hAnsiTheme="minorHAnsi" w:cstheme="minorBidi"/>
          <w:color w:val="auto"/>
          <w:kern w:val="2"/>
        </w:rPr>
        <w:t>Seasonality</w:t>
      </w:r>
      <w:r w:rsidR="005C6219" w:rsidRPr="00EE4476">
        <w:rPr>
          <w:rFonts w:asciiTheme="minorHAnsi" w:eastAsiaTheme="minorEastAsia" w:hAnsiTheme="minorHAnsi" w:cstheme="minorBidi"/>
          <w:color w:val="auto"/>
          <w:kern w:val="2"/>
        </w:rPr>
        <w:t xml:space="preserve"> value was set to 4 </w:t>
      </w:r>
      <w:r w:rsidRPr="00EE4476">
        <w:rPr>
          <w:rFonts w:asciiTheme="minorHAnsi" w:eastAsiaTheme="minorEastAsia" w:hAnsiTheme="minorHAnsi" w:cstheme="minorBidi"/>
          <w:color w:val="auto"/>
          <w:kern w:val="2"/>
        </w:rPr>
        <w:t>because we can see some monthly seasonality according to Figure 4. Also, from Figure 5 we can see a strong PACF and ACF for past months differences.</w:t>
      </w:r>
    </w:p>
    <w:p w14:paraId="679C867F" w14:textId="77777777" w:rsidR="003C1E4F" w:rsidRPr="00EE4476" w:rsidRDefault="003C1E4F" w:rsidP="003C1E4F">
      <w:pPr>
        <w:pStyle w:val="Default"/>
        <w:keepNext/>
        <w:ind w:left="360"/>
      </w:pPr>
      <w:r w:rsidRPr="00EE4476">
        <w:rPr>
          <w:rFonts w:asciiTheme="minorHAnsi" w:hAnsiTheme="minorHAnsi" w:cstheme="minorBidi"/>
          <w:noProof/>
          <w:color w:val="auto"/>
          <w:kern w:val="2"/>
        </w:rPr>
        <w:drawing>
          <wp:inline distT="0" distB="0" distL="0" distR="0" wp14:anchorId="300BC299" wp14:editId="25F7C7A6">
            <wp:extent cx="5624830" cy="2103120"/>
            <wp:effectExtent l="0" t="0" r="0" b="0"/>
            <wp:docPr id="21386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7780" cy="2104223"/>
                    </a:xfrm>
                    <a:prstGeom prst="rect">
                      <a:avLst/>
                    </a:prstGeom>
                    <a:noFill/>
                    <a:ln>
                      <a:noFill/>
                    </a:ln>
                  </pic:spPr>
                </pic:pic>
              </a:graphicData>
            </a:graphic>
          </wp:inline>
        </w:drawing>
      </w:r>
    </w:p>
    <w:p w14:paraId="5A8CE887" w14:textId="4A68EC3C" w:rsidR="003C1E4F" w:rsidRPr="00EE4476" w:rsidRDefault="003C1E4F" w:rsidP="003C1E4F">
      <w:pPr>
        <w:pStyle w:val="Caption"/>
        <w:bidi w:val="0"/>
        <w:rPr>
          <w:color w:val="auto"/>
          <w:sz w:val="24"/>
          <w:szCs w:val="24"/>
        </w:rPr>
      </w:pPr>
      <w:r w:rsidRPr="00EE4476">
        <w:rPr>
          <w:sz w:val="24"/>
          <w:szCs w:val="24"/>
        </w:rPr>
        <w:t xml:space="preserve">Figure </w:t>
      </w:r>
      <w:r w:rsidRPr="00EE4476">
        <w:rPr>
          <w:sz w:val="24"/>
          <w:szCs w:val="24"/>
        </w:rPr>
        <w:fldChar w:fldCharType="begin"/>
      </w:r>
      <w:r w:rsidRPr="00EE4476">
        <w:rPr>
          <w:sz w:val="24"/>
          <w:szCs w:val="24"/>
        </w:rPr>
        <w:instrText xml:space="preserve"> SEQ Figure \* ARABIC </w:instrText>
      </w:r>
      <w:r w:rsidRPr="00EE4476">
        <w:rPr>
          <w:sz w:val="24"/>
          <w:szCs w:val="24"/>
        </w:rPr>
        <w:fldChar w:fldCharType="separate"/>
      </w:r>
      <w:r w:rsidR="003B72CD">
        <w:rPr>
          <w:noProof/>
          <w:sz w:val="24"/>
          <w:szCs w:val="24"/>
        </w:rPr>
        <w:t>5</w:t>
      </w:r>
      <w:r w:rsidRPr="00EE4476">
        <w:rPr>
          <w:sz w:val="24"/>
          <w:szCs w:val="24"/>
        </w:rPr>
        <w:fldChar w:fldCharType="end"/>
      </w:r>
      <w:r w:rsidRPr="00EE4476">
        <w:rPr>
          <w:sz w:val="24"/>
          <w:szCs w:val="24"/>
        </w:rPr>
        <w:t xml:space="preserve">: ACF and PACF of 4 weeks differentiated </w:t>
      </w:r>
      <w:r w:rsidR="00DF5F04" w:rsidRPr="00EE4476">
        <w:rPr>
          <w:sz w:val="24"/>
          <w:szCs w:val="24"/>
        </w:rPr>
        <w:t>data.</w:t>
      </w:r>
    </w:p>
    <w:p w14:paraId="62F76A91" w14:textId="48C02D4B" w:rsidR="00DF5F04" w:rsidRPr="00EE4476" w:rsidRDefault="00DF5F04" w:rsidP="00DF5F04">
      <w:pPr>
        <w:pStyle w:val="ListParagraph"/>
        <w:numPr>
          <w:ilvl w:val="1"/>
          <w:numId w:val="3"/>
        </w:numPr>
        <w:bidi w:val="0"/>
        <w:rPr>
          <w:b/>
          <w:bCs/>
          <w:sz w:val="24"/>
          <w:szCs w:val="24"/>
        </w:rPr>
      </w:pPr>
      <w:r w:rsidRPr="00EE4476">
        <w:rPr>
          <w:b/>
          <w:bCs/>
          <w:sz w:val="24"/>
          <w:szCs w:val="24"/>
        </w:rPr>
        <w:t xml:space="preserve">PROPHET </w:t>
      </w:r>
    </w:p>
    <w:p w14:paraId="28105180" w14:textId="04BFDEA6" w:rsidR="00DC2B86" w:rsidRPr="00EE4476" w:rsidRDefault="00DF5F04" w:rsidP="00DF5F04">
      <w:pPr>
        <w:pStyle w:val="ListParagraph"/>
        <w:bidi w:val="0"/>
        <w:ind w:left="360"/>
        <w:rPr>
          <w:rFonts w:eastAsiaTheme="minorEastAsia"/>
          <w:sz w:val="24"/>
          <w:szCs w:val="24"/>
          <w:rtl/>
        </w:rPr>
      </w:pPr>
      <w:r w:rsidRPr="00EE4476">
        <w:rPr>
          <w:sz w:val="24"/>
          <w:szCs w:val="24"/>
        </w:rPr>
        <w:t xml:space="preserve">The second model we chose to fit was prophet as it is known to perform well on time series data. Here we also used 5-fold cross validation, but because we can’t measure AIC for PROPHET models, we only measured the MSE. The grid we chose was: </w:t>
      </w:r>
      <m:oMath>
        <m:r>
          <w:rPr>
            <w:rFonts w:ascii="Cambria Math" w:hAnsi="Cambria Math"/>
            <w:sz w:val="24"/>
            <w:szCs w:val="24"/>
          </w:rPr>
          <m:t>changepoint prior scale∈</m:t>
        </m:r>
        <m:d>
          <m:dPr>
            <m:begChr m:val="["/>
            <m:endChr m:val="]"/>
            <m:ctrlPr>
              <w:rPr>
                <w:rFonts w:ascii="Cambria Math" w:hAnsi="Cambria Math"/>
                <w:i/>
                <w:sz w:val="24"/>
                <w:szCs w:val="24"/>
              </w:rPr>
            </m:ctrlPr>
          </m:dPr>
          <m:e>
            <m:r>
              <w:rPr>
                <w:rFonts w:ascii="Cambria Math" w:hAnsi="Cambria Math"/>
                <w:sz w:val="24"/>
                <w:szCs w:val="24"/>
              </w:rPr>
              <m:t>0.01, 0.05, 0.1, 0.5, 1</m:t>
            </m:r>
          </m:e>
        </m:d>
        <m:r>
          <w:rPr>
            <w:rFonts w:ascii="Cambria Math" w:hAnsi="Cambria Math"/>
            <w:sz w:val="24"/>
            <w:szCs w:val="24"/>
          </w:rPr>
          <m:t xml:space="preserve">, seasonality prior scale∈ </m:t>
        </m:r>
        <m:d>
          <m:dPr>
            <m:begChr m:val="["/>
            <m:endChr m:val="]"/>
            <m:ctrlPr>
              <w:rPr>
                <w:rFonts w:ascii="Cambria Math" w:hAnsi="Cambria Math"/>
                <w:i/>
                <w:sz w:val="24"/>
                <w:szCs w:val="24"/>
              </w:rPr>
            </m:ctrlPr>
          </m:dPr>
          <m:e>
            <m:r>
              <w:rPr>
                <w:rFonts w:ascii="Cambria Math" w:hAnsi="Cambria Math"/>
                <w:sz w:val="24"/>
                <w:szCs w:val="24"/>
              </w:rPr>
              <m:t>0.005,0.01, 0.1, 0.5, 1.0</m:t>
            </m:r>
          </m:e>
        </m:d>
        <m:r>
          <w:rPr>
            <w:rFonts w:ascii="Cambria Math" w:hAnsi="Cambria Math"/>
            <w:sz w:val="24"/>
            <w:szCs w:val="24"/>
          </w:rPr>
          <m:t>,changepoint range:∈[0.8, 0.85, 0.9, 0.95]</m:t>
        </m:r>
      </m:oMath>
      <w:r w:rsidRPr="00EE4476">
        <w:rPr>
          <w:rFonts w:eastAsiaTheme="minorEastAsia"/>
          <w:sz w:val="24"/>
          <w:szCs w:val="24"/>
        </w:rPr>
        <w:t>.</w:t>
      </w:r>
    </w:p>
    <w:p w14:paraId="095C9B32" w14:textId="65650F9F" w:rsidR="00DC2B86" w:rsidRPr="00EE4476" w:rsidRDefault="00DC2B86" w:rsidP="00DC2B86">
      <w:pPr>
        <w:pStyle w:val="ListParagraph"/>
        <w:numPr>
          <w:ilvl w:val="1"/>
          <w:numId w:val="3"/>
        </w:numPr>
        <w:bidi w:val="0"/>
        <w:rPr>
          <w:b/>
          <w:bCs/>
          <w:sz w:val="24"/>
          <w:szCs w:val="24"/>
        </w:rPr>
      </w:pPr>
      <w:r w:rsidRPr="00EE4476">
        <w:rPr>
          <w:b/>
          <w:bCs/>
          <w:sz w:val="24"/>
          <w:szCs w:val="24"/>
        </w:rPr>
        <w:t>Exogenous Variable</w:t>
      </w:r>
    </w:p>
    <w:p w14:paraId="44BEC3A9" w14:textId="10845A31" w:rsidR="00DC2B86" w:rsidRPr="00EE4476" w:rsidRDefault="00DC2B86" w:rsidP="00DC2B86">
      <w:pPr>
        <w:pStyle w:val="ListParagraph"/>
        <w:bidi w:val="0"/>
        <w:ind w:left="360"/>
        <w:rPr>
          <w:sz w:val="24"/>
          <w:szCs w:val="24"/>
        </w:rPr>
      </w:pPr>
      <w:r w:rsidRPr="00EE4476">
        <w:rPr>
          <w:sz w:val="24"/>
          <w:szCs w:val="24"/>
        </w:rPr>
        <w:t>Out of the two methods SARIMA performed better, than we tried to improve it by inducing extra variables, we chose to include Volume</w:t>
      </w:r>
      <w:r w:rsidR="00F17073" w:rsidRPr="00EE4476">
        <w:rPr>
          <w:sz w:val="24"/>
          <w:szCs w:val="24"/>
        </w:rPr>
        <w:t xml:space="preserve"> which acts as kind of how certain the close price is, large volume means a higher certainty in the close price. A</w:t>
      </w:r>
      <w:r w:rsidRPr="00EE4476">
        <w:rPr>
          <w:sz w:val="24"/>
          <w:szCs w:val="24"/>
        </w:rPr>
        <w:t>lso</w:t>
      </w:r>
      <w:r w:rsidR="00F17073" w:rsidRPr="00EE4476">
        <w:rPr>
          <w:sz w:val="24"/>
          <w:szCs w:val="24"/>
        </w:rPr>
        <w:t xml:space="preserve">, we include an </w:t>
      </w:r>
      <w:r w:rsidRPr="00EE4476">
        <w:rPr>
          <w:sz w:val="24"/>
          <w:szCs w:val="24"/>
        </w:rPr>
        <w:t xml:space="preserve">indicator if the government party is Democrat or </w:t>
      </w:r>
      <w:r w:rsidR="000824A7" w:rsidRPr="00EE4476">
        <w:rPr>
          <w:sz w:val="24"/>
          <w:szCs w:val="24"/>
        </w:rPr>
        <w:t>Republican</w:t>
      </w:r>
      <w:r w:rsidRPr="00EE4476">
        <w:rPr>
          <w:sz w:val="24"/>
          <w:szCs w:val="24"/>
        </w:rPr>
        <w:t>, as well as a numeric variable for the number of years left until next election</w:t>
      </w:r>
      <w:r w:rsidR="00F17073" w:rsidRPr="00EE4476">
        <w:rPr>
          <w:sz w:val="24"/>
          <w:szCs w:val="24"/>
        </w:rPr>
        <w:t>. There are some works suggesting the during election years the market performs better (11.28% average rise during election years compared to 10.22%), also that a Republican election is good for the market [3]</w:t>
      </w:r>
    </w:p>
    <w:p w14:paraId="45388C60" w14:textId="77777777" w:rsidR="00EE4476" w:rsidRDefault="00EE4476">
      <w:pPr>
        <w:bidi w:val="0"/>
        <w:rPr>
          <w:b/>
          <w:bCs/>
          <w:sz w:val="24"/>
          <w:szCs w:val="24"/>
          <w:u w:val="single"/>
        </w:rPr>
      </w:pPr>
      <w:r>
        <w:rPr>
          <w:b/>
          <w:bCs/>
          <w:sz w:val="24"/>
          <w:szCs w:val="24"/>
          <w:u w:val="single"/>
        </w:rPr>
        <w:br w:type="page"/>
      </w:r>
    </w:p>
    <w:p w14:paraId="03388836" w14:textId="2DB2F39D" w:rsidR="000824A7" w:rsidRPr="00EE4476" w:rsidRDefault="000824A7" w:rsidP="000824A7">
      <w:pPr>
        <w:pStyle w:val="ListParagraph"/>
        <w:numPr>
          <w:ilvl w:val="0"/>
          <w:numId w:val="1"/>
        </w:numPr>
        <w:bidi w:val="0"/>
        <w:rPr>
          <w:b/>
          <w:bCs/>
          <w:sz w:val="24"/>
          <w:szCs w:val="24"/>
          <w:u w:val="single"/>
        </w:rPr>
      </w:pPr>
      <w:r w:rsidRPr="00EE4476">
        <w:rPr>
          <w:b/>
          <w:bCs/>
          <w:sz w:val="24"/>
          <w:szCs w:val="24"/>
          <w:u w:val="single"/>
        </w:rPr>
        <w:lastRenderedPageBreak/>
        <w:t>Results</w:t>
      </w:r>
    </w:p>
    <w:p w14:paraId="3AB2D8FC" w14:textId="32B7E4AD" w:rsidR="000824A7" w:rsidRPr="00EE4476" w:rsidRDefault="000824A7" w:rsidP="000824A7">
      <w:pPr>
        <w:pStyle w:val="ListParagraph"/>
        <w:bidi w:val="0"/>
        <w:ind w:left="360"/>
        <w:rPr>
          <w:b/>
          <w:bCs/>
          <w:sz w:val="24"/>
          <w:szCs w:val="24"/>
        </w:rPr>
      </w:pPr>
      <w:r w:rsidRPr="00EE4476">
        <w:rPr>
          <w:b/>
          <w:bCs/>
          <w:sz w:val="24"/>
          <w:szCs w:val="24"/>
        </w:rPr>
        <w:t>3.1 SARIMA</w:t>
      </w:r>
    </w:p>
    <w:tbl>
      <w:tblPr>
        <w:tblStyle w:val="PlainTable1"/>
        <w:tblW w:w="0" w:type="auto"/>
        <w:tblInd w:w="1508" w:type="dxa"/>
        <w:tblLook w:val="04A0" w:firstRow="1" w:lastRow="0" w:firstColumn="1" w:lastColumn="0" w:noHBand="0" w:noVBand="1"/>
      </w:tblPr>
      <w:tblGrid>
        <w:gridCol w:w="1150"/>
        <w:gridCol w:w="1845"/>
        <w:gridCol w:w="1143"/>
        <w:gridCol w:w="1437"/>
      </w:tblGrid>
      <w:tr w:rsidR="0077029E" w:rsidRPr="00EE4476" w14:paraId="12FEF3EC" w14:textId="77777777" w:rsidTr="00755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52E5D0F" w14:textId="200B919B" w:rsidR="0077029E" w:rsidRPr="00EE4476" w:rsidRDefault="0077029E" w:rsidP="0077029E">
            <w:pPr>
              <w:pStyle w:val="ListParagraph"/>
              <w:bidi w:val="0"/>
              <w:ind w:left="0"/>
              <w:jc w:val="center"/>
              <w:rPr>
                <w:b w:val="0"/>
                <w:bCs w:val="0"/>
                <w:sz w:val="24"/>
                <w:szCs w:val="24"/>
              </w:rPr>
            </w:pPr>
            <w:r w:rsidRPr="00EE4476">
              <w:rPr>
                <w:b w:val="0"/>
                <w:bCs w:val="0"/>
                <w:sz w:val="24"/>
                <w:szCs w:val="24"/>
              </w:rPr>
              <w:t>order</w:t>
            </w:r>
          </w:p>
        </w:tc>
        <w:tc>
          <w:tcPr>
            <w:tcW w:w="1845" w:type="dxa"/>
          </w:tcPr>
          <w:p w14:paraId="6EB4E416" w14:textId="652651EF" w:rsidR="0077029E" w:rsidRPr="00EE4476" w:rsidRDefault="0077029E" w:rsidP="0077029E">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E4476">
              <w:rPr>
                <w:b w:val="0"/>
                <w:bCs w:val="0"/>
                <w:sz w:val="24"/>
                <w:szCs w:val="24"/>
              </w:rPr>
              <w:t>Seasonal order</w:t>
            </w:r>
          </w:p>
        </w:tc>
        <w:tc>
          <w:tcPr>
            <w:tcW w:w="1143" w:type="dxa"/>
          </w:tcPr>
          <w:p w14:paraId="2C9EFF74" w14:textId="4A4F58DB" w:rsidR="0077029E" w:rsidRPr="00EE4476" w:rsidRDefault="0077029E" w:rsidP="0077029E">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E4476">
              <w:rPr>
                <w:b w:val="0"/>
                <w:bCs w:val="0"/>
                <w:sz w:val="24"/>
                <w:szCs w:val="24"/>
              </w:rPr>
              <w:t>MSE</w:t>
            </w:r>
          </w:p>
        </w:tc>
        <w:tc>
          <w:tcPr>
            <w:tcW w:w="1437" w:type="dxa"/>
          </w:tcPr>
          <w:p w14:paraId="6ABAC880" w14:textId="2E914C21" w:rsidR="0077029E" w:rsidRPr="00EE4476" w:rsidRDefault="0075593B" w:rsidP="0077029E">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E4476">
              <w:rPr>
                <w:b w:val="0"/>
                <w:bCs w:val="0"/>
                <w:sz w:val="24"/>
                <w:szCs w:val="24"/>
              </w:rPr>
              <w:t xml:space="preserve">Average </w:t>
            </w:r>
            <w:r w:rsidR="0077029E" w:rsidRPr="00EE4476">
              <w:rPr>
                <w:b w:val="0"/>
                <w:bCs w:val="0"/>
                <w:sz w:val="24"/>
                <w:szCs w:val="24"/>
              </w:rPr>
              <w:t>AIC</w:t>
            </w:r>
          </w:p>
        </w:tc>
      </w:tr>
      <w:tr w:rsidR="0077029E" w:rsidRPr="00EE4476" w14:paraId="00A49457" w14:textId="77777777" w:rsidTr="00755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9E04F71" w14:textId="35E07A74" w:rsidR="0077029E" w:rsidRPr="00EE4476" w:rsidRDefault="0077029E" w:rsidP="0077029E">
            <w:pPr>
              <w:pStyle w:val="ListParagraph"/>
              <w:bidi w:val="0"/>
              <w:ind w:left="0"/>
              <w:jc w:val="center"/>
              <w:rPr>
                <w:b w:val="0"/>
                <w:bCs w:val="0"/>
                <w:sz w:val="24"/>
                <w:szCs w:val="24"/>
              </w:rPr>
            </w:pPr>
            <w:r w:rsidRPr="00EE4476">
              <w:rPr>
                <w:rFonts w:ascii="Aptos Narrow" w:hAnsi="Aptos Narrow"/>
                <w:b w:val="0"/>
                <w:bCs w:val="0"/>
                <w:color w:val="000000"/>
                <w:sz w:val="24"/>
                <w:szCs w:val="24"/>
              </w:rPr>
              <w:t>(3, 0, 0)</w:t>
            </w:r>
          </w:p>
        </w:tc>
        <w:tc>
          <w:tcPr>
            <w:tcW w:w="1845" w:type="dxa"/>
          </w:tcPr>
          <w:p w14:paraId="0D54906C" w14:textId="7BA6F15E"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EE4476">
              <w:rPr>
                <w:rFonts w:ascii="Aptos Narrow" w:hAnsi="Aptos Narrow"/>
                <w:color w:val="000000"/>
                <w:sz w:val="24"/>
                <w:szCs w:val="24"/>
              </w:rPr>
              <w:t>(0, 2, 4, 4)</w:t>
            </w:r>
          </w:p>
        </w:tc>
        <w:tc>
          <w:tcPr>
            <w:tcW w:w="1143" w:type="dxa"/>
          </w:tcPr>
          <w:p w14:paraId="00354812" w14:textId="1B2D685D"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EE4476">
              <w:rPr>
                <w:rFonts w:ascii="Aptos Narrow" w:hAnsi="Aptos Narrow"/>
                <w:color w:val="000000"/>
                <w:sz w:val="24"/>
                <w:szCs w:val="24"/>
              </w:rPr>
              <w:t>0.00613</w:t>
            </w:r>
          </w:p>
        </w:tc>
        <w:tc>
          <w:tcPr>
            <w:tcW w:w="1437" w:type="dxa"/>
          </w:tcPr>
          <w:p w14:paraId="171A7CEF" w14:textId="5D648F80"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EE4476">
              <w:rPr>
                <w:rFonts w:ascii="Aptos Narrow" w:hAnsi="Aptos Narrow"/>
                <w:color w:val="000000"/>
                <w:sz w:val="24"/>
                <w:szCs w:val="24"/>
              </w:rPr>
              <w:t>-9763.01</w:t>
            </w:r>
          </w:p>
        </w:tc>
      </w:tr>
      <w:tr w:rsidR="0077029E" w:rsidRPr="00EE4476" w14:paraId="2F242C04" w14:textId="77777777" w:rsidTr="0075593B">
        <w:tc>
          <w:tcPr>
            <w:cnfStyle w:val="001000000000" w:firstRow="0" w:lastRow="0" w:firstColumn="1" w:lastColumn="0" w:oddVBand="0" w:evenVBand="0" w:oddHBand="0" w:evenHBand="0" w:firstRowFirstColumn="0" w:firstRowLastColumn="0" w:lastRowFirstColumn="0" w:lastRowLastColumn="0"/>
            <w:tcW w:w="1150" w:type="dxa"/>
          </w:tcPr>
          <w:p w14:paraId="44DB7564" w14:textId="7BE98DF4" w:rsidR="0077029E" w:rsidRPr="00EE4476" w:rsidRDefault="0077029E" w:rsidP="0077029E">
            <w:pPr>
              <w:pStyle w:val="ListParagraph"/>
              <w:bidi w:val="0"/>
              <w:ind w:left="0"/>
              <w:jc w:val="center"/>
              <w:rPr>
                <w:b w:val="0"/>
                <w:bCs w:val="0"/>
                <w:sz w:val="24"/>
                <w:szCs w:val="24"/>
              </w:rPr>
            </w:pPr>
            <w:r w:rsidRPr="00EE4476">
              <w:rPr>
                <w:rFonts w:ascii="Aptos Narrow" w:hAnsi="Aptos Narrow"/>
                <w:b w:val="0"/>
                <w:bCs w:val="0"/>
                <w:color w:val="000000"/>
                <w:sz w:val="24"/>
                <w:szCs w:val="24"/>
              </w:rPr>
              <w:t>(1, 0, 1)</w:t>
            </w:r>
          </w:p>
        </w:tc>
        <w:tc>
          <w:tcPr>
            <w:tcW w:w="1845" w:type="dxa"/>
          </w:tcPr>
          <w:p w14:paraId="3233687A" w14:textId="3EF398A7"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EE4476">
              <w:rPr>
                <w:rFonts w:ascii="Aptos Narrow" w:hAnsi="Aptos Narrow"/>
                <w:color w:val="000000"/>
                <w:sz w:val="24"/>
                <w:szCs w:val="24"/>
              </w:rPr>
              <w:t>(0, 2, 4, 4)</w:t>
            </w:r>
          </w:p>
        </w:tc>
        <w:tc>
          <w:tcPr>
            <w:tcW w:w="1143" w:type="dxa"/>
          </w:tcPr>
          <w:p w14:paraId="793BEBE1" w14:textId="41557F27"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EE4476">
              <w:rPr>
                <w:rFonts w:ascii="Aptos Narrow" w:hAnsi="Aptos Narrow"/>
                <w:color w:val="000000"/>
                <w:sz w:val="24"/>
                <w:szCs w:val="24"/>
              </w:rPr>
              <w:t>0.006604</w:t>
            </w:r>
          </w:p>
        </w:tc>
        <w:tc>
          <w:tcPr>
            <w:tcW w:w="1437" w:type="dxa"/>
          </w:tcPr>
          <w:p w14:paraId="0AD51598" w14:textId="61F9ACFA"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EE4476">
              <w:rPr>
                <w:rFonts w:ascii="Aptos Narrow" w:hAnsi="Aptos Narrow"/>
                <w:color w:val="000000"/>
                <w:sz w:val="24"/>
                <w:szCs w:val="24"/>
              </w:rPr>
              <w:t>-9776.69</w:t>
            </w:r>
          </w:p>
        </w:tc>
      </w:tr>
      <w:tr w:rsidR="0077029E" w:rsidRPr="00EE4476" w14:paraId="59377DCB" w14:textId="77777777" w:rsidTr="00755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90976D0" w14:textId="426DD6ED" w:rsidR="0077029E" w:rsidRPr="00EE4476" w:rsidRDefault="0077029E" w:rsidP="0077029E">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(2, 0, 0)</w:t>
            </w:r>
          </w:p>
        </w:tc>
        <w:tc>
          <w:tcPr>
            <w:tcW w:w="1845" w:type="dxa"/>
          </w:tcPr>
          <w:p w14:paraId="5B1FE0DA" w14:textId="0ADB0F5A"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(0, 2, 4, 4)</w:t>
            </w:r>
          </w:p>
        </w:tc>
        <w:tc>
          <w:tcPr>
            <w:tcW w:w="1143" w:type="dxa"/>
          </w:tcPr>
          <w:p w14:paraId="7101FC7C" w14:textId="10E8AD97"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0.0067</w:t>
            </w:r>
          </w:p>
        </w:tc>
        <w:tc>
          <w:tcPr>
            <w:tcW w:w="1437" w:type="dxa"/>
          </w:tcPr>
          <w:p w14:paraId="74401376" w14:textId="49582EAE"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-9786.9</w:t>
            </w:r>
          </w:p>
        </w:tc>
      </w:tr>
      <w:tr w:rsidR="0077029E" w:rsidRPr="00EE4476" w14:paraId="300E14F6" w14:textId="77777777" w:rsidTr="0075593B">
        <w:tc>
          <w:tcPr>
            <w:cnfStyle w:val="001000000000" w:firstRow="0" w:lastRow="0" w:firstColumn="1" w:lastColumn="0" w:oddVBand="0" w:evenVBand="0" w:oddHBand="0" w:evenHBand="0" w:firstRowFirstColumn="0" w:firstRowLastColumn="0" w:lastRowFirstColumn="0" w:lastRowLastColumn="0"/>
            <w:tcW w:w="1150" w:type="dxa"/>
          </w:tcPr>
          <w:p w14:paraId="4FC1BFDB" w14:textId="3D773458" w:rsidR="0077029E" w:rsidRPr="00EE4476" w:rsidRDefault="0077029E" w:rsidP="0077029E">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(2, 0, 0)</w:t>
            </w:r>
          </w:p>
        </w:tc>
        <w:tc>
          <w:tcPr>
            <w:tcW w:w="1845" w:type="dxa"/>
          </w:tcPr>
          <w:p w14:paraId="56EA2686" w14:textId="211FE80A"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(1, 1, 2, 4)</w:t>
            </w:r>
          </w:p>
        </w:tc>
        <w:tc>
          <w:tcPr>
            <w:tcW w:w="1143" w:type="dxa"/>
          </w:tcPr>
          <w:p w14:paraId="6FD4C715" w14:textId="601599D4"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0.010531</w:t>
            </w:r>
          </w:p>
        </w:tc>
        <w:tc>
          <w:tcPr>
            <w:tcW w:w="1437" w:type="dxa"/>
          </w:tcPr>
          <w:p w14:paraId="50E659C1" w14:textId="37BB3DD2"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-9867.82</w:t>
            </w:r>
          </w:p>
        </w:tc>
      </w:tr>
      <w:tr w:rsidR="0077029E" w:rsidRPr="00EE4476" w14:paraId="6F545E78" w14:textId="77777777" w:rsidTr="00755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2F8A74A" w14:textId="253F7908" w:rsidR="0077029E" w:rsidRPr="00EE4476" w:rsidRDefault="0077029E" w:rsidP="0077029E">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(1, 0, 1)</w:t>
            </w:r>
          </w:p>
        </w:tc>
        <w:tc>
          <w:tcPr>
            <w:tcW w:w="1845" w:type="dxa"/>
          </w:tcPr>
          <w:p w14:paraId="7836AD8D" w14:textId="0F12F649"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(1, 1, 2, 4)</w:t>
            </w:r>
          </w:p>
        </w:tc>
        <w:tc>
          <w:tcPr>
            <w:tcW w:w="1143" w:type="dxa"/>
          </w:tcPr>
          <w:p w14:paraId="64ACFB19" w14:textId="657F01D8"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0.011333</w:t>
            </w:r>
          </w:p>
        </w:tc>
        <w:tc>
          <w:tcPr>
            <w:tcW w:w="1437" w:type="dxa"/>
          </w:tcPr>
          <w:p w14:paraId="5B29D81B" w14:textId="5476A591" w:rsidR="0077029E" w:rsidRPr="00EE4476" w:rsidRDefault="0077029E" w:rsidP="0077029E">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-9867.73</w:t>
            </w:r>
          </w:p>
        </w:tc>
      </w:tr>
      <w:tr w:rsidR="0077029E" w:rsidRPr="00EE4476" w14:paraId="3920638D" w14:textId="77777777" w:rsidTr="0075593B">
        <w:tc>
          <w:tcPr>
            <w:cnfStyle w:val="001000000000" w:firstRow="0" w:lastRow="0" w:firstColumn="1" w:lastColumn="0" w:oddVBand="0" w:evenVBand="0" w:oddHBand="0" w:evenHBand="0" w:firstRowFirstColumn="0" w:firstRowLastColumn="0" w:lastRowFirstColumn="0" w:lastRowLastColumn="0"/>
            <w:tcW w:w="1150" w:type="dxa"/>
          </w:tcPr>
          <w:p w14:paraId="48C6CEC3" w14:textId="66BA8D4E" w:rsidR="0077029E" w:rsidRPr="00EE4476" w:rsidRDefault="0077029E" w:rsidP="0077029E">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(1, 0, 1)</w:t>
            </w:r>
          </w:p>
        </w:tc>
        <w:tc>
          <w:tcPr>
            <w:tcW w:w="1845" w:type="dxa"/>
          </w:tcPr>
          <w:p w14:paraId="0DF6E769" w14:textId="1DCBDD2D"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(0, 1, 1, 4)</w:t>
            </w:r>
          </w:p>
        </w:tc>
        <w:tc>
          <w:tcPr>
            <w:tcW w:w="1143" w:type="dxa"/>
          </w:tcPr>
          <w:p w14:paraId="54184F15" w14:textId="30F0DA25" w:rsidR="0077029E" w:rsidRPr="00EE4476" w:rsidRDefault="0077029E" w:rsidP="0077029E">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0.011085</w:t>
            </w:r>
          </w:p>
        </w:tc>
        <w:tc>
          <w:tcPr>
            <w:tcW w:w="1437" w:type="dxa"/>
          </w:tcPr>
          <w:p w14:paraId="439EAB5A" w14:textId="22ED8C45" w:rsidR="0077029E" w:rsidRPr="00EE4476" w:rsidRDefault="0077029E" w:rsidP="0075593B">
            <w:pPr>
              <w:pStyle w:val="ListParagraph"/>
              <w:keepNext/>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-9867.63</w:t>
            </w:r>
          </w:p>
        </w:tc>
      </w:tr>
    </w:tbl>
    <w:p w14:paraId="68D9DEAE" w14:textId="593CFF7A" w:rsidR="0077029E" w:rsidRPr="00EE4476" w:rsidRDefault="0075593B" w:rsidP="0075593B">
      <w:pPr>
        <w:pStyle w:val="Caption"/>
        <w:bidi w:val="0"/>
        <w:rPr>
          <w:b/>
          <w:bCs/>
          <w:sz w:val="24"/>
          <w:szCs w:val="24"/>
        </w:rPr>
      </w:pPr>
      <w:r w:rsidRPr="00EE4476">
        <w:rPr>
          <w:sz w:val="24"/>
          <w:szCs w:val="24"/>
        </w:rPr>
        <w:t xml:space="preserve">Table </w:t>
      </w:r>
      <w:r w:rsidRPr="00EE4476">
        <w:rPr>
          <w:sz w:val="24"/>
          <w:szCs w:val="24"/>
        </w:rPr>
        <w:fldChar w:fldCharType="begin"/>
      </w:r>
      <w:r w:rsidRPr="00EE4476">
        <w:rPr>
          <w:sz w:val="24"/>
          <w:szCs w:val="24"/>
        </w:rPr>
        <w:instrText xml:space="preserve"> SEQ Table \* ARABIC </w:instrText>
      </w:r>
      <w:r w:rsidRPr="00EE4476">
        <w:rPr>
          <w:sz w:val="24"/>
          <w:szCs w:val="24"/>
        </w:rPr>
        <w:fldChar w:fldCharType="separate"/>
      </w:r>
      <w:r w:rsidR="003B72CD">
        <w:rPr>
          <w:noProof/>
          <w:sz w:val="24"/>
          <w:szCs w:val="24"/>
        </w:rPr>
        <w:t>1</w:t>
      </w:r>
      <w:r w:rsidRPr="00EE4476">
        <w:rPr>
          <w:sz w:val="24"/>
          <w:szCs w:val="24"/>
        </w:rPr>
        <w:fldChar w:fldCharType="end"/>
      </w:r>
      <w:r w:rsidRPr="00EE4476">
        <w:rPr>
          <w:sz w:val="24"/>
          <w:szCs w:val="24"/>
        </w:rPr>
        <w:t>: Top 3 model MSE wise and top 3 models Average AIC wise</w:t>
      </w:r>
    </w:p>
    <w:p w14:paraId="58AF546B" w14:textId="5E639D69" w:rsidR="000824A7" w:rsidRPr="00EE4476" w:rsidRDefault="0096628C" w:rsidP="000824A7">
      <w:pPr>
        <w:pStyle w:val="ListParagraph"/>
        <w:bidi w:val="0"/>
        <w:ind w:left="360"/>
        <w:rPr>
          <w:sz w:val="24"/>
          <w:szCs w:val="24"/>
        </w:rPr>
      </w:pPr>
      <w:r w:rsidRPr="00EE4476">
        <w:rPr>
          <w:sz w:val="24"/>
          <w:szCs w:val="24"/>
        </w:rPr>
        <w:t>We</w:t>
      </w:r>
      <w:r w:rsidR="0075593B" w:rsidRPr="00EE4476">
        <w:rPr>
          <w:sz w:val="24"/>
          <w:szCs w:val="24"/>
        </w:rPr>
        <w:t xml:space="preserve"> are looking for the model with the best predictive power so we</w:t>
      </w:r>
      <w:r w:rsidRPr="00EE4476">
        <w:rPr>
          <w:sz w:val="24"/>
          <w:szCs w:val="24"/>
        </w:rPr>
        <w:t xml:space="preserve"> chose the following model </w:t>
      </w:r>
      <w:proofErr w:type="gramStart"/>
      <w:r w:rsidRPr="00EE4476">
        <w:rPr>
          <w:sz w:val="24"/>
          <w:szCs w:val="24"/>
        </w:rPr>
        <w:t>SARIMAX(</w:t>
      </w:r>
      <w:proofErr w:type="gramEnd"/>
      <w:r w:rsidR="0077029E" w:rsidRPr="00EE4476">
        <w:rPr>
          <w:sz w:val="24"/>
          <w:szCs w:val="24"/>
        </w:rPr>
        <w:t>3</w:t>
      </w:r>
      <w:r w:rsidRPr="00EE4476">
        <w:rPr>
          <w:sz w:val="24"/>
          <w:szCs w:val="24"/>
        </w:rPr>
        <w:t xml:space="preserve">, 0, </w:t>
      </w:r>
      <w:r w:rsidR="0077029E" w:rsidRPr="00EE4476">
        <w:rPr>
          <w:sz w:val="24"/>
          <w:szCs w:val="24"/>
        </w:rPr>
        <w:t>0</w:t>
      </w:r>
      <w:r w:rsidRPr="00EE4476">
        <w:rPr>
          <w:sz w:val="24"/>
          <w:szCs w:val="24"/>
        </w:rPr>
        <w:t xml:space="preserve">)x(0, 2, </w:t>
      </w:r>
      <w:r w:rsidR="008842E1" w:rsidRPr="00EE4476">
        <w:rPr>
          <w:sz w:val="24"/>
          <w:szCs w:val="24"/>
        </w:rPr>
        <w:t xml:space="preserve">4, </w:t>
      </w:r>
      <w:r w:rsidRPr="00EE4476">
        <w:rPr>
          <w:sz w:val="24"/>
          <w:szCs w:val="24"/>
        </w:rPr>
        <w:t xml:space="preserve"> 4) with MSE of (</w:t>
      </w:r>
      <w:r w:rsidR="0075593B" w:rsidRPr="00EE4476">
        <w:rPr>
          <w:sz w:val="24"/>
          <w:szCs w:val="24"/>
        </w:rPr>
        <w:t>0.006</w:t>
      </w:r>
      <w:r w:rsidRPr="00EE4476">
        <w:rPr>
          <w:sz w:val="24"/>
          <w:szCs w:val="24"/>
        </w:rPr>
        <w:t xml:space="preserve">) and </w:t>
      </w:r>
      <w:r w:rsidR="0075593B" w:rsidRPr="00EE4476">
        <w:rPr>
          <w:sz w:val="24"/>
          <w:szCs w:val="24"/>
        </w:rPr>
        <w:t xml:space="preserve">average </w:t>
      </w:r>
      <w:r w:rsidRPr="00EE4476">
        <w:rPr>
          <w:sz w:val="24"/>
          <w:szCs w:val="24"/>
        </w:rPr>
        <w:t>AIC of (</w:t>
      </w:r>
      <w:r w:rsidR="0075593B" w:rsidRPr="00EE4476">
        <w:rPr>
          <w:sz w:val="24"/>
          <w:szCs w:val="24"/>
        </w:rPr>
        <w:t>-9763</w:t>
      </w:r>
      <w:r w:rsidRPr="00EE4476">
        <w:rPr>
          <w:sz w:val="24"/>
          <w:szCs w:val="24"/>
        </w:rPr>
        <w:t>)</w:t>
      </w:r>
      <w:r w:rsidR="0075593B" w:rsidRPr="00EE4476">
        <w:rPr>
          <w:sz w:val="24"/>
          <w:szCs w:val="24"/>
        </w:rPr>
        <w:t>.</w:t>
      </w:r>
    </w:p>
    <w:p w14:paraId="3026620A" w14:textId="77777777" w:rsidR="00DB746A" w:rsidRPr="00EE4476" w:rsidRDefault="008842E1" w:rsidP="00DB746A">
      <w:pPr>
        <w:pStyle w:val="ListParagraph"/>
        <w:keepNext/>
        <w:bidi w:val="0"/>
        <w:ind w:left="360"/>
        <w:rPr>
          <w:sz w:val="24"/>
          <w:szCs w:val="24"/>
        </w:rPr>
      </w:pPr>
      <w:r w:rsidRPr="00EE4476">
        <w:rPr>
          <w:noProof/>
          <w:sz w:val="24"/>
          <w:szCs w:val="24"/>
        </w:rPr>
        <w:drawing>
          <wp:inline distT="0" distB="0" distL="0" distR="0" wp14:anchorId="0250415A" wp14:editId="287F8AD9">
            <wp:extent cx="5265420" cy="3672840"/>
            <wp:effectExtent l="0" t="0" r="0" b="3810"/>
            <wp:docPr id="178183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p>
    <w:p w14:paraId="4B8BEC34" w14:textId="5B26494F" w:rsidR="00DB746A" w:rsidRPr="00EE4476" w:rsidRDefault="00DB746A" w:rsidP="00DB746A">
      <w:pPr>
        <w:pStyle w:val="Caption"/>
        <w:bidi w:val="0"/>
        <w:rPr>
          <w:sz w:val="24"/>
          <w:szCs w:val="24"/>
        </w:rPr>
      </w:pPr>
      <w:r w:rsidRPr="00EE4476">
        <w:rPr>
          <w:sz w:val="24"/>
          <w:szCs w:val="24"/>
        </w:rPr>
        <w:t>Figure</w:t>
      </w:r>
      <w:r w:rsidRPr="00EE4476">
        <w:rPr>
          <w:sz w:val="24"/>
          <w:szCs w:val="24"/>
          <w:rtl/>
        </w:rPr>
        <w:t xml:space="preserve"> </w:t>
      </w:r>
      <w:r w:rsidRPr="00EE4476">
        <w:rPr>
          <w:sz w:val="24"/>
          <w:szCs w:val="24"/>
          <w:rtl/>
        </w:rPr>
        <w:fldChar w:fldCharType="begin"/>
      </w:r>
      <w:r w:rsidRPr="00EE4476">
        <w:rPr>
          <w:sz w:val="24"/>
          <w:szCs w:val="24"/>
          <w:rtl/>
        </w:rPr>
        <w:instrText xml:space="preserve"> </w:instrText>
      </w:r>
      <w:r w:rsidRPr="00EE4476">
        <w:rPr>
          <w:sz w:val="24"/>
          <w:szCs w:val="24"/>
        </w:rPr>
        <w:instrText>SEQ</w:instrText>
      </w:r>
      <w:r w:rsidRPr="00EE4476">
        <w:rPr>
          <w:sz w:val="24"/>
          <w:szCs w:val="24"/>
          <w:rtl/>
        </w:rPr>
        <w:instrText xml:space="preserve"> </w:instrText>
      </w:r>
      <w:r w:rsidRPr="00EE4476">
        <w:rPr>
          <w:sz w:val="24"/>
          <w:szCs w:val="24"/>
        </w:rPr>
        <w:instrText>Figure \* ARABIC</w:instrText>
      </w:r>
      <w:r w:rsidRPr="00EE4476">
        <w:rPr>
          <w:sz w:val="24"/>
          <w:szCs w:val="24"/>
          <w:rtl/>
        </w:rPr>
        <w:instrText xml:space="preserve"> </w:instrText>
      </w:r>
      <w:r w:rsidRPr="00EE4476">
        <w:rPr>
          <w:sz w:val="24"/>
          <w:szCs w:val="24"/>
          <w:rtl/>
        </w:rPr>
        <w:fldChar w:fldCharType="separate"/>
      </w:r>
      <w:r w:rsidR="003B72CD">
        <w:rPr>
          <w:noProof/>
          <w:sz w:val="24"/>
          <w:szCs w:val="24"/>
          <w:rtl/>
        </w:rPr>
        <w:t>6</w:t>
      </w:r>
      <w:r w:rsidRPr="00EE4476">
        <w:rPr>
          <w:sz w:val="24"/>
          <w:szCs w:val="24"/>
          <w:rtl/>
        </w:rPr>
        <w:fldChar w:fldCharType="end"/>
      </w:r>
      <w:r w:rsidRPr="00EE4476">
        <w:rPr>
          <w:sz w:val="24"/>
          <w:szCs w:val="24"/>
        </w:rPr>
        <w:t>: chosen SARIMA model predicted values compared to observed data.</w:t>
      </w:r>
    </w:p>
    <w:p w14:paraId="6C982639" w14:textId="77777777" w:rsidR="00DB746A" w:rsidRPr="00EE4476" w:rsidRDefault="008842E1" w:rsidP="00DB746A">
      <w:pPr>
        <w:pStyle w:val="ListParagraph"/>
        <w:keepNext/>
        <w:bidi w:val="0"/>
        <w:ind w:left="360"/>
        <w:rPr>
          <w:sz w:val="24"/>
          <w:szCs w:val="24"/>
        </w:rPr>
      </w:pPr>
      <w:r w:rsidRPr="00EE4476">
        <w:rPr>
          <w:noProof/>
          <w:sz w:val="24"/>
          <w:szCs w:val="24"/>
        </w:rPr>
        <w:lastRenderedPageBreak/>
        <w:drawing>
          <wp:inline distT="0" distB="0" distL="0" distR="0" wp14:anchorId="0185C0D4" wp14:editId="23920D85">
            <wp:extent cx="4945276" cy="2438400"/>
            <wp:effectExtent l="0" t="0" r="8255" b="0"/>
            <wp:docPr id="51705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62" cy="2442781"/>
                    </a:xfrm>
                    <a:prstGeom prst="rect">
                      <a:avLst/>
                    </a:prstGeom>
                    <a:noFill/>
                    <a:ln>
                      <a:noFill/>
                    </a:ln>
                  </pic:spPr>
                </pic:pic>
              </a:graphicData>
            </a:graphic>
          </wp:inline>
        </w:drawing>
      </w:r>
    </w:p>
    <w:p w14:paraId="7F501E81" w14:textId="41947961" w:rsidR="008842E1" w:rsidRPr="00EE4476" w:rsidRDefault="00DB746A" w:rsidP="00DB746A">
      <w:pPr>
        <w:pStyle w:val="Caption"/>
        <w:bidi w:val="0"/>
        <w:rPr>
          <w:sz w:val="24"/>
          <w:szCs w:val="24"/>
        </w:rPr>
      </w:pPr>
      <w:r w:rsidRPr="00EE4476">
        <w:rPr>
          <w:sz w:val="24"/>
          <w:szCs w:val="24"/>
        </w:rPr>
        <w:t xml:space="preserve">Figure </w:t>
      </w:r>
      <w:r w:rsidRPr="00EE4476">
        <w:rPr>
          <w:sz w:val="24"/>
          <w:szCs w:val="24"/>
        </w:rPr>
        <w:fldChar w:fldCharType="begin"/>
      </w:r>
      <w:r w:rsidRPr="00EE4476">
        <w:rPr>
          <w:sz w:val="24"/>
          <w:szCs w:val="24"/>
        </w:rPr>
        <w:instrText xml:space="preserve"> SEQ Figure \* ARABIC </w:instrText>
      </w:r>
      <w:r w:rsidRPr="00EE4476">
        <w:rPr>
          <w:sz w:val="24"/>
          <w:szCs w:val="24"/>
        </w:rPr>
        <w:fldChar w:fldCharType="separate"/>
      </w:r>
      <w:r w:rsidR="003B72CD">
        <w:rPr>
          <w:noProof/>
          <w:sz w:val="24"/>
          <w:szCs w:val="24"/>
        </w:rPr>
        <w:t>7</w:t>
      </w:r>
      <w:r w:rsidRPr="00EE4476">
        <w:rPr>
          <w:sz w:val="24"/>
          <w:szCs w:val="24"/>
        </w:rPr>
        <w:fldChar w:fldCharType="end"/>
      </w:r>
      <w:r w:rsidRPr="00EE4476">
        <w:rPr>
          <w:sz w:val="24"/>
          <w:szCs w:val="24"/>
        </w:rPr>
        <w:t>: next year predictions based on chosen model.</w:t>
      </w:r>
    </w:p>
    <w:p w14:paraId="6A5FEEBB" w14:textId="2E9AAF9E" w:rsidR="000824A7" w:rsidRPr="00EE4476" w:rsidRDefault="000824A7" w:rsidP="008842E1">
      <w:pPr>
        <w:pStyle w:val="ListParagraph"/>
        <w:bidi w:val="0"/>
        <w:ind w:left="360"/>
        <w:rPr>
          <w:b/>
          <w:bCs/>
          <w:sz w:val="24"/>
          <w:szCs w:val="24"/>
        </w:rPr>
      </w:pPr>
      <w:r w:rsidRPr="00EE4476">
        <w:rPr>
          <w:b/>
          <w:bCs/>
          <w:sz w:val="24"/>
          <w:szCs w:val="24"/>
        </w:rPr>
        <w:t>3.2 PROPHET</w:t>
      </w:r>
    </w:p>
    <w:p w14:paraId="0EE9826F" w14:textId="2A8DD06C" w:rsidR="00694532" w:rsidRPr="00EE4476" w:rsidRDefault="00694532" w:rsidP="00694532">
      <w:pPr>
        <w:pStyle w:val="ListParagraph"/>
        <w:bidi w:val="0"/>
        <w:ind w:left="360"/>
        <w:rPr>
          <w:rFonts w:eastAsiaTheme="minorEastAsia"/>
          <w:sz w:val="24"/>
          <w:szCs w:val="24"/>
        </w:rPr>
      </w:pPr>
      <w:r w:rsidRPr="00EE4476">
        <w:rPr>
          <w:rFonts w:eastAsiaTheme="minorEastAsia"/>
          <w:sz w:val="24"/>
          <w:szCs w:val="24"/>
        </w:rPr>
        <w:t xml:space="preserve">The best prophet model with </w:t>
      </w:r>
      <w:r w:rsidR="00DA7082" w:rsidRPr="00EE4476">
        <w:rPr>
          <w:rFonts w:eastAsiaTheme="minorEastAsia"/>
          <w:sz w:val="24"/>
          <w:szCs w:val="24"/>
        </w:rPr>
        <w:t>an MSE</w:t>
      </w:r>
      <w:r w:rsidRPr="00EE4476">
        <w:rPr>
          <w:rFonts w:eastAsiaTheme="minorEastAsia"/>
          <w:sz w:val="24"/>
          <w:szCs w:val="24"/>
        </w:rPr>
        <w:t xml:space="preserve"> of 0.027 was: changepoint range = 0.85, seasonality prior scale = 0.01, changepoint prior scale=0.1</w:t>
      </w:r>
      <w:r w:rsidR="00DA7082" w:rsidRPr="00EE4476">
        <w:rPr>
          <w:rFonts w:eastAsiaTheme="minorEastAsia"/>
          <w:sz w:val="24"/>
          <w:szCs w:val="24"/>
        </w:rPr>
        <w:t xml:space="preserve">. From Figure </w:t>
      </w:r>
      <w:r w:rsidR="00DB746A" w:rsidRPr="00EE4476">
        <w:rPr>
          <w:rFonts w:eastAsiaTheme="minorEastAsia"/>
          <w:sz w:val="24"/>
          <w:szCs w:val="24"/>
        </w:rPr>
        <w:t>8</w:t>
      </w:r>
      <w:r w:rsidR="00DA7082" w:rsidRPr="00EE4476">
        <w:rPr>
          <w:rFonts w:eastAsiaTheme="minorEastAsia"/>
          <w:sz w:val="24"/>
          <w:szCs w:val="24"/>
        </w:rPr>
        <w:t xml:space="preserve"> we can see that the prophet model is kind of an exponential smoothing on the real data with some trend changes. The model averages the noise but does not learn the time series very well.</w:t>
      </w:r>
    </w:p>
    <w:p w14:paraId="717CF819" w14:textId="77777777" w:rsidR="00DB746A" w:rsidRPr="00EE4476" w:rsidRDefault="00DA7082" w:rsidP="00DB746A">
      <w:pPr>
        <w:pStyle w:val="ListParagraph"/>
        <w:keepNext/>
        <w:bidi w:val="0"/>
        <w:ind w:left="360"/>
        <w:rPr>
          <w:sz w:val="24"/>
          <w:szCs w:val="24"/>
        </w:rPr>
      </w:pPr>
      <w:r w:rsidRPr="00EE4476">
        <w:rPr>
          <w:rFonts w:eastAsiaTheme="minorEastAsia"/>
          <w:noProof/>
          <w:sz w:val="24"/>
          <w:szCs w:val="24"/>
        </w:rPr>
        <w:drawing>
          <wp:inline distT="0" distB="0" distL="0" distR="0" wp14:anchorId="4B886AFB" wp14:editId="6A196822">
            <wp:extent cx="4785360" cy="2849087"/>
            <wp:effectExtent l="0" t="0" r="0" b="8890"/>
            <wp:docPr id="1964033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172" cy="2853738"/>
                    </a:xfrm>
                    <a:prstGeom prst="rect">
                      <a:avLst/>
                    </a:prstGeom>
                    <a:noFill/>
                    <a:ln>
                      <a:noFill/>
                    </a:ln>
                  </pic:spPr>
                </pic:pic>
              </a:graphicData>
            </a:graphic>
          </wp:inline>
        </w:drawing>
      </w:r>
    </w:p>
    <w:p w14:paraId="14459B4D" w14:textId="665808BE" w:rsidR="00694532" w:rsidRPr="00EE4476" w:rsidRDefault="00DB746A" w:rsidP="00DB746A">
      <w:pPr>
        <w:pStyle w:val="Caption"/>
        <w:bidi w:val="0"/>
        <w:rPr>
          <w:b/>
          <w:bCs/>
          <w:sz w:val="24"/>
          <w:szCs w:val="24"/>
        </w:rPr>
      </w:pPr>
      <w:r w:rsidRPr="00EE4476">
        <w:rPr>
          <w:sz w:val="24"/>
          <w:szCs w:val="24"/>
        </w:rPr>
        <w:t xml:space="preserve">Figure </w:t>
      </w:r>
      <w:r w:rsidRPr="00EE4476">
        <w:rPr>
          <w:sz w:val="24"/>
          <w:szCs w:val="24"/>
        </w:rPr>
        <w:fldChar w:fldCharType="begin"/>
      </w:r>
      <w:r w:rsidRPr="00EE4476">
        <w:rPr>
          <w:sz w:val="24"/>
          <w:szCs w:val="24"/>
        </w:rPr>
        <w:instrText xml:space="preserve"> SEQ Figure \* ARABIC </w:instrText>
      </w:r>
      <w:r w:rsidRPr="00EE4476">
        <w:rPr>
          <w:sz w:val="24"/>
          <w:szCs w:val="24"/>
        </w:rPr>
        <w:fldChar w:fldCharType="separate"/>
      </w:r>
      <w:r w:rsidR="003B72CD">
        <w:rPr>
          <w:noProof/>
          <w:sz w:val="24"/>
          <w:szCs w:val="24"/>
        </w:rPr>
        <w:t>8</w:t>
      </w:r>
      <w:r w:rsidRPr="00EE4476">
        <w:rPr>
          <w:sz w:val="24"/>
          <w:szCs w:val="24"/>
        </w:rPr>
        <w:fldChar w:fldCharType="end"/>
      </w:r>
      <w:r w:rsidRPr="00EE4476">
        <w:rPr>
          <w:sz w:val="24"/>
          <w:szCs w:val="24"/>
        </w:rPr>
        <w:t xml:space="preserve">: Prophet model predicted value compared to observed </w:t>
      </w:r>
      <w:proofErr w:type="gramStart"/>
      <w:r w:rsidRPr="00EE4476">
        <w:rPr>
          <w:sz w:val="24"/>
          <w:szCs w:val="24"/>
        </w:rPr>
        <w:t>data</w:t>
      </w:r>
      <w:proofErr w:type="gramEnd"/>
    </w:p>
    <w:p w14:paraId="21C383C3" w14:textId="4316876E" w:rsidR="000824A7" w:rsidRPr="00EE4476" w:rsidRDefault="000824A7" w:rsidP="000824A7">
      <w:pPr>
        <w:pStyle w:val="ListParagraph"/>
        <w:bidi w:val="0"/>
        <w:ind w:left="360"/>
        <w:rPr>
          <w:b/>
          <w:bCs/>
          <w:sz w:val="24"/>
          <w:szCs w:val="24"/>
        </w:rPr>
      </w:pPr>
      <w:r w:rsidRPr="00EE4476">
        <w:rPr>
          <w:b/>
          <w:bCs/>
          <w:sz w:val="24"/>
          <w:szCs w:val="24"/>
        </w:rPr>
        <w:t>3.3 Exogenous Variable</w:t>
      </w:r>
    </w:p>
    <w:p w14:paraId="5483954C" w14:textId="7FB0F459" w:rsidR="0043053E" w:rsidRPr="00EE4476" w:rsidRDefault="0043053E" w:rsidP="0043053E">
      <w:pPr>
        <w:pStyle w:val="ListParagraph"/>
        <w:bidi w:val="0"/>
        <w:ind w:left="360"/>
        <w:rPr>
          <w:sz w:val="24"/>
          <w:szCs w:val="24"/>
        </w:rPr>
      </w:pPr>
      <w:r w:rsidRPr="00EE4476">
        <w:rPr>
          <w:sz w:val="24"/>
          <w:szCs w:val="24"/>
        </w:rPr>
        <w:t>We used 6 different e</w:t>
      </w:r>
      <w:r w:rsidRPr="00EE4476">
        <w:rPr>
          <w:sz w:val="24"/>
          <w:szCs w:val="24"/>
        </w:rPr>
        <w:t>xogenous</w:t>
      </w:r>
      <w:r w:rsidRPr="00EE4476">
        <w:rPr>
          <w:sz w:val="24"/>
          <w:szCs w:val="24"/>
        </w:rPr>
        <w:t xml:space="preserve"> v</w:t>
      </w:r>
      <w:r w:rsidRPr="00EE4476">
        <w:rPr>
          <w:sz w:val="24"/>
          <w:szCs w:val="24"/>
        </w:rPr>
        <w:t>ariables</w:t>
      </w:r>
      <w:r w:rsidRPr="00EE4476">
        <w:rPr>
          <w:sz w:val="24"/>
          <w:szCs w:val="24"/>
        </w:rPr>
        <w:t xml:space="preserve">: lag volume – the volume of last week close, election year – indicator if current year is an election year, years until next election: how many years are left until a reelection, democrat – indicator if the democrat party is in power. For the 2 indicators we used an interaction for the indicator and log close as well called </w:t>
      </w:r>
      <w:r w:rsidRPr="00EE4476">
        <w:rPr>
          <w:rFonts w:ascii="Aptos Narrow" w:hAnsi="Aptos Narrow"/>
          <w:color w:val="000000"/>
          <w:sz w:val="24"/>
          <w:szCs w:val="24"/>
        </w:rPr>
        <w:t>e</w:t>
      </w:r>
      <w:r w:rsidRPr="00EE4476">
        <w:rPr>
          <w:rFonts w:ascii="Aptos Narrow" w:hAnsi="Aptos Narrow"/>
          <w:color w:val="000000"/>
          <w:sz w:val="24"/>
          <w:szCs w:val="24"/>
        </w:rPr>
        <w:t>lection</w:t>
      </w:r>
      <w:r w:rsidRPr="00EE4476">
        <w:rPr>
          <w:rFonts w:ascii="Aptos Narrow" w:hAnsi="Aptos Narrow"/>
          <w:b/>
          <w:bCs/>
          <w:color w:val="000000"/>
          <w:sz w:val="24"/>
          <w:szCs w:val="24"/>
        </w:rPr>
        <w:t xml:space="preserve"> </w:t>
      </w:r>
      <w:r w:rsidRPr="00EE4476">
        <w:rPr>
          <w:rFonts w:ascii="Aptos Narrow" w:hAnsi="Aptos Narrow"/>
          <w:color w:val="000000"/>
          <w:sz w:val="24"/>
          <w:szCs w:val="24"/>
        </w:rPr>
        <w:t>year</w:t>
      </w:r>
      <w:r w:rsidRPr="00EE4476">
        <w:rPr>
          <w:rFonts w:ascii="Aptos Narrow" w:hAnsi="Aptos Narrow"/>
          <w:b/>
          <w:bCs/>
          <w:color w:val="000000"/>
          <w:sz w:val="24"/>
          <w:szCs w:val="24"/>
        </w:rPr>
        <w:t xml:space="preserve"> </w:t>
      </w:r>
      <w:r w:rsidRPr="00EE4476">
        <w:rPr>
          <w:rFonts w:ascii="Aptos Narrow" w:hAnsi="Aptos Narrow"/>
          <w:b/>
          <w:bCs/>
          <w:color w:val="000000"/>
          <w:sz w:val="24"/>
          <w:szCs w:val="24"/>
        </w:rPr>
        <w:t>l</w:t>
      </w:r>
      <w:r w:rsidRPr="00EE4476">
        <w:rPr>
          <w:rFonts w:ascii="Aptos Narrow" w:hAnsi="Aptos Narrow"/>
          <w:color w:val="000000"/>
          <w:sz w:val="24"/>
          <w:szCs w:val="24"/>
        </w:rPr>
        <w:t>og</w:t>
      </w:r>
      <w:r w:rsidRPr="00EE4476">
        <w:rPr>
          <w:rFonts w:ascii="Aptos Narrow" w:hAnsi="Aptos Narrow"/>
          <w:b/>
          <w:bCs/>
          <w:color w:val="000000"/>
          <w:sz w:val="24"/>
          <w:szCs w:val="24"/>
        </w:rPr>
        <w:t xml:space="preserve"> </w:t>
      </w:r>
      <w:r w:rsidRPr="00EE4476">
        <w:rPr>
          <w:rFonts w:ascii="Aptos Narrow" w:hAnsi="Aptos Narrow"/>
          <w:color w:val="000000"/>
          <w:sz w:val="24"/>
          <w:szCs w:val="24"/>
        </w:rPr>
        <w:t>close</w:t>
      </w:r>
      <w:r w:rsidRPr="00EE4476">
        <w:rPr>
          <w:rFonts w:ascii="Aptos Narrow" w:hAnsi="Aptos Narrow"/>
          <w:color w:val="000000"/>
          <w:sz w:val="24"/>
          <w:szCs w:val="24"/>
        </w:rPr>
        <w:t xml:space="preserve"> and democrat </w:t>
      </w:r>
      <w:r w:rsidRPr="00EE4476">
        <w:rPr>
          <w:rFonts w:ascii="Aptos Narrow" w:hAnsi="Aptos Narrow"/>
          <w:color w:val="000000"/>
          <w:sz w:val="24"/>
          <w:szCs w:val="24"/>
        </w:rPr>
        <w:t>log</w:t>
      </w:r>
      <w:r w:rsidRPr="00EE4476">
        <w:rPr>
          <w:rFonts w:ascii="Aptos Narrow" w:hAnsi="Aptos Narrow"/>
          <w:b/>
          <w:bCs/>
          <w:color w:val="000000"/>
          <w:sz w:val="24"/>
          <w:szCs w:val="24"/>
        </w:rPr>
        <w:t xml:space="preserve"> </w:t>
      </w:r>
      <w:r w:rsidRPr="00EE4476">
        <w:rPr>
          <w:rFonts w:ascii="Aptos Narrow" w:hAnsi="Aptos Narrow"/>
          <w:color w:val="000000"/>
          <w:sz w:val="24"/>
          <w:szCs w:val="24"/>
        </w:rPr>
        <w:t>close</w:t>
      </w:r>
      <w:r w:rsidRPr="00EE4476">
        <w:rPr>
          <w:rFonts w:ascii="Aptos Narrow" w:hAnsi="Aptos Narrow"/>
          <w:color w:val="000000"/>
          <w:sz w:val="24"/>
          <w:szCs w:val="24"/>
        </w:rPr>
        <w:t>.</w:t>
      </w:r>
    </w:p>
    <w:tbl>
      <w:tblPr>
        <w:tblStyle w:val="PlainTable1"/>
        <w:tblW w:w="0" w:type="auto"/>
        <w:tblInd w:w="1508" w:type="dxa"/>
        <w:tblLayout w:type="fixed"/>
        <w:tblLook w:val="04A0" w:firstRow="1" w:lastRow="0" w:firstColumn="1" w:lastColumn="0" w:noHBand="0" w:noVBand="1"/>
      </w:tblPr>
      <w:tblGrid>
        <w:gridCol w:w="3023"/>
        <w:gridCol w:w="1276"/>
        <w:gridCol w:w="2268"/>
      </w:tblGrid>
      <w:tr w:rsidR="0043053E" w:rsidRPr="00EE4476" w14:paraId="4B267015" w14:textId="77777777" w:rsidTr="0043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14:paraId="6C213D12" w14:textId="38E2D5B2" w:rsidR="0043053E" w:rsidRPr="00EE4476" w:rsidRDefault="0043053E" w:rsidP="00DF4E8C">
            <w:pPr>
              <w:pStyle w:val="ListParagraph"/>
              <w:bidi w:val="0"/>
              <w:ind w:left="0"/>
              <w:jc w:val="center"/>
              <w:rPr>
                <w:b w:val="0"/>
                <w:bCs w:val="0"/>
                <w:sz w:val="24"/>
                <w:szCs w:val="24"/>
              </w:rPr>
            </w:pPr>
            <w:r w:rsidRPr="00EE4476">
              <w:rPr>
                <w:b w:val="0"/>
                <w:bCs w:val="0"/>
                <w:sz w:val="24"/>
                <w:szCs w:val="24"/>
              </w:rPr>
              <w:lastRenderedPageBreak/>
              <w:t>Variable</w:t>
            </w:r>
          </w:p>
        </w:tc>
        <w:tc>
          <w:tcPr>
            <w:tcW w:w="1276" w:type="dxa"/>
          </w:tcPr>
          <w:p w14:paraId="3351A90D" w14:textId="77777777" w:rsidR="0043053E" w:rsidRPr="00EE4476" w:rsidRDefault="0043053E" w:rsidP="00DF4E8C">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E4476">
              <w:rPr>
                <w:b w:val="0"/>
                <w:bCs w:val="0"/>
                <w:sz w:val="24"/>
                <w:szCs w:val="24"/>
              </w:rPr>
              <w:t>MSE</w:t>
            </w:r>
          </w:p>
        </w:tc>
        <w:tc>
          <w:tcPr>
            <w:tcW w:w="2268" w:type="dxa"/>
          </w:tcPr>
          <w:p w14:paraId="5ECF20B4" w14:textId="77777777" w:rsidR="0043053E" w:rsidRPr="00EE4476" w:rsidRDefault="0043053E" w:rsidP="00DF4E8C">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E4476">
              <w:rPr>
                <w:b w:val="0"/>
                <w:bCs w:val="0"/>
                <w:sz w:val="24"/>
                <w:szCs w:val="24"/>
              </w:rPr>
              <w:t>Average AIC</w:t>
            </w:r>
          </w:p>
        </w:tc>
      </w:tr>
      <w:tr w:rsidR="0043053E" w:rsidRPr="00EE4476" w14:paraId="18E6FC8F" w14:textId="77777777" w:rsidTr="0043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14:paraId="1CA6B58A" w14:textId="3F95ED58" w:rsidR="0043053E" w:rsidRPr="00EE4476" w:rsidRDefault="0043053E" w:rsidP="00DF4E8C">
            <w:pPr>
              <w:pStyle w:val="ListParagraph"/>
              <w:bidi w:val="0"/>
              <w:ind w:left="0"/>
              <w:jc w:val="center"/>
              <w:rPr>
                <w:b w:val="0"/>
                <w:bCs w:val="0"/>
                <w:sz w:val="24"/>
                <w:szCs w:val="24"/>
              </w:rPr>
            </w:pPr>
            <w:r w:rsidRPr="00EE4476">
              <w:rPr>
                <w:rFonts w:ascii="Aptos Narrow" w:hAnsi="Aptos Narrow"/>
                <w:b w:val="0"/>
                <w:bCs w:val="0"/>
                <w:color w:val="000000"/>
                <w:sz w:val="24"/>
                <w:szCs w:val="24"/>
              </w:rPr>
              <w:t>Lag</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Volume</w:t>
            </w:r>
          </w:p>
        </w:tc>
        <w:tc>
          <w:tcPr>
            <w:tcW w:w="1276" w:type="dxa"/>
          </w:tcPr>
          <w:p w14:paraId="0B0F6B3D" w14:textId="7190D60F" w:rsidR="0043053E" w:rsidRPr="00EE4476" w:rsidRDefault="0043053E" w:rsidP="00DF4E8C">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EE4476">
              <w:rPr>
                <w:sz w:val="24"/>
                <w:szCs w:val="24"/>
              </w:rPr>
              <w:t>0.0123</w:t>
            </w:r>
          </w:p>
        </w:tc>
        <w:tc>
          <w:tcPr>
            <w:tcW w:w="2268" w:type="dxa"/>
          </w:tcPr>
          <w:p w14:paraId="6991C95E" w14:textId="6EBADBC5" w:rsidR="0043053E" w:rsidRPr="00EE4476" w:rsidRDefault="0043053E" w:rsidP="00DF4E8C">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EE4476">
              <w:rPr>
                <w:sz w:val="24"/>
                <w:szCs w:val="24"/>
              </w:rPr>
              <w:t>-882</w:t>
            </w:r>
            <w:r w:rsidRPr="00EE4476">
              <w:rPr>
                <w:sz w:val="24"/>
                <w:szCs w:val="24"/>
              </w:rPr>
              <w:t>5</w:t>
            </w:r>
          </w:p>
        </w:tc>
      </w:tr>
      <w:tr w:rsidR="0043053E" w:rsidRPr="00EE4476" w14:paraId="34F1C88F" w14:textId="77777777" w:rsidTr="0043053E">
        <w:tc>
          <w:tcPr>
            <w:cnfStyle w:val="001000000000" w:firstRow="0" w:lastRow="0" w:firstColumn="1" w:lastColumn="0" w:oddVBand="0" w:evenVBand="0" w:oddHBand="0" w:evenHBand="0" w:firstRowFirstColumn="0" w:firstRowLastColumn="0" w:lastRowFirstColumn="0" w:lastRowLastColumn="0"/>
            <w:tcW w:w="3023" w:type="dxa"/>
          </w:tcPr>
          <w:p w14:paraId="7073B284" w14:textId="66C93AC8" w:rsidR="0043053E" w:rsidRPr="00EE4476" w:rsidRDefault="0043053E" w:rsidP="00DF4E8C">
            <w:pPr>
              <w:pStyle w:val="ListParagraph"/>
              <w:bidi w:val="0"/>
              <w:ind w:left="0"/>
              <w:jc w:val="center"/>
              <w:rPr>
                <w:b w:val="0"/>
                <w:bCs w:val="0"/>
                <w:sz w:val="24"/>
                <w:szCs w:val="24"/>
              </w:rPr>
            </w:pPr>
            <w:r w:rsidRPr="00EE4476">
              <w:rPr>
                <w:rFonts w:ascii="Aptos Narrow" w:hAnsi="Aptos Narrow"/>
                <w:b w:val="0"/>
                <w:bCs w:val="0"/>
                <w:color w:val="000000"/>
                <w:sz w:val="24"/>
                <w:szCs w:val="24"/>
              </w:rPr>
              <w:t>Election</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year</w:t>
            </w:r>
          </w:p>
        </w:tc>
        <w:tc>
          <w:tcPr>
            <w:tcW w:w="1276" w:type="dxa"/>
          </w:tcPr>
          <w:p w14:paraId="57B8512B" w14:textId="6790FE21" w:rsidR="0043053E" w:rsidRPr="00EE4476" w:rsidRDefault="0043053E" w:rsidP="00DF4E8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EE4476">
              <w:rPr>
                <w:sz w:val="24"/>
                <w:szCs w:val="24"/>
              </w:rPr>
              <w:t>0.008</w:t>
            </w:r>
          </w:p>
        </w:tc>
        <w:tc>
          <w:tcPr>
            <w:tcW w:w="2268" w:type="dxa"/>
          </w:tcPr>
          <w:p w14:paraId="550ED442" w14:textId="6F5D3092" w:rsidR="0043053E" w:rsidRPr="00EE4476" w:rsidRDefault="0043053E" w:rsidP="00DF4E8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EE4476">
              <w:rPr>
                <w:sz w:val="24"/>
                <w:szCs w:val="24"/>
              </w:rPr>
              <w:t>-9772</w:t>
            </w:r>
          </w:p>
        </w:tc>
      </w:tr>
      <w:tr w:rsidR="0043053E" w:rsidRPr="00EE4476" w14:paraId="2C836526" w14:textId="77777777" w:rsidTr="0043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14:paraId="3AA7F4F5" w14:textId="5F820648" w:rsidR="0043053E" w:rsidRPr="00EE4476" w:rsidRDefault="0043053E" w:rsidP="00DF4E8C">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Election</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year</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Log</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close</w:t>
            </w:r>
          </w:p>
        </w:tc>
        <w:tc>
          <w:tcPr>
            <w:tcW w:w="1276" w:type="dxa"/>
          </w:tcPr>
          <w:p w14:paraId="72687EEE" w14:textId="7872B3CB" w:rsidR="0043053E" w:rsidRPr="00EE4476" w:rsidRDefault="0043053E" w:rsidP="00DF4E8C">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0.0087</w:t>
            </w:r>
          </w:p>
        </w:tc>
        <w:tc>
          <w:tcPr>
            <w:tcW w:w="2268" w:type="dxa"/>
          </w:tcPr>
          <w:p w14:paraId="2DDA588A" w14:textId="4571F1DE" w:rsidR="0043053E" w:rsidRPr="00EE4476" w:rsidRDefault="0043053E" w:rsidP="00DF4E8C">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-9762</w:t>
            </w:r>
          </w:p>
        </w:tc>
      </w:tr>
      <w:tr w:rsidR="0043053E" w:rsidRPr="00EE4476" w14:paraId="1A5679D6" w14:textId="77777777" w:rsidTr="0043053E">
        <w:tc>
          <w:tcPr>
            <w:cnfStyle w:val="001000000000" w:firstRow="0" w:lastRow="0" w:firstColumn="1" w:lastColumn="0" w:oddVBand="0" w:evenVBand="0" w:oddHBand="0" w:evenHBand="0" w:firstRowFirstColumn="0" w:firstRowLastColumn="0" w:lastRowFirstColumn="0" w:lastRowLastColumn="0"/>
            <w:tcW w:w="3023" w:type="dxa"/>
          </w:tcPr>
          <w:p w14:paraId="47CC336D" w14:textId="03682257" w:rsidR="0043053E" w:rsidRPr="00EE4476" w:rsidRDefault="0043053E" w:rsidP="00DF4E8C">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Years Until Next US Election</w:t>
            </w:r>
          </w:p>
        </w:tc>
        <w:tc>
          <w:tcPr>
            <w:tcW w:w="1276" w:type="dxa"/>
          </w:tcPr>
          <w:p w14:paraId="7A3C1ADF" w14:textId="6E24B5F8" w:rsidR="0043053E" w:rsidRPr="00EE4476" w:rsidRDefault="0043053E" w:rsidP="00DF4E8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0.0081</w:t>
            </w:r>
          </w:p>
        </w:tc>
        <w:tc>
          <w:tcPr>
            <w:tcW w:w="2268" w:type="dxa"/>
          </w:tcPr>
          <w:p w14:paraId="6EDFCA08" w14:textId="40D5ACAC" w:rsidR="0043053E" w:rsidRPr="00EE4476" w:rsidRDefault="0043053E" w:rsidP="00DF4E8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-9770</w:t>
            </w:r>
          </w:p>
        </w:tc>
      </w:tr>
      <w:tr w:rsidR="0043053E" w:rsidRPr="00EE4476" w14:paraId="62B8BDB9" w14:textId="77777777" w:rsidTr="0043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14:paraId="028CD3FF" w14:textId="05366B4A" w:rsidR="0043053E" w:rsidRPr="00EE4476" w:rsidRDefault="0043053E" w:rsidP="00DF4E8C">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Democrat</w:t>
            </w:r>
          </w:p>
        </w:tc>
        <w:tc>
          <w:tcPr>
            <w:tcW w:w="1276" w:type="dxa"/>
          </w:tcPr>
          <w:p w14:paraId="7234653B" w14:textId="02B1787F" w:rsidR="0043053E" w:rsidRPr="00EE4476" w:rsidRDefault="0043053E" w:rsidP="00DF4E8C">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0.008</w:t>
            </w:r>
          </w:p>
        </w:tc>
        <w:tc>
          <w:tcPr>
            <w:tcW w:w="2268" w:type="dxa"/>
          </w:tcPr>
          <w:p w14:paraId="5F1C7B72" w14:textId="23874C20" w:rsidR="0043053E" w:rsidRPr="00EE4476" w:rsidRDefault="0043053E" w:rsidP="00DF4E8C">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-9775</w:t>
            </w:r>
          </w:p>
        </w:tc>
      </w:tr>
      <w:tr w:rsidR="0043053E" w:rsidRPr="00EE4476" w14:paraId="2F71F7E3" w14:textId="77777777" w:rsidTr="0043053E">
        <w:tc>
          <w:tcPr>
            <w:cnfStyle w:val="001000000000" w:firstRow="0" w:lastRow="0" w:firstColumn="1" w:lastColumn="0" w:oddVBand="0" w:evenVBand="0" w:oddHBand="0" w:evenHBand="0" w:firstRowFirstColumn="0" w:firstRowLastColumn="0" w:lastRowFirstColumn="0" w:lastRowLastColumn="0"/>
            <w:tcW w:w="3023" w:type="dxa"/>
          </w:tcPr>
          <w:p w14:paraId="64533EF7" w14:textId="3F11EBDB" w:rsidR="0043053E" w:rsidRPr="00EE4476" w:rsidRDefault="0043053E" w:rsidP="00DF4E8C">
            <w:pPr>
              <w:pStyle w:val="ListParagraph"/>
              <w:bidi w:val="0"/>
              <w:ind w:left="0"/>
              <w:jc w:val="center"/>
              <w:rPr>
                <w:rFonts w:ascii="Aptos Narrow" w:hAnsi="Aptos Narrow"/>
                <w:b w:val="0"/>
                <w:bCs w:val="0"/>
                <w:color w:val="000000"/>
                <w:sz w:val="24"/>
                <w:szCs w:val="24"/>
              </w:rPr>
            </w:pPr>
            <w:r w:rsidRPr="00EE4476">
              <w:rPr>
                <w:rFonts w:ascii="Aptos Narrow" w:hAnsi="Aptos Narrow"/>
                <w:b w:val="0"/>
                <w:bCs w:val="0"/>
                <w:color w:val="000000"/>
                <w:sz w:val="24"/>
                <w:szCs w:val="24"/>
              </w:rPr>
              <w:t>Democrat</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Log</w:t>
            </w:r>
            <w:r w:rsidRPr="00EE4476">
              <w:rPr>
                <w:rFonts w:ascii="Aptos Narrow" w:hAnsi="Aptos Narrow"/>
                <w:b w:val="0"/>
                <w:bCs w:val="0"/>
                <w:color w:val="000000"/>
                <w:sz w:val="24"/>
                <w:szCs w:val="24"/>
              </w:rPr>
              <w:t xml:space="preserve"> </w:t>
            </w:r>
            <w:r w:rsidRPr="00EE4476">
              <w:rPr>
                <w:rFonts w:ascii="Aptos Narrow" w:hAnsi="Aptos Narrow"/>
                <w:b w:val="0"/>
                <w:bCs w:val="0"/>
                <w:color w:val="000000"/>
                <w:sz w:val="24"/>
                <w:szCs w:val="24"/>
              </w:rPr>
              <w:t>close</w:t>
            </w:r>
          </w:p>
        </w:tc>
        <w:tc>
          <w:tcPr>
            <w:tcW w:w="1276" w:type="dxa"/>
          </w:tcPr>
          <w:p w14:paraId="6431B008" w14:textId="00F1B413" w:rsidR="0043053E" w:rsidRPr="00EE4476" w:rsidRDefault="0043053E" w:rsidP="00DF4E8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0.0059</w:t>
            </w:r>
          </w:p>
        </w:tc>
        <w:tc>
          <w:tcPr>
            <w:tcW w:w="2268" w:type="dxa"/>
          </w:tcPr>
          <w:p w14:paraId="613AFFBE" w14:textId="10ED4B99" w:rsidR="0043053E" w:rsidRPr="00EE4476" w:rsidRDefault="0043053E" w:rsidP="00DF4E8C">
            <w:pPr>
              <w:pStyle w:val="ListParagraph"/>
              <w:keepNext/>
              <w:bidi w:val="0"/>
              <w:ind w:left="0"/>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EE4476">
              <w:rPr>
                <w:rFonts w:ascii="Aptos Narrow" w:hAnsi="Aptos Narrow"/>
                <w:color w:val="000000"/>
                <w:sz w:val="24"/>
                <w:szCs w:val="24"/>
              </w:rPr>
              <w:t>-9744</w:t>
            </w:r>
          </w:p>
        </w:tc>
      </w:tr>
    </w:tbl>
    <w:p w14:paraId="4794B157" w14:textId="77777777" w:rsidR="00EE4476" w:rsidRDefault="00EE4476" w:rsidP="0043053E">
      <w:pPr>
        <w:pStyle w:val="ListParagraph"/>
        <w:bidi w:val="0"/>
        <w:ind w:left="360"/>
        <w:rPr>
          <w:sz w:val="24"/>
          <w:szCs w:val="24"/>
        </w:rPr>
      </w:pPr>
    </w:p>
    <w:p w14:paraId="61CE63A5" w14:textId="351D7EC2" w:rsidR="0043053E" w:rsidRPr="00EE4476" w:rsidRDefault="00EE3EA5" w:rsidP="00EE4476">
      <w:pPr>
        <w:pStyle w:val="ListParagraph"/>
        <w:bidi w:val="0"/>
        <w:ind w:left="360"/>
        <w:rPr>
          <w:sz w:val="24"/>
          <w:szCs w:val="24"/>
        </w:rPr>
      </w:pPr>
      <w:proofErr w:type="gramStart"/>
      <w:r w:rsidRPr="00EE4476">
        <w:rPr>
          <w:sz w:val="24"/>
          <w:szCs w:val="24"/>
        </w:rPr>
        <w:t>Democrat</w:t>
      </w:r>
      <w:proofErr w:type="gramEnd"/>
      <w:r w:rsidRPr="00EE4476">
        <w:rPr>
          <w:sz w:val="24"/>
          <w:szCs w:val="24"/>
        </w:rPr>
        <w:t xml:space="preserve"> log close produces a model with a slightly lower MSE model than the original one, but impairs the AIC. The contribution is not significant.</w:t>
      </w:r>
    </w:p>
    <w:p w14:paraId="14C9A658" w14:textId="760E31B6" w:rsidR="000252B7" w:rsidRPr="00EE4476" w:rsidRDefault="000252B7" w:rsidP="00EE3EA5">
      <w:pPr>
        <w:pStyle w:val="ListParagraph"/>
        <w:numPr>
          <w:ilvl w:val="0"/>
          <w:numId w:val="1"/>
        </w:numPr>
        <w:bidi w:val="0"/>
        <w:rPr>
          <w:b/>
          <w:bCs/>
          <w:sz w:val="24"/>
          <w:szCs w:val="24"/>
        </w:rPr>
      </w:pPr>
      <w:r w:rsidRPr="00EE4476">
        <w:rPr>
          <w:b/>
          <w:bCs/>
          <w:sz w:val="24"/>
          <w:szCs w:val="24"/>
        </w:rPr>
        <w:t>Conclusion</w:t>
      </w:r>
    </w:p>
    <w:p w14:paraId="20C6FC71" w14:textId="654151C3" w:rsidR="00095343" w:rsidRPr="00EE4476" w:rsidRDefault="006A498D" w:rsidP="006A498D">
      <w:pPr>
        <w:pStyle w:val="ListParagraph"/>
        <w:bidi w:val="0"/>
        <w:ind w:left="360"/>
        <w:rPr>
          <w:b/>
          <w:bCs/>
          <w:sz w:val="24"/>
          <w:szCs w:val="24"/>
          <w:rtl/>
        </w:rPr>
      </w:pPr>
      <w:r w:rsidRPr="00EE4476">
        <w:rPr>
          <w:sz w:val="24"/>
          <w:szCs w:val="24"/>
        </w:rPr>
        <w:t>T</w:t>
      </w:r>
      <w:r w:rsidRPr="00EE4476">
        <w:rPr>
          <w:sz w:val="24"/>
          <w:szCs w:val="24"/>
        </w:rPr>
        <w:t xml:space="preserve">his analysis of the S&amp;P 500's </w:t>
      </w:r>
      <w:r w:rsidRPr="00EE4476">
        <w:rPr>
          <w:sz w:val="24"/>
          <w:szCs w:val="24"/>
        </w:rPr>
        <w:t>weekly</w:t>
      </w:r>
      <w:r w:rsidRPr="00EE4476">
        <w:rPr>
          <w:sz w:val="24"/>
          <w:szCs w:val="24"/>
        </w:rPr>
        <w:t xml:space="preserve"> closing prices from 1950 to 2020 provides observation into the behavior of the index. The data reveals a</w:t>
      </w:r>
      <w:r w:rsidRPr="00EE4476">
        <w:rPr>
          <w:sz w:val="24"/>
          <w:szCs w:val="24"/>
        </w:rPr>
        <w:t xml:space="preserve">n </w:t>
      </w:r>
      <w:r w:rsidRPr="00EE4476">
        <w:rPr>
          <w:sz w:val="24"/>
          <w:szCs w:val="24"/>
        </w:rPr>
        <w:t xml:space="preserve">upward trend, with minimal but consistent seasonal fluctuations that align with known market </w:t>
      </w:r>
      <w:r w:rsidRPr="00EE4476">
        <w:rPr>
          <w:sz w:val="24"/>
          <w:szCs w:val="24"/>
        </w:rPr>
        <w:t>theory such</w:t>
      </w:r>
      <w:r w:rsidRPr="00EE4476">
        <w:rPr>
          <w:sz w:val="24"/>
          <w:szCs w:val="24"/>
        </w:rPr>
        <w:t xml:space="preserve"> as the "Sell in May and go away" effect. Despite the presence of seasonality, </w:t>
      </w:r>
      <w:r w:rsidRPr="00EE4476">
        <w:rPr>
          <w:sz w:val="24"/>
          <w:szCs w:val="24"/>
        </w:rPr>
        <w:t>it</w:t>
      </w:r>
      <w:r w:rsidRPr="00EE4476">
        <w:rPr>
          <w:sz w:val="24"/>
          <w:szCs w:val="24"/>
        </w:rPr>
        <w:t xml:space="preserve"> does not significantly dictate the movements of the S&amp;P 500. Through logarithmic transformation, we achieved a linear perspective that better facilitated our understanding of the index's long-term behavior. Predicting the S&amp;P 500's future movements requires a</w:t>
      </w:r>
      <w:r w:rsidRPr="00EE4476">
        <w:rPr>
          <w:sz w:val="24"/>
          <w:szCs w:val="24"/>
        </w:rPr>
        <w:t xml:space="preserve">n </w:t>
      </w:r>
      <w:r w:rsidRPr="00EE4476">
        <w:rPr>
          <w:sz w:val="24"/>
          <w:szCs w:val="24"/>
        </w:rPr>
        <w:t xml:space="preserve">understanding of both its historical tendencies and external economic factors, </w:t>
      </w:r>
      <w:r w:rsidRPr="00EE4476">
        <w:rPr>
          <w:sz w:val="24"/>
          <w:szCs w:val="24"/>
        </w:rPr>
        <w:t xml:space="preserve">future works should try to include better </w:t>
      </w:r>
      <w:r w:rsidRPr="00EE4476">
        <w:rPr>
          <w:sz w:val="24"/>
          <w:szCs w:val="24"/>
        </w:rPr>
        <w:t>exogenous variables</w:t>
      </w:r>
      <w:r w:rsidRPr="00EE4476">
        <w:rPr>
          <w:sz w:val="24"/>
          <w:szCs w:val="24"/>
        </w:rPr>
        <w:t>, as ours did not perform very well.</w:t>
      </w:r>
      <w:r w:rsidR="00095343" w:rsidRPr="00EE4476">
        <w:rPr>
          <w:b/>
          <w:bCs/>
          <w:sz w:val="24"/>
          <w:szCs w:val="24"/>
        </w:rPr>
        <w:br w:type="page"/>
      </w:r>
    </w:p>
    <w:p w14:paraId="0B8F0B9A" w14:textId="77777777" w:rsidR="00DC2B86" w:rsidRPr="00EE4476" w:rsidRDefault="00DC2B86" w:rsidP="00DC2B86">
      <w:pPr>
        <w:bidi w:val="0"/>
        <w:rPr>
          <w:sz w:val="24"/>
          <w:szCs w:val="24"/>
        </w:rPr>
      </w:pPr>
    </w:p>
    <w:p w14:paraId="2A36A241" w14:textId="31E2578D" w:rsidR="00095343" w:rsidRPr="00EE4476" w:rsidRDefault="00095343" w:rsidP="00095343">
      <w:pPr>
        <w:bidi w:val="0"/>
        <w:rPr>
          <w:b/>
          <w:bCs/>
          <w:sz w:val="24"/>
          <w:szCs w:val="24"/>
          <w:u w:val="single"/>
        </w:rPr>
      </w:pPr>
      <w:proofErr w:type="spellStart"/>
      <w:r w:rsidRPr="00EE4476">
        <w:rPr>
          <w:b/>
          <w:bCs/>
          <w:sz w:val="24"/>
          <w:szCs w:val="24"/>
          <w:u w:val="single"/>
        </w:rPr>
        <w:t>Refrences</w:t>
      </w:r>
      <w:proofErr w:type="spellEnd"/>
    </w:p>
    <w:p w14:paraId="1BAD95E4" w14:textId="521C7EBB" w:rsidR="00095343" w:rsidRPr="00EE4476" w:rsidRDefault="00095343" w:rsidP="00095343">
      <w:pPr>
        <w:bidi w:val="0"/>
        <w:rPr>
          <w:sz w:val="24"/>
          <w:szCs w:val="24"/>
        </w:rPr>
      </w:pPr>
      <w:r w:rsidRPr="00EE4476">
        <w:rPr>
          <w:sz w:val="24"/>
          <w:szCs w:val="24"/>
        </w:rPr>
        <w:t>[1] https://www.kaggle.com/datasets/henryhan117/sp-500-historical-data/data</w:t>
      </w:r>
    </w:p>
    <w:p w14:paraId="64AA7C10" w14:textId="0247E876" w:rsidR="00DB3242" w:rsidRPr="00EE4476" w:rsidRDefault="00095343" w:rsidP="00095343">
      <w:pPr>
        <w:bidi w:val="0"/>
        <w:rPr>
          <w:sz w:val="24"/>
          <w:szCs w:val="24"/>
        </w:rPr>
      </w:pPr>
      <w:r w:rsidRPr="00EE4476">
        <w:rPr>
          <w:sz w:val="24"/>
          <w:szCs w:val="24"/>
        </w:rPr>
        <w:t xml:space="preserve">[2] Bouman, Sven, and Ben Jacobsen. 2002. "The Halloween Indicator, "Sell in May and Go Away": Another </w:t>
      </w:r>
      <w:proofErr w:type="gramStart"/>
      <w:r w:rsidRPr="00EE4476">
        <w:rPr>
          <w:sz w:val="24"/>
          <w:szCs w:val="24"/>
        </w:rPr>
        <w:t>Puzzle .</w:t>
      </w:r>
      <w:proofErr w:type="gramEnd"/>
      <w:r w:rsidRPr="00EE4476">
        <w:rPr>
          <w:sz w:val="24"/>
          <w:szCs w:val="24"/>
        </w:rPr>
        <w:t>" American Economic Review, 92 (5): 1618-1635.DOI: 10.1257/000282802762024683</w:t>
      </w:r>
    </w:p>
    <w:p w14:paraId="612FE888" w14:textId="5C6D1B40" w:rsidR="00F17073" w:rsidRPr="00EE4476" w:rsidRDefault="00F17073" w:rsidP="00F17073">
      <w:pPr>
        <w:bidi w:val="0"/>
        <w:rPr>
          <w:sz w:val="24"/>
          <w:szCs w:val="24"/>
        </w:rPr>
      </w:pPr>
      <w:r w:rsidRPr="00EE4476">
        <w:rPr>
          <w:sz w:val="24"/>
          <w:szCs w:val="24"/>
        </w:rPr>
        <w:t>[3] https://advisor.morganstanley.com/the-ernie-garcia-group/documents/field/e/er/ernie-garcia-group/S%26P%20500%20in%20Presidential%20Election%20years.pdf</w:t>
      </w:r>
    </w:p>
    <w:sectPr w:rsidR="00F17073" w:rsidRPr="00EE4476" w:rsidSect="00DA1C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1854"/>
    <w:multiLevelType w:val="hybridMultilevel"/>
    <w:tmpl w:val="4F189C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577B4C"/>
    <w:multiLevelType w:val="multilevel"/>
    <w:tmpl w:val="E0ACE9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A9A4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1951845">
    <w:abstractNumId w:val="0"/>
  </w:num>
  <w:num w:numId="2" w16cid:durableId="1997028510">
    <w:abstractNumId w:val="2"/>
  </w:num>
  <w:num w:numId="3" w16cid:durableId="23960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30"/>
    <w:rsid w:val="000252B7"/>
    <w:rsid w:val="000824A7"/>
    <w:rsid w:val="00095343"/>
    <w:rsid w:val="000E18D3"/>
    <w:rsid w:val="001B11BD"/>
    <w:rsid w:val="002F57D7"/>
    <w:rsid w:val="003B72CD"/>
    <w:rsid w:val="003C1E4F"/>
    <w:rsid w:val="003F739A"/>
    <w:rsid w:val="0043053E"/>
    <w:rsid w:val="004938CE"/>
    <w:rsid w:val="004F152A"/>
    <w:rsid w:val="005C2C11"/>
    <w:rsid w:val="005C6219"/>
    <w:rsid w:val="005C76ED"/>
    <w:rsid w:val="00663E65"/>
    <w:rsid w:val="00682A35"/>
    <w:rsid w:val="00694532"/>
    <w:rsid w:val="006A1C82"/>
    <w:rsid w:val="006A498D"/>
    <w:rsid w:val="0075593B"/>
    <w:rsid w:val="0077029E"/>
    <w:rsid w:val="007A7E86"/>
    <w:rsid w:val="007E39BD"/>
    <w:rsid w:val="008411AD"/>
    <w:rsid w:val="008842E1"/>
    <w:rsid w:val="008B0D19"/>
    <w:rsid w:val="008C7962"/>
    <w:rsid w:val="0096628C"/>
    <w:rsid w:val="00980057"/>
    <w:rsid w:val="009847B3"/>
    <w:rsid w:val="00A02D8E"/>
    <w:rsid w:val="00A1432F"/>
    <w:rsid w:val="00B74EAD"/>
    <w:rsid w:val="00B83894"/>
    <w:rsid w:val="00BA5797"/>
    <w:rsid w:val="00BC2056"/>
    <w:rsid w:val="00C061A8"/>
    <w:rsid w:val="00CD776E"/>
    <w:rsid w:val="00DA1CFD"/>
    <w:rsid w:val="00DA7082"/>
    <w:rsid w:val="00DB3242"/>
    <w:rsid w:val="00DB746A"/>
    <w:rsid w:val="00DC2B86"/>
    <w:rsid w:val="00DF5F04"/>
    <w:rsid w:val="00E04130"/>
    <w:rsid w:val="00EE3EA5"/>
    <w:rsid w:val="00EE4476"/>
    <w:rsid w:val="00F17073"/>
    <w:rsid w:val="00F66D65"/>
    <w:rsid w:val="00F915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9CC0"/>
  <w15:chartTrackingRefBased/>
  <w15:docId w15:val="{9E124CB8-211F-4DCC-9DAA-C7656663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3E"/>
    <w:pPr>
      <w:bidi/>
    </w:pPr>
  </w:style>
  <w:style w:type="paragraph" w:styleId="Heading1">
    <w:name w:val="heading 1"/>
    <w:basedOn w:val="Normal"/>
    <w:next w:val="Normal"/>
    <w:link w:val="Heading1Char"/>
    <w:uiPriority w:val="9"/>
    <w:qFormat/>
    <w:rsid w:val="00E04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30"/>
    <w:rPr>
      <w:rFonts w:eastAsiaTheme="majorEastAsia" w:cstheme="majorBidi"/>
      <w:color w:val="272727" w:themeColor="text1" w:themeTint="D8"/>
    </w:rPr>
  </w:style>
  <w:style w:type="paragraph" w:styleId="Title">
    <w:name w:val="Title"/>
    <w:basedOn w:val="Normal"/>
    <w:next w:val="Normal"/>
    <w:link w:val="TitleChar"/>
    <w:uiPriority w:val="10"/>
    <w:qFormat/>
    <w:rsid w:val="00E04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30"/>
    <w:pPr>
      <w:spacing w:before="160"/>
      <w:jc w:val="center"/>
    </w:pPr>
    <w:rPr>
      <w:i/>
      <w:iCs/>
      <w:color w:val="404040" w:themeColor="text1" w:themeTint="BF"/>
    </w:rPr>
  </w:style>
  <w:style w:type="character" w:customStyle="1" w:styleId="QuoteChar">
    <w:name w:val="Quote Char"/>
    <w:basedOn w:val="DefaultParagraphFont"/>
    <w:link w:val="Quote"/>
    <w:uiPriority w:val="29"/>
    <w:rsid w:val="00E04130"/>
    <w:rPr>
      <w:i/>
      <w:iCs/>
      <w:color w:val="404040" w:themeColor="text1" w:themeTint="BF"/>
    </w:rPr>
  </w:style>
  <w:style w:type="paragraph" w:styleId="ListParagraph">
    <w:name w:val="List Paragraph"/>
    <w:basedOn w:val="Normal"/>
    <w:uiPriority w:val="34"/>
    <w:qFormat/>
    <w:rsid w:val="00E04130"/>
    <w:pPr>
      <w:ind w:left="720"/>
      <w:contextualSpacing/>
    </w:pPr>
  </w:style>
  <w:style w:type="character" w:styleId="IntenseEmphasis">
    <w:name w:val="Intense Emphasis"/>
    <w:basedOn w:val="DefaultParagraphFont"/>
    <w:uiPriority w:val="21"/>
    <w:qFormat/>
    <w:rsid w:val="00E04130"/>
    <w:rPr>
      <w:i/>
      <w:iCs/>
      <w:color w:val="0F4761" w:themeColor="accent1" w:themeShade="BF"/>
    </w:rPr>
  </w:style>
  <w:style w:type="paragraph" w:styleId="IntenseQuote">
    <w:name w:val="Intense Quote"/>
    <w:basedOn w:val="Normal"/>
    <w:next w:val="Normal"/>
    <w:link w:val="IntenseQuoteChar"/>
    <w:uiPriority w:val="30"/>
    <w:qFormat/>
    <w:rsid w:val="00E04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30"/>
    <w:rPr>
      <w:i/>
      <w:iCs/>
      <w:color w:val="0F4761" w:themeColor="accent1" w:themeShade="BF"/>
    </w:rPr>
  </w:style>
  <w:style w:type="character" w:styleId="IntenseReference">
    <w:name w:val="Intense Reference"/>
    <w:basedOn w:val="DefaultParagraphFont"/>
    <w:uiPriority w:val="32"/>
    <w:qFormat/>
    <w:rsid w:val="00E04130"/>
    <w:rPr>
      <w:b/>
      <w:bCs/>
      <w:smallCaps/>
      <w:color w:val="0F4761" w:themeColor="accent1" w:themeShade="BF"/>
      <w:spacing w:val="5"/>
    </w:rPr>
  </w:style>
  <w:style w:type="paragraph" w:styleId="Caption">
    <w:name w:val="caption"/>
    <w:basedOn w:val="Normal"/>
    <w:next w:val="Normal"/>
    <w:uiPriority w:val="35"/>
    <w:unhideWhenUsed/>
    <w:qFormat/>
    <w:rsid w:val="002F57D7"/>
    <w:pPr>
      <w:spacing w:after="200" w:line="240" w:lineRule="auto"/>
    </w:pPr>
    <w:rPr>
      <w:i/>
      <w:iCs/>
      <w:color w:val="0E2841" w:themeColor="text2"/>
      <w:sz w:val="18"/>
      <w:szCs w:val="18"/>
    </w:rPr>
  </w:style>
  <w:style w:type="character" w:customStyle="1" w:styleId="year">
    <w:name w:val="year"/>
    <w:basedOn w:val="DefaultParagraphFont"/>
    <w:rsid w:val="00095343"/>
  </w:style>
  <w:style w:type="character" w:customStyle="1" w:styleId="Title1">
    <w:name w:val="Title1"/>
    <w:basedOn w:val="DefaultParagraphFont"/>
    <w:rsid w:val="00095343"/>
  </w:style>
  <w:style w:type="character" w:customStyle="1" w:styleId="journal">
    <w:name w:val="journal"/>
    <w:basedOn w:val="DefaultParagraphFont"/>
    <w:rsid w:val="00095343"/>
  </w:style>
  <w:style w:type="character" w:customStyle="1" w:styleId="vol">
    <w:name w:val="vol"/>
    <w:basedOn w:val="DefaultParagraphFont"/>
    <w:rsid w:val="00095343"/>
  </w:style>
  <w:style w:type="character" w:customStyle="1" w:styleId="pages">
    <w:name w:val="pages"/>
    <w:basedOn w:val="DefaultParagraphFont"/>
    <w:rsid w:val="00095343"/>
  </w:style>
  <w:style w:type="character" w:customStyle="1" w:styleId="doi">
    <w:name w:val="doi"/>
    <w:basedOn w:val="DefaultParagraphFont"/>
    <w:rsid w:val="00095343"/>
  </w:style>
  <w:style w:type="paragraph" w:customStyle="1" w:styleId="Default">
    <w:name w:val="Default"/>
    <w:rsid w:val="000E18D3"/>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5C6219"/>
    <w:rPr>
      <w:color w:val="666666"/>
    </w:rPr>
  </w:style>
  <w:style w:type="table" w:styleId="TableGrid">
    <w:name w:val="Table Grid"/>
    <w:basedOn w:val="TableNormal"/>
    <w:uiPriority w:val="39"/>
    <w:rsid w:val="00770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02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3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12886</TotalTime>
  <Pages>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Hezkiyahu</dc:creator>
  <cp:keywords/>
  <dc:description/>
  <cp:lastModifiedBy>Roi  Hezkiyahu</cp:lastModifiedBy>
  <cp:revision>16</cp:revision>
  <cp:lastPrinted>2024-04-17T15:06:00Z</cp:lastPrinted>
  <dcterms:created xsi:type="dcterms:W3CDTF">2024-03-27T14:26:00Z</dcterms:created>
  <dcterms:modified xsi:type="dcterms:W3CDTF">2024-04-18T06:44:00Z</dcterms:modified>
</cp:coreProperties>
</file>