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ns0:body>
    <ns0:p>
      <ns0:pPr>
        <ns0:pStyle ns0:val="Corpodeltesto"/>
        <ns0:bidi ns0:val="0"/>
        <ns0:jc ns0:val="left"/>
        <ns0:rPr/>
      </ns0:pPr>
      <ns0:r>
        <ns0:t>To the Editors of the Journal of Computational and Applied Mathematics</ns0:t>
      </ns0:r>
    </ns0:p>
    <ns0:p>
      <ns0:pPr>
        <ns0:pStyle ns0:val="Corpodeltesto"/>
        <ns0:bidi ns0:val="0"/>
        <ns0:jc ns0:val="left"/>
        <ns0:rPr/>
      </ns0:pPr>
      <ns0:r>
        <ns0:t>Dear Editors,</ns0:t>
      </ns0:r>
    </ns0:p>
    <ns0:p>
      <ns0:pPr>
        <ns0:pStyle ns0:val="Corpodeltesto"/>
        <ns0:bidi ns0:val="0"/>
        <ns0:jc ns0:val="left"/>
        <ns0:rPr/>
      </ns0:pPr>
      <ns0:r>
        <ns0:t>We submit “Mesh-to-Mesh Transfer Errors in Multistep Unsteady Flow Simulations” for consideration as an original research paper in the Journal of Computational and Applied Mathematics.</ns0:t>
      </ns0:r>
    </ns0:p>
    <ns0:p>
      <ns0:pPr>
        <ns0:pStyle ns0:val="Corpodeltesto"/>
        <ns0:bidi ns0:val="0"/>
        <ns0:jc ns0:val="left"/>
        <ns0:rPr/>
      </ns0:pPr>
      <ns0:r>
        <ns0:t>The manuscript examines how solution-transfer errors affect unsteady flow simulations with remeshing. It compares nearest-neighbor Taylor interpolation, barycentric interpolation, Galerkin projection, and a control-volume transfer through static fields, Euler simulations with repeated remeshing, controlled airfoil restarts, and fixed-body Reynolds-averaged Navier–Stokes calculations.</ns0:t>
      </ns0:r>
    </ns0:p>
    <ns0:p>
      <ns0:pPr>
        <ns0:pStyle ns0:val="Corpodeltesto"/>
        <ns0:bidi ns0:val="0"/>
        <ns0:jc ns0:val="left"/>
        <ns0:rPr/>
      </ns0:pPr>
      <ns0:r>
        <ns0:t>The controlled comparisons distinguish preservation of spatial profiles from conservation and the response of multistep time integration. With globally corrected first-order interpolation, the cumulative mass change across transfers remains at roundoff while the density transition broadens by 18–26 reference cells; the control-volume transfer retains the integral with at most 0.07 cell of broadening. Independent perturbations of the two BDF2 histories show that an error in the older stored state changes the next-step lift even when the latest state matches the reference. An exact residual identity explains the signed contributions of the two stored states, while the computed responses expose the additional role of the target-mesh dynamics.</ns0:t>
      </ns0:r>
    </ns0:p>
    <ns0:p>
      <ns0:pPr>
        <ns0:pStyle ns0:val="Corpodeltesto"/>
        <ns0:bidi ns0:val="0"/>
        <ns0:jc ns0:val="left"/>
        <ns0:rPr/>
      </ns0:pPr>
      <ns0:r>
        <ns0:t>The control-volume construction imposes field-integral constraints on target median-dual control volumes through a Petrov–Galerkin formulation. The manuscript distinguishes these constraints from the nodal contributions to the finite-volume integral and from the properties retained after limiting and boundary treatment. This comparison of the discrete representations connects the mathematical properties of transfer with their measured consequences during flow evolution.</ns0:t>
      </ns0:r>
    </ns0:p>
    <ns0:p>
      <ns0:pPr>
        <ns0:pStyle ns0:val="Corpodeltesto"/>
        <ns0:bidi ns0:val="0"/>
        <ns0:jc ns0:val="left"/>
        <ns0:rPr/>
      </ns0:pPr>
      <ns0:r>
        <ns0:t>With two turbulence models, Galerkin projection reduces monitored defects in the turbulence-variable integrals by factors of approximately 37–247 relative to second-order nearest-neighbor Taylor interpolation, while the control-volume transfer keeps all monitored defects below 5×10^−12 at the stated processing stages. These clear differences in integral preservation coexist with aerodynamic differences that remain unresolved under time-step refinement, with incomplete iterative convergence for SST. The paper therefore establishes the transfer properties supported by the evidence without inferring an unsupported RANS load ranking.</ns0:t>
      </ns0:r>
    </ns0:p>
    <ns0:p>
      <ns0:pPr>
        <ns0:pStyle ns0:val="Corpodeltesto"/>
        <ns0:bidi ns0:val="0"/>
        <ns0:jc ns0:val="left"/>
        <ns0:rPr/>
      </ns0:pPr>
      <ns0:r>
        <ns0:t>The numerical tables and analysis scripts are available in the versioned project repository [TODO(author): DOI of the archived release]. The manuscript is not under consideration elsewhere [TODO(author): confirm]. [TODO(author): suggested reviewers are entered in the submission system.]</ns0:t>
      </ns0:r>
    </ns0:p>
    <ns0:p>
      <ns0:pPr>
        <ns0:pStyle ns0:val="Corpodeltesto"/>
        <ns0:bidi ns0:val="0"/>
        <ns0:jc ns0:val="left"/>
        <ns0:rPr/>
      </ns0:pPr>
      <ns0:r>
        <ns0:t>Sincerely,</ns0:t>
      </ns0:r>
    </ns0:p>
    <ns0:p>
      <ns0:pPr>
        <ns0:pStyle ns0:val="Corpodeltesto"/>
        <ns0:bidi ns0:val="0"/>
        <ns0:jc ns0:val="left"/>
        <ns0:rPr/>
      </ns0:pPr>
      <ns0:r>
        <ns0:t>[TODO(author): corresponding author name]
[TODO(author): affiliation and postal address]
[TODO(author): institutional e-mail]</ns0:t>
      </ns0:r>
    </ns0:p>
    <ns0:sectPr>
      <ns0:type ns0:val="nextPage"/>
      <ns0:pgSz ns0:w="11906" ns0:h="16838"/>
      <ns0:pgMar ns0:left="1134" ns0:right="567" ns0:header="0" ns0:top="567" ns0:footer="0" ns0:bottom="567" ns0:gutter="0"/>
      <ns0:pgNumType ns0:fmt="decimal"/>
      <ns0:formProt ns0:val="false"/>
      <ns0:textDirection ns0:val="lrTb"/>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204"/>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it-IT"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2"/>
      <w:szCs w:val="22"/>
      <w:lang w:val="it-IT" w:eastAsia="zh-CN" w:bidi="hi-IN"/>
    </w:rPr>
  </w:style>
  <w:style w:type="paragraph" w:styleId="Titolo">
    <w:name w:val="Titolo"/>
    <w:basedOn w:val="Normal"/>
    <w:next w:val="Corpodeltesto"/>
    <w:qFormat/>
    <w:pPr>
      <w:keepNext w:val="true"/>
      <w:spacing w:before="240" w:after="120"/>
    </w:pPr>
    <w:rPr>
      <w:rFonts w:ascii="Liberation Sans" w:hAnsi="Liberation Sans" w:eastAsia="Noto Sans CJK SC" w:cs="Lohit Devanagari"/>
      <w:sz w:val="28"/>
      <w:szCs w:val="28"/>
    </w:rPr>
  </w:style>
  <w:style w:type="paragraph" w:styleId="Corpodeltesto">
    <w:name w:val="Body Text"/>
    <w:basedOn w:val="Normal"/>
    <w:pPr>
      <w:spacing w:lineRule="auto" w:line="273" w:before="0" w:after="120"/>
    </w:pPr>
    <w:rPr/>
  </w:style>
  <w:style w:type="paragraph" w:styleId="Elenco">
    <w:name w:val="List"/>
    <w:basedOn w:val="Corpodeltesto"/>
    <w:pPr/>
    <w:rPr>
      <w:rFonts w:cs="Lohit Devanagari"/>
    </w:rPr>
  </w:style>
  <w:style w:type="paragraph" w:styleId="Didascalia">
    <w:name w:val="Caption"/>
    <w:basedOn w:val="Normal"/>
    <w:qFormat/>
    <w:pPr>
      <w:suppressLineNumbers/>
      <w:spacing w:before="120" w:after="120"/>
    </w:pPr>
    <w:rPr>
      <w:rFonts w:cs="Lohit Devanagari"/>
      <w:i/>
      <w:iCs/>
      <w:sz w:val="24"/>
      <w:szCs w:val="24"/>
    </w:rPr>
  </w:style>
  <w:style w:type="paragraph" w:styleId="Indice">
    <w:name w:val="I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