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markup-compatibility/2006" ns1:Ignorable="w14 wp14">
  <ns0:body>
    <ns0:p>
      <ns0:pPr>
        <ns0:pStyle ns0:val="Corpodeltesto"/>
        <ns0:bidi ns0:val="0"/>
        <ns0:jc ns0:val="left"/>
        <ns0:rPr/>
      </ns0:pPr>
      <ns0:r>
        <ns0:t>To the Editors of the Journal of Computational and Applied Mathematics</ns0:t>
      </ns0:r>
    </ns0:p>
    <ns0:p>
      <ns0:pPr>
        <ns0:pStyle ns0:val="Corpodeltesto"/>
        <ns0:bidi ns0:val="0"/>
        <ns0:jc ns0:val="left"/>
        <ns0:rPr/>
      </ns0:pPr>
      <ns0:r>
        <ns0:t>Dear Editors,</ns0:t>
      </ns0:r>
    </ns0:p>
    <ns0:p>
      <ns0:pPr>
        <ns0:pStyle ns0:val="Corpodeltesto"/>
        <ns0:bidi ns0:val="0"/>
        <ns0:jc ns0:val="left"/>
        <ns0:rPr/>
      </ns0:pPr>
      <ns0:r>
        <ns0:t>We submit “Mesh-to-Mesh Transfer Errors in Multistep Unsteady Flow Simulations” for consideration as an original research paper in the Journal of Computational and Applied Mathematics.</ns0:t>
      </ns0:r>
    </ns0:p>
    <ns0:p>
      <ns0:pPr>
        <ns0:pStyle ns0:val="Corpodeltesto"/>
        <ns0:bidi ns0:val="0"/>
        <ns0:jc ns0:val="left"/>
        <ns0:rPr/>
      </ns0:pPr>
      <ns0:r>
        <ns0:t>The manuscript examines how solution-transfer errors affect unsteady simulations with remeshing. It compares nearest-neighbor Taylor interpolation, barycentric interpolation, Galerkin projection, and control-volume transfer through static fields, a Riemann problem with repeated remeshing, controlled BDF2 airfoil restarts, and fixed-body Reynolds-averaged Navier–Stokes calculations.</ns0:t>
      </ns0:r>
    </ns0:p>
    <ns0:p>
      <ns0:pPr>
        <ns0:pStyle ns0:val="Corpodeltesto"/>
        <ns0:bidi ns0:val="0"/>
        <ns0:jc ns0:val="left"/>
        <ns0:rPr/>
      </ns0:pPr>
      <ns0:r>
        <ns0:t>The Riemann tests distinguish preservation of wave structure from integral preservation during transfer and conservation over the full calculation. Contact smearing can contaminate a crossing-based transition width, so shock-only widths are assessed separately. Near-roundoff transfer defects can coexist with finite mass drift during the CFD steps when non-local limiting disturbs the far field and permits flux through the open boundaries. A matched comparison of locally conservative flux correction maintains the final relative mass and energy drift below 5×10^−13 and 7×10^−13, respectively, and modestly reduces Galerkin and control-volume density errors. The paper reports the associated relaxed-bound extrema, incomplete application of correction flux at the limiting-pass cap, and wall-compatibility limitation.</ns0:t>
      </ns0:r>
    </ns0:p>
    <ns0:p>
      <ns0:pPr>
        <ns0:pStyle ns0:val="Corpodeltesto"/>
        <ns0:bidi ns0:val="0"/>
        <ns0:jc ns0:val="left"/>
        <ns0:rPr/>
      </ns0:pPr>
      <ns0:r>
        <ns0:t>The controlled BDF2 restarts isolate a different effect: an error in the older stored state changes the next-step lift even when the latest state matches the target-mesh reference. An exact residual identity explains the signed contributions of the two stored states. In the RANS cases, improved preservation of transferred integrals does not establish an aerodynamic ranking, because load differences remain sensitive to time-step refinement and iterative convergence. These airfoil cases use the standard transfer treatment and do not establish an aerodynamic result for local flux correction.</ns0:t>
      </ns0:r>
    </ns0:p>
    <ns0:p>
      <ns0:pPr>
        <ns0:pStyle ns0:val="Corpodeltesto"/>
        <ns0:bidi ns0:val="0"/>
        <ns0:jc ns0:val="left"/>
        <ns0:rPr/>
      </ns0:pPr>
      <ns0:r>
        <ns0:t>The contribution is a controlled comparison of the properties retained by the transfer operators and their consequences for the evolving numerical solution. The main text and supplementary material define the profile and conservation diagnostics, report the matched flux-correction results, and distinguish measured changes from claims requiring stronger numerical resolution.</ns0:t>
      </ns0:r>
    </ns0:p>
    <ns0:p>
      <ns0:pPr>
        <ns0:pStyle ns0:val="Corpodeltesto"/>
        <ns0:bidi ns0:val="0"/>
        <ns0:jc ns0:val="left"/>
        <ns0:rPr/>
      </ns0:pPr>
      <ns0:r>
        <ns0:t>The numerical tables and analysis scripts are available in the versioned project repository [TODO(author): DOI of the archived release]. The manuscript is not under consideration elsewhere [TODO(author): confirm]. [TODO(author): suggested reviewers are entered in the submission system.]</ns0:t>
      </ns0:r>
    </ns0:p>
    <ns0:p>
      <ns0:pPr>
        <ns0:pStyle ns0:val="Corpodeltesto"/>
        <ns0:bidi ns0:val="0"/>
        <ns0:jc ns0:val="left"/>
        <ns0:rPr/>
      </ns0:pPr>
      <ns0:r>
        <ns0:t>Sincerely,</ns0:t>
      </ns0:r>
    </ns0:p>
    <ns0:p>
      <ns0:pPr>
        <ns0:pStyle ns0:val="Corpodeltesto"/>
        <ns0:bidi ns0:val="0"/>
        <ns0:jc ns0:val="left"/>
        <ns0:rPr/>
      </ns0:pPr>
      <ns0:r>
        <ns0:t>[TODO(author): corresponding author name]
[TODO(author): affiliation and postal address]
[TODO(author): institutional e-mail]</ns0:t>
      </ns0:r>
    </ns0:p>
    <ns0:sectPr>
      <ns0:type ns0:val="nextPage"/>
      <ns0:pgSz ns0:w="11906" ns0:h="16838"/>
      <ns0:pgMar ns0:left="1134" ns0:right="567" ns0:header="0" ns0:top="567" ns0:footer="0" ns0:bottom="567" ns0:gutter="0"/>
      <ns0:pgNumType ns0:fmt="decimal"/>
      <ns0:formProt ns0:val="false"/>
      <ns0:textDirection ns0:val="lrTb"/>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204"/>
  <w:defaultTabStop w:val="709"/>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it-IT" w:eastAsia="zh-CN" w:bidi="hi-IN"/>
      </w:rPr>
    </w:rPrDefault>
    <w:pPrDefault>
      <w:pPr>
        <w:suppressAutoHyphens w:val="true"/>
      </w:pPr>
    </w:pPrDefault>
  </w:docDefaults>
  <w:style w:type="paragraph" w:styleId="Normal">
    <w:name w:val="Normal"/>
    <w:qFormat/>
    <w:pPr>
      <w:widowControl w:val="false"/>
      <w:bidi w:val="0"/>
    </w:pPr>
    <w:rPr>
      <w:rFonts w:ascii="Times New Roman;serif" w:hAnsi="Times New Roman;serif" w:eastAsia="Times New Roman;serif" w:cs="Times New Roman;serif"/>
      <w:color w:val="auto"/>
      <w:sz w:val="22"/>
      <w:szCs w:val="22"/>
      <w:lang w:val="it-IT" w:eastAsia="zh-CN" w:bidi="hi-IN"/>
    </w:rPr>
  </w:style>
  <w:style w:type="paragraph" w:styleId="Titolo">
    <w:name w:val="Titolo"/>
    <w:basedOn w:val="Normal"/>
    <w:next w:val="Corpodeltesto"/>
    <w:qFormat/>
    <w:pPr>
      <w:keepNext w:val="true"/>
      <w:spacing w:before="240" w:after="120"/>
    </w:pPr>
    <w:rPr>
      <w:rFonts w:ascii="Liberation Sans" w:hAnsi="Liberation Sans" w:eastAsia="Noto Sans CJK SC" w:cs="Lohit Devanagari"/>
      <w:sz w:val="28"/>
      <w:szCs w:val="28"/>
    </w:rPr>
  </w:style>
  <w:style w:type="paragraph" w:styleId="Corpodeltesto">
    <w:name w:val="Body Text"/>
    <w:basedOn w:val="Normal"/>
    <w:pPr>
      <w:spacing w:lineRule="auto" w:line="273" w:before="0" w:after="120"/>
    </w:pPr>
    <w:rPr/>
  </w:style>
  <w:style w:type="paragraph" w:styleId="Elenco">
    <w:name w:val="List"/>
    <w:basedOn w:val="Corpodeltesto"/>
    <w:pPr/>
    <w:rPr>
      <w:rFonts w:cs="Lohit Devanagari"/>
    </w:rPr>
  </w:style>
  <w:style w:type="paragraph" w:styleId="Didascalia">
    <w:name w:val="Caption"/>
    <w:basedOn w:val="Normal"/>
    <w:qFormat/>
    <w:pPr>
      <w:suppressLineNumbers/>
      <w:spacing w:before="120" w:after="120"/>
    </w:pPr>
    <w:rPr>
      <w:rFonts w:cs="Lohit Devanagari"/>
      <w:i/>
      <w:iCs/>
      <w:sz w:val="24"/>
      <w:szCs w:val="24"/>
    </w:rPr>
  </w:style>
  <w:style w:type="paragraph" w:styleId="Indice">
    <w:name w:val="I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LibreOffice/6.4.7.2$Linux_X86_64 LibreOffice_project/40$Build-2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