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MobilityPro Health</w:t>
      </w:r>
    </w:p>
    <w:p>
      <w:pPr>
        <w:spacing w:after="200"/>
        <w:jc w:val="center"/>
      </w:pPr>
      <w:r>
        <w:rPr>
          <w:i/>
          <w:iCs/>
          <w:color w:val="E07A5F"/>
          <w:sz w:val="20"/>
          <w:szCs w:val="20"/>
        </w:rPr>
        <w:t xml:space="preserve">Smart Autonomous Wheelchair for Elderly Mobility</w:t>
      </w:r>
    </w:p>
    <w:p>
      <w:pPr>
        <w:pStyle w:val="Heading1"/>
      </w:pPr>
      <w:r>
        <w:t xml:space="preserve">Company Overview</w:t>
      </w:r>
    </w:p>
    <w:p>
      <w:pPr>
        <w:spacing w:after="120"/>
      </w:pPr>
      <w:r>
        <w:t xml:space="preserve">MobilityPro Health transforms Comfy Chairs Ltd. into a healthcare technology innovator. We develop smart autonomous wheelchairs that restore independence and dignity to elderly users while providing peace of mind to caregivers and families.</w:t>
      </w:r>
    </w:p>
    <w:p>
      <w:pPr>
        <w:pStyle w:val="Heading1"/>
      </w:pPr>
      <w:r>
        <w:t xml:space="preserve">Our Products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AutoGlide</w:t>
      </w:r>
      <w:r>
        <w:t xml:space="preserve"> - Premium consumer wheelchair with full autonomous navigation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VitalRide</w:t>
      </w:r>
      <w:r>
        <w:t xml:space="preserve"> - Healthcare facility solution focused on vital monitoring and fleet management</w:t>
      </w:r>
    </w:p>
    <w:p>
      <w:pPr>
        <w:pStyle w:val="Heading1"/>
      </w:pPr>
      <w:r>
        <w:t xml:space="preserve">Data Collection</w:t>
      </w:r>
    </w:p>
    <w:p>
      <w:pPr>
        <w:spacing w:after="60"/>
      </w:pPr>
      <w:r>
        <w:t xml:space="preserve">Our chairs collect the following data to enhance user safety and experience: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Heart Rate &amp; Respiratory Rate</w:t>
      </w:r>
      <w:r>
        <w:t xml:space="preserve"> - Early detection of cardiac and breathing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 &amp; Activity</w:t>
      </w:r>
      <w:r>
        <w:t xml:space="preserve"> - Navigation optimization and mobility wellness tracking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Falls &amp; Emergencies</w:t>
      </w:r>
      <w:r>
        <w:t xml:space="preserve"> - Immediate caregiver alerts and emergency response</w:t>
      </w:r>
    </w:p>
    <w:p>
      <w:pPr>
        <w:pStyle w:val="Heading1"/>
      </w:pPr>
      <w:r>
        <w:t xml:space="preserve">Business Model</w:t>
      </w:r>
    </w:p>
    <w:p>
      <w:pPr>
        <w:spacing w:after="60"/>
      </w:pPr>
      <w:r>
        <w:t xml:space="preserve">We operate a dual-channel strategy combining hardware sales with recurring subscription revenue: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B2B Channel</w:t>
      </w:r>
      <w:r>
        <w:t xml:space="preserve"> - Nursing homes, hospitals, and rehabilitation centers purchasing fleet solutions with management subscriptions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B2C Channel</w:t>
      </w:r>
      <w:r>
        <w:t xml:space="preserve"> - Direct sales to seniors and families with CareConnect subscription for monitoring and telehealth</w:t>
      </w:r>
    </w:p>
    <w:p>
      <w:pPr>
        <w:pStyle w:val="Heading1"/>
      </w:pPr>
      <w:r>
        <w:t xml:space="preserve">Market Opportunity</w:t>
      </w:r>
    </w:p>
    <w:p>
      <w:r>
        <w:t xml:space="preserve">With </w:t>
      </w:r>
      <w:r>
        <w:rPr>
          <w:b/>
          <w:bCs/>
        </w:rPr>
        <w:t xml:space="preserve">65 million people</w:t>
      </w:r>
      <w:r>
        <w:t xml:space="preserve"> worldwide needing wheelchairs and </w:t>
      </w:r>
      <w:r>
        <w:rPr>
          <w:b/>
          <w:bCs/>
        </w:rPr>
        <w:t xml:space="preserve">22% projected growth</w:t>
      </w:r>
      <w:r>
        <w:t xml:space="preserve"> over the next decade, the smart mobility market represents a $2.8 billion opportunity by 2034. Our Year 3 revenue target is </w:t>
      </w:r>
      <w:r>
        <w:rPr>
          <w:b/>
          <w:bCs/>
        </w:rPr>
        <w:t xml:space="preserve">$8.65 million</w:t>
      </w:r>
      <w:r>
        <w:t xml:space="preserve">.</w:t>
      </w:r>
    </w:p>
    <w:p>
      <w:pPr>
        <w:spacing w:before="240"/>
        <w:jc w:val="center"/>
      </w:pPr>
      <w:r>
        <w:rPr>
          <w:b/>
          <w:bCs/>
          <w:i/>
          <w:iCs/>
          <w:color w:val="87A96B"/>
          <w:sz w:val="24"/>
          <w:szCs w:val="24"/>
        </w:rPr>
        <w:t xml:space="preserve">Independence. Dignity. Peace of Mind.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Georgia" w:cs="Georgia" w:eastAsia="Georgia" w:hAnsi="Georgia"/>
      <w:b/>
      <w:bCs/>
      <w:color w:val="2C2C2C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87A9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2026-01-22T15:54:41.671Z</dcterms:created>
  <dcterms:modified xsi:type="dcterms:W3CDTF">2026-01-22T15:54:41.672Z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