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Vividly</w:t>
      </w:r>
    </w:p>
    <w:p>
      <w:pPr>
        <w:spacing w:after="160"/>
        <w:jc w:val="center"/>
      </w:pPr>
      <w:r>
        <w:rPr>
          <w:i/>
          <w:iCs/>
          <w:color w:val="E07A5F"/>
          <w:sz w:val="20"/>
          <w:szCs w:val="20"/>
        </w:rPr>
        <w:t xml:space="preserve">Smart Autonomous Wheelchair for Elderly Mobility</w:t>
      </w:r>
    </w:p>
    <w:p>
      <w:pPr>
        <w:pStyle w:val="Heading1"/>
      </w:pPr>
      <w:r>
        <w:t xml:space="preserve">The Aging Crisis</w:t>
      </w:r>
    </w:p>
    <w:p>
      <w:pPr>
        <w:spacing w:after="80"/>
      </w:pPr>
      <w:r>
        <w:t xml:space="preserve">The Western world faces an unprecedented care gap. The population aged 65+ will </w:t>
      </w:r>
      <w:r>
        <w:rPr>
          <w:b/>
          <w:bCs/>
        </w:rPr>
        <w:t xml:space="preserve">double by 2050</w:t>
      </w:r>
      <w:r>
        <w:t xml:space="preserve">, while the worker-to-retiree ratio is dropping from </w:t>
      </w:r>
      <w:r>
        <w:rPr>
          <w:b/>
          <w:bCs/>
        </w:rPr>
        <w:t xml:space="preserve">4:1 to 2:1</w:t>
      </w:r>
      <w:r>
        <w:t xml:space="preserve">. Family sizes have </w:t>
      </w:r>
      <w:r>
        <w:rPr>
          <w:b/>
          <w:bCs/>
        </w:rPr>
        <w:t xml:space="preserve">declined 40%</w:t>
      </w:r>
      <w:r>
        <w:t xml:space="preserve"> since 1970, leaving fewer relatives to provide care. Meanwhile, </w:t>
      </w:r>
      <w:r>
        <w:rPr>
          <w:b/>
          <w:bCs/>
        </w:rPr>
        <w:t xml:space="preserve">65 million people</w:t>
      </w:r>
      <w:r>
        <w:t xml:space="preserve"> worldwide need wheelchairs, with traditional models creating total dependency on increasingly scarce caregivers.</w:t>
      </w:r>
    </w:p>
    <w:p>
      <w:pPr>
        <w:spacing w:after="100"/>
        <w:jc w:val="center"/>
      </w:pPr>
      <w:r>
        <w:rPr>
          <w:i/>
          <w:iCs/>
          <w:color w:val="E07A5F"/>
          <w:sz w:val="20"/>
          <w:szCs w:val="20"/>
        </w:rPr>
        <w:t xml:space="preserve">More seniors. Fewer caregivers. Smaller families. The care gap is widening.</w:t>
      </w:r>
    </w:p>
    <w:p>
      <w:pPr>
        <w:pStyle w:val="Heading1"/>
      </w:pPr>
      <w:r>
        <w:t xml:space="preserve">Our Solution</w:t>
      </w:r>
    </w:p>
    <w:p>
      <w:pPr>
        <w:pStyle w:val="ListParagraph"/>
        <w:numPr>
          <w:ilvl w:val="0"/>
          <w:numId w:val="2"/>
        </w:numPr>
      </w:pPr>
      <w:r>
        <w:rPr>
          <w:b/>
          <w:bCs/>
        </w:rPr>
        <w:t xml:space="preserve">AutoGlide</w:t>
      </w:r>
      <w:r>
        <w:t xml:space="preserve"> (B2C) - Premium consumer wheelchair with full autonomous navigation, health monitoring, and family dashboard</w:t>
      </w:r>
    </w:p>
    <w:p>
      <w:pPr>
        <w:pStyle w:val="ListParagraph"/>
        <w:numPr>
          <w:ilvl w:val="0"/>
          <w:numId w:val="2"/>
        </w:numPr>
        <w:spacing w:after="80"/>
      </w:pPr>
      <w:r>
        <w:rPr>
          <w:b/>
          <w:bCs/>
        </w:rPr>
        <w:t xml:space="preserve">VitalRide</w:t>
      </w:r>
      <w:r>
        <w:t xml:space="preserve"> (B2B) - Healthcare facility solution with fleet management, vital monitoring, and EHR integration</w:t>
      </w:r>
    </w:p>
    <w:p>
      <w:pPr>
        <w:pStyle w:val="Heading1"/>
      </w:pPr>
      <w:r>
        <w:t xml:space="preserve">Technology and Data</w:t>
      </w:r>
    </w:p>
    <w:p>
      <w:pPr>
        <w:spacing w:after="80"/>
      </w:pPr>
      <w:r>
        <w:t xml:space="preserve">Our chairs use </w:t>
      </w:r>
      <w:r>
        <w:rPr>
          <w:b/>
          <w:bCs/>
        </w:rPr>
        <w:t xml:space="preserve">LiDAR and AI</w:t>
      </w:r>
      <w:r>
        <w:t xml:space="preserve"> for autonomous navigation, </w:t>
      </w:r>
      <w:r>
        <w:rPr>
          <w:b/>
          <w:bCs/>
        </w:rPr>
        <w:t xml:space="preserve">UWB positioning</w:t>
      </w:r>
      <w:r>
        <w:t xml:space="preserve"> for indoor accuracy, and </w:t>
      </w:r>
      <w:r>
        <w:rPr>
          <w:b/>
          <w:bCs/>
        </w:rPr>
        <w:t xml:space="preserve">Edge AI</w:t>
      </w:r>
      <w:r>
        <w:t xml:space="preserve"> for on-device processing. We collect heart rate, respiratory rate, location, activity, and fall data to provide early health warnings and immediate emergency response. All data is HIPAA compliant with user consent controls.</w:t>
      </w:r>
    </w:p>
    <w:p>
      <w:pPr>
        <w:pStyle w:val="Heading1"/>
      </w:pPr>
      <w:r>
        <w:t xml:space="preserve">Business Model</w:t>
      </w:r>
    </w:p>
    <w:p>
      <w:pPr>
        <w:spacing w:after="80"/>
      </w:pPr>
      <w:r>
        <w:t xml:space="preserve">We operate a dual-channel strategy: </w:t>
      </w:r>
      <w:r>
        <w:rPr>
          <w:b/>
          <w:bCs/>
        </w:rPr>
        <w:t xml:space="preserve">B2B</w:t>
      </w:r>
      <w:r>
        <w:t xml:space="preserve"> (nursing homes, hospitals, VA facilities) with hardware at $4,500-8,000/unit plus $99-299/month subscriptions, and </w:t>
      </w:r>
      <w:r>
        <w:rPr>
          <w:b/>
          <w:bCs/>
        </w:rPr>
        <w:t xml:space="preserve">B2C</w:t>
      </w:r>
      <w:r>
        <w:t xml:space="preserve"> (seniors, families) with hardware at $5,500-9,500 plus $29-79/month CareConnect subscriptions. Year 3 revenue target: </w:t>
      </w:r>
      <w:r>
        <w:rPr>
          <w:b/>
          <w:bCs/>
        </w:rPr>
        <w:t xml:space="preserve">$8.65 million</w:t>
      </w:r>
      <w:r>
        <w:t xml:space="preserve">.</w:t>
      </w:r>
    </w:p>
    <w:p>
      <w:pPr>
        <w:pStyle w:val="Heading1"/>
      </w:pPr>
      <w:r>
        <w:t xml:space="preserve">Market Opportunity</w:t>
      </w:r>
    </w:p>
    <w:p>
      <w:r>
        <w:t xml:space="preserve">The smart chair market will reach </w:t>
      </w:r>
      <w:r>
        <w:rPr>
          <w:b/>
          <w:bCs/>
        </w:rPr>
        <w:t xml:space="preserve">$2.8 billion by 2034</w:t>
      </w:r>
      <w:r>
        <w:t xml:space="preserve"> with </w:t>
      </w:r>
      <w:r>
        <w:rPr>
          <w:b/>
          <w:bCs/>
        </w:rPr>
        <w:t xml:space="preserve">10% CAGR</w:t>
      </w:r>
      <w:r>
        <w:t xml:space="preserve">. We seek </w:t>
      </w:r>
      <w:r>
        <w:rPr>
          <w:b/>
          <w:bCs/>
        </w:rPr>
        <w:t xml:space="preserve">$4.5M Series A</w:t>
      </w:r>
      <w:r>
        <w:t xml:space="preserve"> for FDA clearance, manufacturing, and market launch.</w:t>
      </w:r>
    </w:p>
    <w:p>
      <w:pPr>
        <w:spacing w:before="160"/>
        <w:jc w:val="center"/>
      </w:pPr>
      <w:r>
        <w:rPr>
          <w:b/>
          <w:bCs/>
          <w:i/>
          <w:iCs/>
          <w:color w:val="87A96B"/>
          <w:sz w:val="24"/>
          <w:szCs w:val="24"/>
        </w:rPr>
        <w:t xml:space="preserve">Independence. Dignity. Peace of Mind.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2C2C2C"/>
      <w:sz w:val="36"/>
      <w:szCs w:val="36"/>
    </w:rPr>
  </w:style>
  <w:style w:type="paragraph" w:styleId="Heading1">
    <w:name w:val="Heading 1"/>
    <w:basedOn w:val="Normal"/>
    <w:next w:val="Normal"/>
    <w:qFormat/>
    <w:pPr>
      <w:spacing w:before="180" w:after="60"/>
      <w:outlineLvl w:val="0"/>
    </w:pPr>
    <w:rPr>
      <w:rFonts w:ascii="Arial" w:cs="Arial" w:eastAsia="Arial" w:hAnsi="Arial"/>
      <w:b/>
      <w:bCs/>
      <w:color w:val="87A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2026-01-24T15:38:44.237Z</dcterms:created>
  <dcterms:modified xsi:type="dcterms:W3CDTF">2026-01-24T15:38:44.238Z</dcterms:modified>
</cp:coreProperties>
</file>

<file path=docProps/custom.xml><?xml version="1.0" encoding="utf-8"?>
<Properties xmlns="http://schemas.openxmlformats.org/officeDocument/2006/custom-properties" xmlns:vt="http://schemas.openxmlformats.org/officeDocument/2006/docPropsVTypes"/>
</file>