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of Terms: Senior Secured Term Loan</w:t>
      </w:r>
    </w:p>
    <w:p>
      <w:r>
        <w:t>Lakeshore Community Bank (fictional) and Brightfield Manufacturing LLC (fictional). All names, figures, and addresses in this document are invented for teaching.</w:t>
      </w:r>
    </w:p>
    <w:p>
      <w:pPr>
        <w:pStyle w:val="Heading2"/>
      </w:pPr>
      <w:r>
        <w:t>Page 1: Parties and Facility</w:t>
      </w:r>
    </w:p>
    <w:p>
      <w:r>
        <w:rPr>
          <w:b/>
        </w:rPr>
        <w:t xml:space="preserve">Lender: </w:t>
      </w:r>
      <w:r>
        <w:t>Lakeshore Community Bank.</w:t>
      </w:r>
    </w:p>
    <w:p>
      <w:r>
        <w:rPr>
          <w:b/>
        </w:rPr>
        <w:t xml:space="preserve">Borrower: </w:t>
      </w:r>
      <w:r>
        <w:t>Brightfield Manufacturing LLC.</w:t>
      </w:r>
    </w:p>
    <w:p>
      <w:r>
        <w:rPr>
          <w:b/>
        </w:rPr>
        <w:t xml:space="preserve">Guarantor: </w:t>
      </w:r>
      <w:r>
        <w:t>Dana Whitfield, who gives an unlimited personal guarantee of the loan.</w:t>
      </w:r>
    </w:p>
    <w:p>
      <w:r>
        <w:rPr>
          <w:b/>
        </w:rPr>
        <w:t xml:space="preserve">Facility: </w:t>
      </w:r>
      <w:r>
        <w:t>Senior secured term loan of $4,500,000.</w:t>
      </w:r>
    </w:p>
    <w:p>
      <w:r>
        <w:rPr>
          <w:b/>
        </w:rPr>
        <w:t xml:space="preserve">Purpose: </w:t>
      </w:r>
      <w:r>
        <w:t>Refinance existing equipment debt and fund the purchase of a new packaging line.</w:t>
      </w:r>
    </w:p>
    <w:p>
      <w:r>
        <w:rPr>
          <w:b/>
        </w:rPr>
        <w:t xml:space="preserve">Closing date: </w:t>
      </w:r>
      <w:r>
        <w:t>October 15, 2026.</w:t>
      </w:r>
    </w:p>
    <w:p>
      <w:r>
        <w:rPr>
          <w:b/>
        </w:rPr>
        <w:t xml:space="preserve">Maturity date: </w:t>
      </w:r>
      <w:r>
        <w:t>October 15, 2031. The unpaid balance of principal and interest is due in full on the maturity date.</w:t>
      </w:r>
    </w:p>
    <w:p>
      <w:r>
        <w:rPr>
          <w:b/>
        </w:rPr>
        <w:t xml:space="preserve">Interest rate: </w:t>
      </w:r>
      <w:r>
        <w:t>Fixed at 6.75 percent per year.</w:t>
      </w:r>
    </w:p>
    <w:p>
      <w:r>
        <w:rPr>
          <w:b/>
        </w:rPr>
        <w:t xml:space="preserve">Repayment: </w:t>
      </w:r>
      <w:r>
        <w:t>Monthly payments of principal and interest, calculated on a 20-year amortization schedule. The first payment is due November 15, 2026.</w:t>
      </w:r>
    </w:p>
    <w:p>
      <w:r>
        <w:rPr>
          <w:b/>
        </w:rPr>
        <w:t xml:space="preserve">Origination fee: </w:t>
      </w:r>
      <w:r>
        <w:t>1.00 percent of the facility, or $45,000, payable at closing.</w:t>
      </w:r>
    </w:p>
    <w:p>
      <w:r>
        <w:rPr>
          <w:b/>
        </w:rPr>
        <w:t xml:space="preserve">Late charge: </w:t>
      </w:r>
      <w:r>
        <w:t>5 percent of any payment that is more than 10 days late.</w:t>
      </w:r>
    </w:p>
    <w:p>
      <w:r>
        <w:rPr>
          <w:b/>
        </w:rPr>
        <w:t xml:space="preserve">Collateral: </w:t>
      </w:r>
      <w:r>
        <w:t>A first-priority lien on all equipment owned by the Borrower, and a first mortgage on the property at 200 Mill Road, Fairmont.</w:t>
      </w:r>
    </w:p>
    <w:p>
      <w:r>
        <w:br w:type="page"/>
      </w:r>
    </w:p>
    <w:p>
      <w:pPr>
        <w:pStyle w:val="Heading2"/>
      </w:pPr>
      <w:r>
        <w:t>Page 2: Financial Covenants and Reporting</w:t>
      </w:r>
    </w:p>
    <w:p>
      <w:r>
        <w:rPr>
          <w:b/>
        </w:rPr>
        <w:t xml:space="preserve">Debt service coverage: </w:t>
      </w:r>
      <w:r>
        <w:t>The Borrower will maintain a ratio of at least 1.25 to 1.00, tested annually at fiscal year end.</w:t>
      </w:r>
    </w:p>
    <w:p>
      <w:r>
        <w:rPr>
          <w:b/>
        </w:rPr>
        <w:t xml:space="preserve">Leverage: </w:t>
      </w:r>
      <w:r>
        <w:t>Total funded debt to EBITDA will not exceed 3.50 to 1.00, tested annually at fiscal year end.</w:t>
      </w:r>
    </w:p>
    <w:p>
      <w:r>
        <w:rPr>
          <w:b/>
        </w:rPr>
        <w:t xml:space="preserve">Liquidity: </w:t>
      </w:r>
      <w:r>
        <w:t>The Borrower will hold unrestricted cash of at least $400,000, tested at the end of each quarter.</w:t>
      </w:r>
    </w:p>
    <w:p>
      <w:r>
        <w:rPr>
          <w:b/>
        </w:rPr>
        <w:t xml:space="preserve">Annual reporting: </w:t>
      </w:r>
      <w:r>
        <w:t>Audited financial statements within 120 days after each fiscal year end.</w:t>
      </w:r>
    </w:p>
    <w:p>
      <w:r>
        <w:rPr>
          <w:b/>
        </w:rPr>
        <w:t xml:space="preserve">Quarterly reporting: </w:t>
      </w:r>
      <w:r>
        <w:t>Unaudited financial statements within 45 days after each quarter end.</w:t>
      </w:r>
    </w:p>
    <w:p>
      <w:r>
        <w:rPr>
          <w:b/>
        </w:rPr>
        <w:t xml:space="preserve">Compliance certificate: </w:t>
      </w:r>
      <w:r>
        <w:t>Delivered with every set of financial statements, signed by an officer of the Borrower, confirming compliance with each covenant.</w:t>
      </w:r>
    </w:p>
    <w:p>
      <w:r>
        <w:rPr>
          <w:b/>
        </w:rPr>
        <w:t xml:space="preserve">Notices: </w:t>
      </w:r>
      <w:r>
        <w:t>The Borrower will notify the Lender within 5 business days of any default, and of any lawsuit seeking more than $250,000.</w:t>
      </w:r>
    </w:p>
    <w:p>
      <w:r>
        <w:rPr>
          <w:b/>
        </w:rPr>
        <w:t xml:space="preserve">Insurance: </w:t>
      </w:r>
      <w:r>
        <w:t>The Borrower will keep property insurance on the collateral and name the Lender as loss payee.</w:t>
      </w:r>
    </w:p>
    <w:p>
      <w:r>
        <w:br w:type="page"/>
      </w:r>
    </w:p>
    <w:p>
      <w:pPr>
        <w:pStyle w:val="Heading2"/>
      </w:pPr>
      <w:r>
        <w:t>Page 3: Events of Default and General Terms</w:t>
      </w:r>
    </w:p>
    <w:p>
      <w:r>
        <w:t>Each of the following is an event of default:</w:t>
      </w:r>
    </w:p>
    <w:p>
      <w:pPr>
        <w:pStyle w:val="ListBullet"/>
      </w:pPr>
      <w:r>
        <w:t>The Borrower fails to make any payment when due.</w:t>
      </w:r>
    </w:p>
    <w:p>
      <w:pPr>
        <w:pStyle w:val="ListBullet"/>
      </w:pPr>
      <w:r>
        <w:t>The Borrower breaches a financial covenant and does not cure the breach within 30 days after written notice from the Lender.</w:t>
      </w:r>
    </w:p>
    <w:p>
      <w:pPr>
        <w:pStyle w:val="ListBullet"/>
      </w:pPr>
      <w:r>
        <w:t>The Borrower or the Guarantor makes a materially false statement to the Lender.</w:t>
      </w:r>
    </w:p>
    <w:p>
      <w:pPr>
        <w:pStyle w:val="ListBullet"/>
      </w:pPr>
      <w:r>
        <w:t>The Borrower or the Guarantor becomes bankrupt or insolvent.</w:t>
      </w:r>
    </w:p>
    <w:p>
      <w:pPr>
        <w:pStyle w:val="ListBullet"/>
      </w:pPr>
      <w:r>
        <w:t>A change of control of the Borrower occurs without the written consent of the Lender.</w:t>
      </w:r>
    </w:p>
    <w:p>
      <w:r>
        <w:rPr>
          <w:b/>
        </w:rPr>
        <w:t xml:space="preserve">Remedies: </w:t>
      </w:r>
      <w:r>
        <w:t>On an event of default, the Lender may declare the entire unpaid balance due and enforce its rights against the collateral and the Guarantor.</w:t>
      </w:r>
    </w:p>
    <w:p>
      <w:r>
        <w:rPr>
          <w:b/>
        </w:rPr>
        <w:t xml:space="preserve">Governing law: </w:t>
      </w:r>
      <w:r>
        <w:t>The laws of the State of Ohio.</w:t>
      </w:r>
    </w:p>
    <w:p>
      <w:r>
        <w:rPr>
          <w:b/>
        </w:rPr>
        <w:t xml:space="preserve">Conditions to closing: </w:t>
      </w:r>
      <w:r>
        <w:t>Satisfactory appraisal of 200 Mill Road, evidence of insurance, executed guarantee, and delivery of the Borrower's most recent audited financial statements.</w:t>
      </w:r>
    </w:p>
    <w:p>
      <w:r>
        <w:rPr>
          <w:b/>
        </w:rPr>
        <w:t xml:space="preserve">Expiration: </w:t>
      </w:r>
      <w:r>
        <w:t>This summary expires if the loan does not close by October 31,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