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65E8E"/>
          <w:sz w:val="28"/>
        </w:rPr>
        <w:t>MDA512 Data Science – Assignment 2</w:t>
      </w:r>
    </w:p>
    <w:p/>
    <w:p>
      <w:pPr>
        <w:jc w:val="center"/>
      </w:pPr>
      <w:r>
        <w:rPr>
          <w:b/>
          <w:color w:val="1F497D"/>
          <w:sz w:val="48"/>
        </w:rPr>
        <w:t>Walmart Weekly Sales Forecasting</w:t>
      </w:r>
    </w:p>
    <w:p/>
    <w:p>
      <w:pPr>
        <w:jc w:val="center"/>
      </w:pPr>
      <w:r>
        <w:rPr>
          <w:i/>
          <w:color w:val="265E8E"/>
          <w:sz w:val="28"/>
        </w:rPr>
        <w:t>Comparative Analysis of Statistical, Machine Learning,</w:t>
        <w:br/>
        <w:t>and Deep Learning Forecasting Methods</w:t>
      </w:r>
    </w:p>
    <w:p/>
    <w:p/>
    <w:p/>
    <w:p>
      <w:pPr>
        <w:jc w:val="center"/>
      </w:pPr>
      <w:r>
        <w:rPr>
          <w:sz w:val="24"/>
        </w:rPr>
        <w:t>Group Members: Sher  |  IB  |  Altaf  |  Rojan  |  Vineet  |  Yuvraj</w:t>
      </w:r>
    </w:p>
    <w:p/>
    <w:p>
      <w:pPr>
        <w:jc w:val="center"/>
      </w:pPr>
      <w:r>
        <w:rPr>
          <w:sz w:val="24"/>
        </w:rPr>
        <w:t>Submission Date: April 2026</w:t>
      </w:r>
    </w:p>
    <w:p>
      <w:r>
        <w:br w:type="page"/>
      </w:r>
    </w:p>
    <w:p>
      <w:pPr>
        <w:pStyle w:val="Heading1"/>
        <w:spacing w:before="320" w:after="120"/>
      </w:pPr>
      <w:r>
        <w:rPr>
          <w:b/>
          <w:color w:val="1F497D"/>
          <w:sz w:val="32"/>
        </w:rPr>
        <w:t>Table of Contents</w:t>
      </w:r>
    </w:p>
    <w:p>
      <w:pPr>
        <w:spacing w:after="40"/>
        <w:ind w:left="0"/>
      </w:pPr>
      <w:r>
        <w:rPr>
          <w:b/>
          <w:sz w:val="22"/>
        </w:rPr>
        <w:t xml:space="preserve">1.  </w:t>
      </w:r>
      <w:r>
        <w:rPr>
          <w:b/>
          <w:sz w:val="22"/>
        </w:rPr>
        <w:t>Abstract</w:t>
      </w:r>
      <w:r>
        <w:rPr>
          <w:sz w:val="22"/>
        </w:rPr>
        <w:tab/>
        <w:t>3</w:t>
      </w:r>
    </w:p>
    <w:p>
      <w:pPr>
        <w:spacing w:after="40"/>
        <w:ind w:left="0"/>
      </w:pPr>
      <w:r>
        <w:rPr>
          <w:b/>
          <w:sz w:val="22"/>
        </w:rPr>
        <w:t xml:space="preserve">2.  </w:t>
      </w:r>
      <w:r>
        <w:rPr>
          <w:b/>
          <w:sz w:val="22"/>
        </w:rPr>
        <w:t>Introduction</w:t>
      </w:r>
      <w:r>
        <w:rPr>
          <w:sz w:val="22"/>
        </w:rPr>
        <w:tab/>
        <w:t>3</w:t>
      </w:r>
    </w:p>
    <w:p>
      <w:pPr>
        <w:spacing w:after="40"/>
        <w:ind w:left="340"/>
      </w:pPr>
      <w:r>
        <w:rPr>
          <w:b w:val="0"/>
          <w:sz w:val="22"/>
        </w:rPr>
        <w:t xml:space="preserve">2.1.  </w:t>
      </w:r>
      <w:r>
        <w:rPr>
          <w:b w:val="0"/>
          <w:sz w:val="22"/>
        </w:rPr>
        <w:t>Background</w:t>
      </w:r>
      <w:r>
        <w:rPr>
          <w:sz w:val="22"/>
        </w:rPr>
        <w:tab/>
        <w:t>3</w:t>
      </w:r>
    </w:p>
    <w:p>
      <w:pPr>
        <w:spacing w:after="40"/>
        <w:ind w:left="340"/>
      </w:pPr>
      <w:r>
        <w:rPr>
          <w:b w:val="0"/>
          <w:sz w:val="22"/>
        </w:rPr>
        <w:t xml:space="preserve">2.2.  </w:t>
      </w:r>
      <w:r>
        <w:rPr>
          <w:b w:val="0"/>
          <w:sz w:val="22"/>
        </w:rPr>
        <w:t>Time Series in Energy / Retail Demand Forecasting</w:t>
      </w:r>
      <w:r>
        <w:rPr>
          <w:sz w:val="22"/>
        </w:rPr>
        <w:tab/>
        <w:t>3</w:t>
      </w:r>
    </w:p>
    <w:p>
      <w:pPr>
        <w:spacing w:after="40"/>
        <w:ind w:left="340"/>
      </w:pPr>
      <w:r>
        <w:rPr>
          <w:b w:val="0"/>
          <w:sz w:val="22"/>
        </w:rPr>
        <w:t xml:space="preserve">2.3.  </w:t>
      </w:r>
      <w:r>
        <w:rPr>
          <w:b w:val="0"/>
          <w:sz w:val="22"/>
        </w:rPr>
        <w:t>Importance of Regression Analysis</w:t>
      </w:r>
      <w:r>
        <w:rPr>
          <w:sz w:val="22"/>
        </w:rPr>
        <w:tab/>
        <w:t>4</w:t>
      </w:r>
    </w:p>
    <w:p>
      <w:pPr>
        <w:spacing w:after="40"/>
        <w:ind w:left="340"/>
      </w:pPr>
      <w:r>
        <w:rPr>
          <w:b w:val="0"/>
          <w:sz w:val="22"/>
        </w:rPr>
        <w:t xml:space="preserve">2.4.  </w:t>
      </w:r>
      <w:r>
        <w:rPr>
          <w:b w:val="0"/>
          <w:sz w:val="22"/>
        </w:rPr>
        <w:t>Purpose of the Research</w:t>
      </w:r>
      <w:r>
        <w:rPr>
          <w:sz w:val="22"/>
        </w:rPr>
        <w:tab/>
        <w:t>4</w:t>
      </w:r>
    </w:p>
    <w:p>
      <w:pPr>
        <w:spacing w:after="40"/>
        <w:ind w:left="0"/>
      </w:pPr>
      <w:r>
        <w:rPr>
          <w:b/>
          <w:sz w:val="22"/>
        </w:rPr>
        <w:t xml:space="preserve">3.  </w:t>
      </w:r>
      <w:r>
        <w:rPr>
          <w:b/>
          <w:sz w:val="22"/>
        </w:rPr>
        <w:t>Problem Domain and Research Questions</w:t>
      </w:r>
      <w:r>
        <w:rPr>
          <w:sz w:val="22"/>
        </w:rPr>
        <w:tab/>
        <w:t>4</w:t>
      </w:r>
    </w:p>
    <w:p>
      <w:pPr>
        <w:spacing w:after="40"/>
        <w:ind w:left="340"/>
      </w:pPr>
      <w:r>
        <w:rPr>
          <w:b w:val="0"/>
          <w:sz w:val="22"/>
        </w:rPr>
        <w:t xml:space="preserve">3.1.  </w:t>
      </w:r>
      <w:r>
        <w:rPr>
          <w:b w:val="0"/>
          <w:sz w:val="22"/>
        </w:rPr>
        <w:t>Overview of Retail / Energy Demand</w:t>
      </w:r>
      <w:r>
        <w:rPr>
          <w:sz w:val="22"/>
        </w:rPr>
        <w:tab/>
        <w:t>4</w:t>
      </w:r>
    </w:p>
    <w:p>
      <w:pPr>
        <w:spacing w:after="40"/>
        <w:ind w:left="340"/>
      </w:pPr>
      <w:r>
        <w:rPr>
          <w:b w:val="0"/>
          <w:sz w:val="22"/>
        </w:rPr>
        <w:t xml:space="preserve">3.2.  </w:t>
      </w:r>
      <w:r>
        <w:rPr>
          <w:b w:val="0"/>
          <w:sz w:val="22"/>
        </w:rPr>
        <w:t>Problem Statement</w:t>
      </w:r>
      <w:r>
        <w:rPr>
          <w:sz w:val="22"/>
        </w:rPr>
        <w:tab/>
        <w:t>5</w:t>
      </w:r>
    </w:p>
    <w:p>
      <w:pPr>
        <w:spacing w:after="40"/>
        <w:ind w:left="340"/>
      </w:pPr>
      <w:r>
        <w:rPr>
          <w:b w:val="0"/>
          <w:sz w:val="22"/>
        </w:rPr>
        <w:t xml:space="preserve">3.3.  </w:t>
      </w:r>
      <w:r>
        <w:rPr>
          <w:b w:val="0"/>
          <w:sz w:val="22"/>
        </w:rPr>
        <w:t>Research Questions</w:t>
      </w:r>
      <w:r>
        <w:rPr>
          <w:sz w:val="22"/>
        </w:rPr>
        <w:tab/>
        <w:t>5</w:t>
      </w:r>
    </w:p>
    <w:p>
      <w:pPr>
        <w:spacing w:after="40"/>
        <w:ind w:left="0"/>
      </w:pPr>
      <w:r>
        <w:rPr>
          <w:b/>
          <w:sz w:val="22"/>
        </w:rPr>
        <w:t xml:space="preserve">4.  </w:t>
      </w:r>
      <w:r>
        <w:rPr>
          <w:b/>
          <w:sz w:val="22"/>
        </w:rPr>
        <w:t>Literature Review</w:t>
      </w:r>
      <w:r>
        <w:rPr>
          <w:sz w:val="22"/>
        </w:rPr>
        <w:tab/>
        <w:t>5</w:t>
      </w:r>
    </w:p>
    <w:p>
      <w:pPr>
        <w:spacing w:after="40"/>
        <w:ind w:left="340"/>
      </w:pPr>
      <w:r>
        <w:rPr>
          <w:b w:val="0"/>
          <w:sz w:val="22"/>
        </w:rPr>
        <w:t xml:space="preserve">4.1.  </w:t>
      </w:r>
      <w:r>
        <w:rPr>
          <w:b w:val="0"/>
          <w:sz w:val="22"/>
        </w:rPr>
        <w:t>Traditional Time Series Models (ARIMA, SARIMA)</w:t>
      </w:r>
      <w:r>
        <w:rPr>
          <w:sz w:val="22"/>
        </w:rPr>
        <w:tab/>
        <w:t>5</w:t>
      </w:r>
    </w:p>
    <w:p>
      <w:pPr>
        <w:spacing w:after="40"/>
        <w:ind w:left="340"/>
      </w:pPr>
      <w:r>
        <w:rPr>
          <w:b w:val="0"/>
          <w:sz w:val="22"/>
        </w:rPr>
        <w:t xml:space="preserve">4.2.  </w:t>
      </w:r>
      <w:r>
        <w:rPr>
          <w:b w:val="0"/>
          <w:sz w:val="22"/>
        </w:rPr>
        <w:t>Machine Learning Regression Methods</w:t>
      </w:r>
      <w:r>
        <w:rPr>
          <w:sz w:val="22"/>
        </w:rPr>
        <w:tab/>
        <w:t>6</w:t>
      </w:r>
    </w:p>
    <w:p>
      <w:pPr>
        <w:spacing w:after="40"/>
        <w:ind w:left="340"/>
      </w:pPr>
      <w:r>
        <w:rPr>
          <w:b w:val="0"/>
          <w:sz w:val="22"/>
        </w:rPr>
        <w:t xml:space="preserve">4.3.  </w:t>
      </w:r>
      <w:r>
        <w:rPr>
          <w:b w:val="0"/>
          <w:sz w:val="22"/>
        </w:rPr>
        <w:t>Deep Learning – LSTM / RNN</w:t>
      </w:r>
      <w:r>
        <w:rPr>
          <w:sz w:val="22"/>
        </w:rPr>
        <w:tab/>
        <w:t>6</w:t>
      </w:r>
    </w:p>
    <w:p>
      <w:pPr>
        <w:spacing w:after="40"/>
        <w:ind w:left="340"/>
      </w:pPr>
      <w:r>
        <w:rPr>
          <w:b w:val="0"/>
          <w:sz w:val="22"/>
        </w:rPr>
        <w:t xml:space="preserve">4.4.  </w:t>
      </w:r>
      <w:r>
        <w:rPr>
          <w:b w:val="0"/>
          <w:sz w:val="22"/>
        </w:rPr>
        <w:t>Existing Research on Demand Forecasting</w:t>
      </w:r>
      <w:r>
        <w:rPr>
          <w:sz w:val="22"/>
        </w:rPr>
        <w:tab/>
        <w:t>7</w:t>
      </w:r>
    </w:p>
    <w:p>
      <w:pPr>
        <w:spacing w:after="40"/>
        <w:ind w:left="340"/>
      </w:pPr>
      <w:r>
        <w:rPr>
          <w:b w:val="0"/>
          <w:sz w:val="22"/>
        </w:rPr>
        <w:t xml:space="preserve">4.5.  </w:t>
      </w:r>
      <w:r>
        <w:rPr>
          <w:b w:val="0"/>
          <w:sz w:val="22"/>
        </w:rPr>
        <w:t>Summary of Literature Findings</w:t>
      </w:r>
      <w:r>
        <w:rPr>
          <w:sz w:val="22"/>
        </w:rPr>
        <w:tab/>
        <w:t>7</w:t>
      </w:r>
    </w:p>
    <w:p>
      <w:pPr>
        <w:spacing w:after="40"/>
        <w:ind w:left="0"/>
      </w:pPr>
      <w:r>
        <w:rPr>
          <w:b/>
          <w:sz w:val="22"/>
        </w:rPr>
        <w:t xml:space="preserve">5.  </w:t>
      </w:r>
      <w:r>
        <w:rPr>
          <w:b/>
          <w:sz w:val="22"/>
        </w:rPr>
        <w:t>Aim and Objectives</w:t>
      </w:r>
      <w:r>
        <w:rPr>
          <w:sz w:val="22"/>
        </w:rPr>
        <w:tab/>
        <w:t>8</w:t>
      </w:r>
    </w:p>
    <w:p>
      <w:pPr>
        <w:spacing w:after="40"/>
        <w:ind w:left="0"/>
      </w:pPr>
      <w:r>
        <w:rPr>
          <w:b/>
          <w:sz w:val="22"/>
        </w:rPr>
        <w:t xml:space="preserve">6.  </w:t>
      </w:r>
      <w:r>
        <w:rPr>
          <w:b/>
          <w:sz w:val="22"/>
        </w:rPr>
        <w:t>Methodology</w:t>
      </w:r>
      <w:r>
        <w:rPr>
          <w:sz w:val="22"/>
        </w:rPr>
        <w:tab/>
        <w:t>8</w:t>
      </w:r>
    </w:p>
    <w:p>
      <w:pPr>
        <w:spacing w:after="40"/>
        <w:ind w:left="340"/>
      </w:pPr>
      <w:r>
        <w:rPr>
          <w:b w:val="0"/>
          <w:sz w:val="22"/>
        </w:rPr>
        <w:t xml:space="preserve">6.1.  </w:t>
      </w:r>
      <w:r>
        <w:rPr>
          <w:b w:val="0"/>
          <w:sz w:val="22"/>
        </w:rPr>
        <w:t>Dataset Description</w:t>
      </w:r>
      <w:r>
        <w:rPr>
          <w:sz w:val="22"/>
        </w:rPr>
        <w:tab/>
        <w:t>8</w:t>
      </w:r>
    </w:p>
    <w:p>
      <w:pPr>
        <w:spacing w:after="40"/>
        <w:ind w:left="340"/>
      </w:pPr>
      <w:r>
        <w:rPr>
          <w:b w:val="0"/>
          <w:sz w:val="22"/>
        </w:rPr>
        <w:t xml:space="preserve">6.2.  </w:t>
      </w:r>
      <w:r>
        <w:rPr>
          <w:b w:val="0"/>
          <w:sz w:val="22"/>
        </w:rPr>
        <w:t>Data Collection and Preprocessing</w:t>
      </w:r>
      <w:r>
        <w:rPr>
          <w:sz w:val="22"/>
        </w:rPr>
        <w:tab/>
        <w:t>9</w:t>
      </w:r>
    </w:p>
    <w:p>
      <w:pPr>
        <w:spacing w:after="40"/>
        <w:ind w:left="340"/>
      </w:pPr>
      <w:r>
        <w:rPr>
          <w:b w:val="0"/>
          <w:sz w:val="22"/>
        </w:rPr>
        <w:t xml:space="preserve">6.3.  </w:t>
      </w:r>
      <w:r>
        <w:rPr>
          <w:b w:val="0"/>
          <w:sz w:val="22"/>
        </w:rPr>
        <w:t>Exploratory Data Analysis (EDA)</w:t>
      </w:r>
      <w:r>
        <w:rPr>
          <w:sz w:val="22"/>
        </w:rPr>
        <w:tab/>
        <w:t>9</w:t>
      </w:r>
    </w:p>
    <w:p>
      <w:pPr>
        <w:spacing w:after="40"/>
        <w:ind w:left="340"/>
      </w:pPr>
      <w:r>
        <w:rPr>
          <w:b w:val="0"/>
          <w:sz w:val="22"/>
        </w:rPr>
        <w:t xml:space="preserve">6.4.  </w:t>
      </w:r>
      <w:r>
        <w:rPr>
          <w:b w:val="0"/>
          <w:sz w:val="22"/>
        </w:rPr>
        <w:t>Modelling Approach</w:t>
      </w:r>
      <w:r>
        <w:rPr>
          <w:sz w:val="22"/>
        </w:rPr>
        <w:tab/>
        <w:t>10</w:t>
      </w:r>
    </w:p>
    <w:p>
      <w:pPr>
        <w:spacing w:after="40"/>
        <w:ind w:left="340"/>
      </w:pPr>
      <w:r>
        <w:rPr>
          <w:b w:val="0"/>
          <w:sz w:val="22"/>
        </w:rPr>
        <w:t xml:space="preserve">6.5.  </w:t>
      </w:r>
      <w:r>
        <w:rPr>
          <w:b w:val="0"/>
          <w:sz w:val="22"/>
        </w:rPr>
        <w:t>Evaluation Metrics</w:t>
      </w:r>
      <w:r>
        <w:rPr>
          <w:sz w:val="22"/>
        </w:rPr>
        <w:tab/>
        <w:t>10</w:t>
      </w:r>
    </w:p>
    <w:p>
      <w:pPr>
        <w:spacing w:after="40"/>
        <w:ind w:left="0"/>
      </w:pPr>
      <w:r>
        <w:rPr>
          <w:b/>
          <w:sz w:val="22"/>
        </w:rPr>
        <w:t xml:space="preserve">7.  </w:t>
      </w:r>
      <w:r>
        <w:rPr>
          <w:b/>
          <w:sz w:val="22"/>
        </w:rPr>
        <w:t>Results and Discussion</w:t>
      </w:r>
      <w:r>
        <w:rPr>
          <w:sz w:val="22"/>
        </w:rPr>
        <w:tab/>
        <w:t>11</w:t>
      </w:r>
    </w:p>
    <w:p>
      <w:pPr>
        <w:spacing w:after="40"/>
        <w:ind w:left="340"/>
      </w:pPr>
      <w:r>
        <w:rPr>
          <w:b w:val="0"/>
          <w:sz w:val="22"/>
        </w:rPr>
        <w:t xml:space="preserve">7.1.  </w:t>
      </w:r>
      <w:r>
        <w:rPr>
          <w:b w:val="0"/>
          <w:sz w:val="22"/>
        </w:rPr>
        <w:t>EDA Findings</w:t>
      </w:r>
      <w:r>
        <w:rPr>
          <w:sz w:val="22"/>
        </w:rPr>
        <w:tab/>
        <w:t>11</w:t>
      </w:r>
    </w:p>
    <w:p>
      <w:pPr>
        <w:spacing w:after="40"/>
        <w:ind w:left="340"/>
      </w:pPr>
      <w:r>
        <w:rPr>
          <w:b w:val="0"/>
          <w:sz w:val="22"/>
        </w:rPr>
        <w:t xml:space="preserve">7.2.  </w:t>
      </w:r>
      <w:r>
        <w:rPr>
          <w:b w:val="0"/>
          <w:sz w:val="22"/>
        </w:rPr>
        <w:t>Linear Regression Results</w:t>
      </w:r>
      <w:r>
        <w:rPr>
          <w:sz w:val="22"/>
        </w:rPr>
        <w:tab/>
        <w:t>12</w:t>
      </w:r>
    </w:p>
    <w:p>
      <w:pPr>
        <w:spacing w:after="40"/>
        <w:ind w:left="340"/>
      </w:pPr>
      <w:r>
        <w:rPr>
          <w:b w:val="0"/>
          <w:sz w:val="22"/>
        </w:rPr>
        <w:t xml:space="preserve">7.3.  </w:t>
      </w:r>
      <w:r>
        <w:rPr>
          <w:b w:val="0"/>
          <w:sz w:val="22"/>
        </w:rPr>
        <w:t>Prophet Forecasting Results</w:t>
      </w:r>
      <w:r>
        <w:rPr>
          <w:sz w:val="22"/>
        </w:rPr>
        <w:tab/>
        <w:t>12</w:t>
      </w:r>
    </w:p>
    <w:p>
      <w:pPr>
        <w:spacing w:after="40"/>
        <w:ind w:left="340"/>
      </w:pPr>
      <w:r>
        <w:rPr>
          <w:b w:val="0"/>
          <w:sz w:val="22"/>
        </w:rPr>
        <w:t xml:space="preserve">7.4.  </w:t>
      </w:r>
      <w:r>
        <w:rPr>
          <w:b w:val="0"/>
          <w:sz w:val="22"/>
        </w:rPr>
        <w:t>2013 Forecast (Prophet)</w:t>
      </w:r>
      <w:r>
        <w:rPr>
          <w:sz w:val="22"/>
        </w:rPr>
        <w:tab/>
        <w:t>13</w:t>
      </w:r>
    </w:p>
    <w:p>
      <w:pPr>
        <w:spacing w:after="40"/>
        <w:ind w:left="340"/>
      </w:pPr>
      <w:r>
        <w:rPr>
          <w:b w:val="0"/>
          <w:sz w:val="22"/>
        </w:rPr>
        <w:t xml:space="preserve">7.5.  </w:t>
      </w:r>
      <w:r>
        <w:rPr>
          <w:b w:val="0"/>
          <w:sz w:val="22"/>
        </w:rPr>
        <w:t>Model Comparison</w:t>
      </w:r>
      <w:r>
        <w:rPr>
          <w:sz w:val="22"/>
        </w:rPr>
        <w:tab/>
        <w:t>14</w:t>
      </w:r>
    </w:p>
    <w:p>
      <w:pPr>
        <w:spacing w:after="40"/>
        <w:ind w:left="0"/>
      </w:pPr>
      <w:r>
        <w:rPr>
          <w:b/>
          <w:sz w:val="22"/>
        </w:rPr>
        <w:t xml:space="preserve">8.  </w:t>
      </w:r>
      <w:r>
        <w:rPr>
          <w:b/>
          <w:sz w:val="22"/>
        </w:rPr>
        <w:t>Conclusion and Recommendations</w:t>
      </w:r>
      <w:r>
        <w:rPr>
          <w:sz w:val="22"/>
        </w:rPr>
        <w:tab/>
        <w:t>14</w:t>
      </w:r>
    </w:p>
    <w:p>
      <w:pPr>
        <w:spacing w:after="40"/>
        <w:ind w:left="0"/>
      </w:pPr>
      <w:r>
        <w:rPr>
          <w:b/>
          <w:sz w:val="22"/>
        </w:rPr>
        <w:t xml:space="preserve">9.  </w:t>
      </w:r>
      <w:r>
        <w:rPr>
          <w:b/>
          <w:sz w:val="22"/>
        </w:rPr>
        <w:t>References</w:t>
      </w:r>
      <w:r>
        <w:rPr>
          <w:sz w:val="22"/>
        </w:rPr>
        <w:tab/>
        <w:t>15</w:t>
      </w:r>
    </w:p>
    <w:p>
      <w:pPr>
        <w:spacing w:after="40"/>
        <w:ind w:left="0"/>
      </w:pPr>
      <w:r>
        <w:rPr>
          <w:b/>
          <w:sz w:val="22"/>
        </w:rPr>
        <w:t xml:space="preserve">10.  </w:t>
      </w:r>
      <w:r>
        <w:rPr>
          <w:b/>
          <w:sz w:val="22"/>
        </w:rPr>
        <w:t>Appendix I – Data Contract</w:t>
      </w:r>
      <w:r>
        <w:rPr>
          <w:sz w:val="22"/>
        </w:rPr>
        <w:tab/>
        <w:t>17</w:t>
      </w:r>
    </w:p>
    <w:p>
      <w:pPr>
        <w:spacing w:after="40"/>
        <w:ind w:left="0"/>
      </w:pPr>
      <w:r>
        <w:rPr>
          <w:b/>
          <w:sz w:val="22"/>
        </w:rPr>
        <w:t xml:space="preserve">11.  </w:t>
      </w:r>
      <w:r>
        <w:rPr>
          <w:b/>
          <w:sz w:val="22"/>
        </w:rPr>
        <w:t>Appendix II – Code Snippets</w:t>
      </w:r>
      <w:r>
        <w:rPr>
          <w:sz w:val="22"/>
        </w:rPr>
        <w:tab/>
        <w:t>17</w:t>
      </w:r>
    </w:p>
    <w:p>
      <w:r>
        <w:br w:type="page"/>
      </w:r>
    </w:p>
    <w:p>
      <w:pPr>
        <w:pStyle w:val="Heading1"/>
        <w:spacing w:before="320" w:after="120"/>
      </w:pPr>
      <w:r>
        <w:rPr>
          <w:b/>
          <w:color w:val="1F497D"/>
          <w:sz w:val="32"/>
        </w:rPr>
        <w:t>1.  Abstract</w:t>
      </w:r>
    </w:p>
    <w:p>
      <w:pPr>
        <w:spacing w:after="160"/>
      </w:pPr>
      <w:r>
        <w:rPr>
          <w:rFonts w:ascii="Calibri" w:hAnsi="Calibri"/>
          <w:sz w:val="22"/>
        </w:rPr>
        <w:t>This report presents a comprehensive forecasting study conducted on the Walmart Weekly Sales dataset (2010–2012, 45 stores, 6,435 observations) as a proxy for weekly demand forecasting. Two modelling approaches are developed, evaluated and compared: (1) Multiple Linear Regression and (2) the Meta/Facebook Prophet additive time-series model with exogenous regressors. Prophet substantially outperforms Linear Regression, achieving a Mean Absolute Percentage Error (MAPE) of 3.97% versus 6.17%, with an R² of 0.61 versus 0.11 respectively. The Prophet model is subsequently used to generate a 52-week out-of-sample forecast for 2013, projecting an average weekly nationwide sales of approximately $41.3 million with a pronounced seasonal dip in July–August and a recovery toward year-end. The study concludes that decomposition-based additive models with exogenous regressors are well-suited to weekly demand data exhibiting multiple seasonal patterns and that feature engineering and scaling have measurable impact on model performance.</w:t>
      </w:r>
    </w:p>
    <w:p>
      <w:r>
        <w:br w:type="page"/>
      </w:r>
    </w:p>
    <w:p>
      <w:pPr>
        <w:pStyle w:val="Heading1"/>
        <w:spacing w:before="320" w:after="120"/>
      </w:pPr>
      <w:r>
        <w:rPr>
          <w:b/>
          <w:color w:val="1F497D"/>
          <w:sz w:val="32"/>
        </w:rPr>
        <w:t>2.  Introduction</w:t>
      </w:r>
    </w:p>
    <w:p>
      <w:pPr>
        <w:pStyle w:val="Heading2"/>
        <w:spacing w:before="200" w:after="80"/>
      </w:pPr>
      <w:r>
        <w:rPr>
          <w:b/>
          <w:color w:val="265E8E"/>
          <w:sz w:val="26"/>
        </w:rPr>
        <w:t>2.1.  Background</w:t>
      </w:r>
    </w:p>
    <w:p>
      <w:pPr>
        <w:spacing w:after="160"/>
      </w:pPr>
      <w:r>
        <w:rPr>
          <w:rFonts w:ascii="Calibri" w:hAnsi="Calibri"/>
          <w:sz w:val="22"/>
        </w:rPr>
        <w:t>Demand forecasting is a fundamental challenge in both the retail and energy industries. The ability to accurately predict future demand enables organisations to optimise inventory, staffing, capacity planning, and procurement, reducing operating costs and improving service levels. Walmart, as one of the world's largest retailers, faces particularly complex demand patterns driven by weekly and seasonal cycles, holiday events, macroeconomic conditions, and regional weather variations.</w:t>
      </w:r>
    </w:p>
    <w:p>
      <w:pPr>
        <w:spacing w:after="160"/>
      </w:pPr>
      <w:r>
        <w:rPr>
          <w:rFonts w:ascii="Calibri" w:hAnsi="Calibri"/>
          <w:sz w:val="22"/>
        </w:rPr>
        <w:t>This study uses the publicly available Walmart Recruiting – Store Sales Forecasting dataset (Kaggle, 2013) as a rich, multi-variable weekly demand series. The dataset's structure closely mirrors the features encountered in energy demand forecasting: a continuous weekly target variable, external temperature and economic drivers, and discrete holiday/event flags. Results and methodology are therefore directly transferable to energy-sector applications.</w:t>
      </w:r>
    </w:p>
    <w:p>
      <w:pPr>
        <w:pStyle w:val="Heading2"/>
        <w:spacing w:before="200" w:after="80"/>
      </w:pPr>
      <w:r>
        <w:rPr>
          <w:b/>
          <w:color w:val="265E8E"/>
          <w:sz w:val="26"/>
        </w:rPr>
        <w:t>2.2.  Time Series in Energy / Retail Demand Forecasting</w:t>
      </w:r>
    </w:p>
    <w:p>
      <w:pPr>
        <w:spacing w:after="160"/>
      </w:pPr>
      <w:r>
        <w:rPr>
          <w:rFonts w:ascii="Calibri" w:hAnsi="Calibri"/>
          <w:sz w:val="22"/>
        </w:rPr>
        <w:t>Time series analysis is the natural framework for demand data because consumption or sales figures are recorded at regular, ordered intervals and exhibit temporal dependence. Key structural features include: a long-run trend (e.g., growing population driving electricity demand), multiple seasonal components (daily, weekly, annual), calendar effects (public holidays, school terms), and irregular shocks (extreme weather, economic disruptions).</w:t>
      </w:r>
    </w:p>
    <w:p>
      <w:pPr>
        <w:spacing w:after="160"/>
      </w:pPr>
      <w:r>
        <w:rPr>
          <w:rFonts w:ascii="Calibri" w:hAnsi="Calibri"/>
          <w:sz w:val="22"/>
        </w:rPr>
        <w:t>Classical decomposition methods separate a series into these components for independent modelling. The Meta/Facebook Prophet framework formalises this decomposition into an additive model y(t) = trend(t) + seasonality(t) + holidays(t) + ε(t), where each component is modelled with a flexible functional form and can incorporate user-defined exogenous regressors (Taylor &amp; Letham, 2018).</w:t>
      </w:r>
    </w:p>
    <w:p>
      <w:pPr>
        <w:pStyle w:val="Heading2"/>
        <w:spacing w:before="200" w:after="80"/>
      </w:pPr>
      <w:r>
        <w:rPr>
          <w:b/>
          <w:color w:val="265E8E"/>
          <w:sz w:val="26"/>
        </w:rPr>
        <w:t>2.3.  Importance of Regression Analysis</w:t>
      </w:r>
    </w:p>
    <w:p>
      <w:pPr>
        <w:spacing w:after="160"/>
      </w:pPr>
      <w:r>
        <w:rPr>
          <w:rFonts w:ascii="Calibri" w:hAnsi="Calibri"/>
          <w:sz w:val="22"/>
        </w:rPr>
        <w:t>While pure time series models capture internal temporal structure, regression methods explicitly model the relationship between demand and explanatory variables. In the Walmart dataset, temperature, fuel price, CPI, and unemployment serve as regressors, analogous to heating-degree days, fuel costs, and economic output in energy forecasting. Understanding the magnitude and direction of these coefficients provides actionable business intelligence beyond raw prediction.</w:t>
      </w:r>
    </w:p>
    <w:p>
      <w:pPr>
        <w:spacing w:after="160"/>
      </w:pPr>
      <w:r>
        <w:rPr>
          <w:rFonts w:ascii="Calibri" w:hAnsi="Calibri"/>
          <w:sz w:val="22"/>
        </w:rPr>
        <w:t>Multiple Linear Regression (MLR) offers the highest interpretability but assumes linearity, homoscedasticity, and no multicollinearity. More flexible approaches such as gradient-boosted trees or support vector regression can capture non-linear interactions at the cost of reduced interpretability. This study benchmarks MLR as a transparent baseline against the more sophisticated Prophet model.</w:t>
      </w:r>
    </w:p>
    <w:p>
      <w:pPr>
        <w:pStyle w:val="Heading2"/>
        <w:spacing w:before="200" w:after="80"/>
      </w:pPr>
      <w:r>
        <w:rPr>
          <w:b/>
          <w:color w:val="265E8E"/>
          <w:sz w:val="26"/>
        </w:rPr>
        <w:t>2.4.  Purpose of the Research</w:t>
      </w:r>
    </w:p>
    <w:p>
      <w:pPr>
        <w:spacing w:after="160"/>
      </w:pPr>
      <w:r>
        <w:rPr>
          <w:rFonts w:ascii="Calibri" w:hAnsi="Calibri"/>
          <w:sz w:val="22"/>
        </w:rPr>
        <w:t>This research aims to rigorously compare multiple forecasting methodologies on the same dataset under a consistent evaluation framework, to determine whether the additional modelling complexity of Prophet is justified by measurable accuracy gains, and to produce a defensible 2013 forward forecast that can inform business planning.</w:t>
      </w:r>
    </w:p>
    <w:p>
      <w:r>
        <w:br w:type="page"/>
      </w:r>
    </w:p>
    <w:p>
      <w:pPr>
        <w:pStyle w:val="Heading1"/>
        <w:spacing w:before="320" w:after="120"/>
      </w:pPr>
      <w:r>
        <w:rPr>
          <w:b/>
          <w:color w:val="1F497D"/>
          <w:sz w:val="32"/>
        </w:rPr>
        <w:t>3.  Problem Domain and Research Questions</w:t>
      </w:r>
    </w:p>
    <w:p>
      <w:pPr>
        <w:pStyle w:val="Heading2"/>
        <w:spacing w:before="200" w:after="80"/>
      </w:pPr>
      <w:r>
        <w:rPr>
          <w:b/>
          <w:color w:val="265E8E"/>
          <w:sz w:val="26"/>
        </w:rPr>
        <w:t>3.1.  Overview of Retail / Energy Demand</w:t>
      </w:r>
    </w:p>
    <w:p>
      <w:pPr>
        <w:spacing w:after="160"/>
      </w:pPr>
      <w:r>
        <w:rPr>
          <w:rFonts w:ascii="Calibri" w:hAnsi="Calibri"/>
          <w:sz w:val="22"/>
        </w:rPr>
        <w:t>Walmart operates over 10,000 stores globally and manages supply chains for hundreds of thousands of products. At the store level, weekly sales exhibit strong periodicity driven by: (a) holiday shopping events (Thanksgiving, Christmas, Super Bowl), (b) seasonal product demand linked to temperature (e.g., fans, heaters, outdoor goods), (c) fuel price sensitivity affecting consumer travel to stores, and (d) macroeconomic conditions captured by CPI and unemployment rates.</w:t>
      </w:r>
    </w:p>
    <w:p>
      <w:pPr>
        <w:spacing w:after="160"/>
      </w:pPr>
      <w:r>
        <w:rPr>
          <w:rFonts w:ascii="Calibri" w:hAnsi="Calibri"/>
          <w:sz w:val="22"/>
        </w:rPr>
        <w:t>The analogous problem in energy forecasting involves predicting system-level electricity load, which is similarly driven by temperature (heating and cooling degree-days), economic activity, and calendar effects. The modelling frameworks are therefore structurally identical, making this study a valid proof-of-concept for energy demand applications.</w:t>
      </w:r>
    </w:p>
    <w:p>
      <w:pPr>
        <w:pStyle w:val="Heading2"/>
        <w:spacing w:before="200" w:after="80"/>
      </w:pPr>
      <w:r>
        <w:rPr>
          <w:b/>
          <w:color w:val="265E8E"/>
          <w:sz w:val="26"/>
        </w:rPr>
        <w:t>3.2.  Problem Statement</w:t>
      </w:r>
    </w:p>
    <w:p>
      <w:pPr>
        <w:spacing w:after="160"/>
      </w:pPr>
      <w:r>
        <w:rPr>
          <w:rFonts w:ascii="Calibri" w:hAnsi="Calibri"/>
          <w:sz w:val="22"/>
        </w:rPr>
        <w:t>Sales and demand forecasts at Walmart are used for store staffing, inventory replenishment, and supply chain scheduling. Forecast errors directly translate into lost sales (stock-outs) or excess inventory carrying costs. With the dataset spanning February 2010 to October 2012, the key operational question is: Can a data-driven model accurately explain historical weekly sales patterns and reliably extrapolate to forecast 2013 demand given only macroeconomic and calendar inputs?</w:t>
      </w:r>
    </w:p>
    <w:p>
      <w:pPr>
        <w:pStyle w:val="Heading2"/>
        <w:spacing w:before="200" w:after="80"/>
      </w:pPr>
      <w:r>
        <w:rPr>
          <w:b/>
          <w:color w:val="265E8E"/>
          <w:sz w:val="26"/>
        </w:rPr>
        <w:t>3.3.  Research Questions</w:t>
      </w:r>
    </w:p>
    <w:p>
      <w:r>
        <w:rPr>
          <w:b/>
          <w:sz w:val="22"/>
        </w:rPr>
        <w:t>Primary Research Question:</w:t>
      </w:r>
    </w:p>
    <w:p>
      <w:pPr>
        <w:spacing w:after="160"/>
      </w:pPr>
      <w:r>
        <w:rPr>
          <w:rFonts w:ascii="Calibri" w:hAnsi="Calibri"/>
          <w:sz w:val="22"/>
        </w:rPr>
        <w:t>Which forecasting model – Multiple Linear Regression or Meta Prophet with exogenous regressors – achieves the lowest MAPE on the Walmart weekly sales dataset, and can Prophet produce a credible 52-week out-of-sample forecast for 2013?</w:t>
      </w:r>
    </w:p>
    <w:p>
      <w:r>
        <w:rPr>
          <w:b/>
          <w:sz w:val="22"/>
        </w:rPr>
        <w:t>Secondary Research Questions:</w:t>
      </w:r>
    </w:p>
    <w:p>
      <w:pPr>
        <w:pStyle w:val="ListBullet"/>
        <w:spacing w:after="60"/>
      </w:pPr>
      <w:r>
        <w:rPr>
          <w:rFonts w:ascii="Calibri" w:hAnsi="Calibri"/>
          <w:sz w:val="22"/>
        </w:rPr>
        <w:t>How strongly do temperature, holiday flags, CPI, fuel price, and unemployment correlate with aggregate weekly sales?</w:t>
      </w:r>
    </w:p>
    <w:p>
      <w:pPr>
        <w:pStyle w:val="ListBullet"/>
        <w:spacing w:after="60"/>
      </w:pPr>
      <w:r>
        <w:rPr>
          <w:rFonts w:ascii="Calibri" w:hAnsi="Calibri"/>
          <w:sz w:val="22"/>
        </w:rPr>
        <w:t>Does Prophet's decomposition approach capture seasonal structure that MLR fails to detect?</w:t>
      </w:r>
    </w:p>
    <w:p>
      <w:pPr>
        <w:pStyle w:val="ListBullet"/>
        <w:spacing w:after="60"/>
      </w:pPr>
      <w:r>
        <w:rPr>
          <w:rFonts w:ascii="Calibri" w:hAnsi="Calibri"/>
          <w:sz w:val="22"/>
        </w:rPr>
        <w:t>What is the expected weekly sales range for 2013 and how does it compare to the 2010–2012 average?</w:t>
      </w:r>
    </w:p>
    <w:p>
      <w:pPr>
        <w:pStyle w:val="ListBullet"/>
        <w:spacing w:after="60"/>
      </w:pPr>
      <w:r>
        <w:rPr>
          <w:rFonts w:ascii="Calibri" w:hAnsi="Calibri"/>
          <w:sz w:val="22"/>
        </w:rPr>
        <w:t>Which model offers the best trade-off between accuracy and operational interpretability?</w:t>
      </w:r>
    </w:p>
    <w:p>
      <w:r>
        <w:br w:type="page"/>
      </w:r>
    </w:p>
    <w:p>
      <w:pPr>
        <w:pStyle w:val="Heading1"/>
        <w:spacing w:before="320" w:after="120"/>
      </w:pPr>
      <w:r>
        <w:rPr>
          <w:b/>
          <w:color w:val="1F497D"/>
          <w:sz w:val="32"/>
        </w:rPr>
        <w:t>4.  Literature Review</w:t>
      </w:r>
    </w:p>
    <w:p>
      <w:pPr>
        <w:spacing w:after="160"/>
      </w:pPr>
      <w:r>
        <w:rPr>
          <w:rFonts w:ascii="Calibri" w:hAnsi="Calibri"/>
          <w:sz w:val="22"/>
        </w:rPr>
        <w:t>The literature on demand and energy forecasting is extensive, spanning classical statistical methods, ensemble machine learning, and modern deep learning. The following sections provide a critical synthesis of the principal methodological families, their theoretical basis, and key empirical findings.</w:t>
      </w:r>
    </w:p>
    <w:p>
      <w:pPr>
        <w:pStyle w:val="Heading2"/>
        <w:spacing w:before="200" w:after="80"/>
      </w:pPr>
      <w:r>
        <w:rPr>
          <w:b/>
          <w:color w:val="265E8E"/>
          <w:sz w:val="26"/>
        </w:rPr>
        <w:t>4.1.  Traditional Time Series Models (ARIMA, SARIMA)</w:t>
      </w:r>
    </w:p>
    <w:p>
      <w:pPr>
        <w:spacing w:after="160"/>
      </w:pPr>
      <w:r>
        <w:rPr>
          <w:rFonts w:ascii="Calibri" w:hAnsi="Calibri"/>
          <w:sz w:val="22"/>
        </w:rPr>
        <w:t>Box and Jenkins (1970) established the ARIMA(p,d,q) framework, which remains one of the most widely applied forecasting tools in practice. ARIMA models capture the autocorrelation structure of a univariate stationary series through p autoregressive lags and q moving-average terms, with d-order differencing to achieve stationarity. The Seasonal ARIMA extension, SARIMA(p,d,q)(P,D,Q)s, adds seasonal counterparts that are critical for weekly retail and energy data with strong intra-year periodicity.</w:t>
      </w:r>
    </w:p>
    <w:p>
      <w:pPr>
        <w:spacing w:after="160"/>
      </w:pPr>
      <w:r>
        <w:rPr>
          <w:rFonts w:ascii="Calibri" w:hAnsi="Calibri"/>
          <w:sz w:val="22"/>
        </w:rPr>
        <w:t>Key advantages of ARIMA are its well-understood statistical properties, the availability of rigorous model selection criteria (AIC, BIC), and diagnostic tests for residual white noise (Ljung-Box test). Limitations include the linearity assumption, difficulty handling multiple overlapping seasonal periods, and the need for manual order identification from ACF/PACF plots.</w:t>
      </w:r>
    </w:p>
    <w:p>
      <w:pPr>
        <w:spacing w:after="160"/>
      </w:pPr>
      <w:r>
        <w:rPr>
          <w:rFonts w:ascii="Calibri" w:hAnsi="Calibri"/>
          <w:sz w:val="22"/>
        </w:rPr>
        <w:t>The Meta/Facebook Prophet model (Taylor &amp; Letham, 2018) addresses many ARIMA limitations by adopting a decomposable additive formulation with a piecewise linear or logistic growth trend, Fourier-series seasonal components, and an explicit holiday regression term. Prophet is robust to missing data, does not require stationarity, and can incorporate user-defined exogenous regressors – making it well-suited to the Walmart dataset.</w:t>
      </w:r>
    </w:p>
    <w:p>
      <w:pPr>
        <w:pStyle w:val="Heading2"/>
        <w:spacing w:before="200" w:after="80"/>
      </w:pPr>
      <w:r>
        <w:rPr>
          <w:b/>
          <w:color w:val="265E8E"/>
          <w:sz w:val="26"/>
        </w:rPr>
        <w:t>4.2.  Machine Learning Regression Methods</w:t>
      </w:r>
    </w:p>
    <w:p>
      <w:pPr>
        <w:spacing w:after="160"/>
      </w:pPr>
      <w:r>
        <w:rPr>
          <w:rFonts w:ascii="Calibri" w:hAnsi="Calibri"/>
          <w:sz w:val="22"/>
        </w:rPr>
        <w:t>Multiple Linear Regression (MLR) models demand as a linear combination of predictor variables and is the most interpretable supervised learning approach. While the linearity assumption restricts its ability to capture non-linear demand behaviour, MLR provides clear coefficient estimates that facilitate actionable insight. Regularised extensions (Ridge, Lasso, Elastic Net) mitigate overfitting when the feature space is large or collinear (Tibshirani, 1996).</w:t>
      </w:r>
    </w:p>
    <w:p>
      <w:pPr>
        <w:spacing w:after="160"/>
      </w:pPr>
      <w:r>
        <w:rPr>
          <w:rFonts w:ascii="Calibri" w:hAnsi="Calibri"/>
          <w:sz w:val="22"/>
        </w:rPr>
        <w:t>Ensemble tree methods – Random Forest (Breiman, 2001) and Gradient Boosting (Friedman, 2001) – overcome MLR's linearity constraint and are highly effective when rich feature sets (lags, rolling statistics, calendar encodings) are available. Fan et al. (2019) demonstrated gradient-boosted trees outperforming ARIMA and neural networks for short-term residential load forecasting when lag features were carefully engineered. Support Vector Regression (SVR) provides another non-linear option via kernel mapping (Chen et al., 2004).</w:t>
      </w:r>
    </w:p>
    <w:p>
      <w:pPr>
        <w:pStyle w:val="Heading2"/>
        <w:spacing w:before="200" w:after="80"/>
      </w:pPr>
      <w:r>
        <w:rPr>
          <w:b/>
          <w:color w:val="265E8E"/>
          <w:sz w:val="26"/>
        </w:rPr>
        <w:t>4.3.  Deep Learning – LSTM / RNN</w:t>
      </w:r>
    </w:p>
    <w:p>
      <w:pPr>
        <w:spacing w:after="160"/>
      </w:pPr>
      <w:r>
        <w:rPr>
          <w:rFonts w:ascii="Calibri" w:hAnsi="Calibri"/>
          <w:sz w:val="22"/>
        </w:rPr>
        <w:t>Recurrent Neural Networks (RNNs) process sequential data through a hidden state that encodes information from prior time steps. Standard RNNs suffer from the vanishing gradient problem, limiting learning over long sequences (Hochreiter, 1991). Long Short-Term Memory (LSTM) networks (Hochreiter &amp; Schmidhuber, 1997) resolve this through input, forget, and output gating mechanisms, enabling the capture of dependencies over hundreds of time steps.</w:t>
      </w:r>
    </w:p>
    <w:p>
      <w:pPr>
        <w:spacing w:after="160"/>
      </w:pPr>
      <w:r>
        <w:rPr>
          <w:rFonts w:ascii="Calibri" w:hAnsi="Calibri"/>
          <w:sz w:val="22"/>
        </w:rPr>
        <w:t>Kong et al. (2017) applied LSTM to residential load forecasting and reported a 10–15% RMSE reduction over ARIMA and feedforward networks. Gated Recurrent Units (GRU; Cho et al., 2014) offer comparable performance with reduced computational cost. Transformer-based architectures (Informer; Zhou et al., 2021) further extend sequence modelling capability and achieve state-of-the-art results on large-scale energy datasets. The primary constraints of deep learning for this study are data volume requirements (LSTM ideally needs thousands of weekly observations; this dataset has 143) and reduced interpretability.</w:t>
      </w:r>
    </w:p>
    <w:p>
      <w:pPr>
        <w:pStyle w:val="Heading2"/>
        <w:spacing w:before="200" w:after="80"/>
      </w:pPr>
      <w:r>
        <w:rPr>
          <w:b/>
          <w:color w:val="265E8E"/>
          <w:sz w:val="26"/>
        </w:rPr>
        <w:t>4.4.  Existing Research on Demand Forecasting</w:t>
      </w:r>
    </w:p>
    <w:p>
      <w:pPr>
        <w:spacing w:after="160"/>
      </w:pPr>
      <w:r>
        <w:rPr>
          <w:rFonts w:ascii="Calibri" w:hAnsi="Calibri"/>
          <w:sz w:val="22"/>
        </w:rPr>
        <w:t>Makridakis et al. (2018) in the M4 competition evaluated 61 forecasting methods on 100,000 time series and found that: (a) ensemble/hybrid methods consistently outperform individual models; (b) ML methods underperformed classical methods when applied without careful feature engineering; and (c) exponential smoothing methods were among the most accurate and robust overall.</w:t>
      </w:r>
    </w:p>
    <w:p>
      <w:pPr>
        <w:spacing w:after="160"/>
      </w:pPr>
      <w:r>
        <w:rPr>
          <w:rFonts w:ascii="Calibri" w:hAnsi="Calibri"/>
          <w:sz w:val="22"/>
        </w:rPr>
        <w:t>Ahmad et al. (2018) surveyed 80 studies on ML in renewable energy forecasting and found gradient-boosted trees and LSTM to be the most consistently accurate methods, while emphasising that feature engineering quality often mattered more than model complexity. Lusis et al. (2017) found significant heterogeneity at the customer level, with no single model dominating all households, reinforcing the importance of empirical comparison as conducted in this study.</w:t>
      </w:r>
    </w:p>
    <w:p>
      <w:pPr>
        <w:pStyle w:val="Heading2"/>
        <w:spacing w:before="200" w:after="80"/>
      </w:pPr>
      <w:r>
        <w:rPr>
          <w:b/>
          <w:color w:val="265E8E"/>
          <w:sz w:val="26"/>
        </w:rPr>
        <w:t>4.5.  Summary of Literature Findings</w:t>
      </w:r>
    </w:p>
    <w:p>
      <w:pPr>
        <w:pStyle w:val="ListBullet"/>
        <w:spacing w:after="60"/>
      </w:pPr>
      <w:r>
        <w:rPr>
          <w:rFonts w:ascii="Calibri" w:hAnsi="Calibri"/>
          <w:sz w:val="22"/>
        </w:rPr>
        <w:t>No universally optimal model exists; the best choice depends on data volume, frequency, and exogenous information availability.</w:t>
      </w:r>
    </w:p>
    <w:p>
      <w:pPr>
        <w:pStyle w:val="ListBullet"/>
        <w:spacing w:after="60"/>
      </w:pPr>
      <w:r>
        <w:rPr>
          <w:rFonts w:ascii="Calibri" w:hAnsi="Calibri"/>
          <w:sz w:val="22"/>
        </w:rPr>
        <w:t>ARIMA/SARIMA and Prophet are strong baselines for series with clear seasonal structure and limited training data.</w:t>
      </w:r>
    </w:p>
    <w:p>
      <w:pPr>
        <w:pStyle w:val="ListBullet"/>
        <w:spacing w:after="60"/>
      </w:pPr>
      <w:r>
        <w:rPr>
          <w:rFonts w:ascii="Calibri" w:hAnsi="Calibri"/>
          <w:sz w:val="22"/>
        </w:rPr>
        <w:t>Ensemble ML methods are competitive when rich feature sets are available but require careful engineering.</w:t>
      </w:r>
    </w:p>
    <w:p>
      <w:pPr>
        <w:pStyle w:val="ListBullet"/>
        <w:spacing w:after="60"/>
      </w:pPr>
      <w:r>
        <w:rPr>
          <w:rFonts w:ascii="Calibri" w:hAnsi="Calibri"/>
          <w:sz w:val="22"/>
        </w:rPr>
        <w:t>LSTM outperforms classical methods at scale but is data-hungry and less interpretable.</w:t>
      </w:r>
    </w:p>
    <w:p>
      <w:pPr>
        <w:pStyle w:val="ListBullet"/>
        <w:spacing w:after="60"/>
      </w:pPr>
      <w:r>
        <w:rPr>
          <w:rFonts w:ascii="Calibri" w:hAnsi="Calibri"/>
          <w:sz w:val="22"/>
        </w:rPr>
        <w:t>Hybrid/ensemble approaches and robust feature engineering consistently reduce forecast error across domains.</w:t>
      </w:r>
    </w:p>
    <w:p>
      <w:r>
        <w:br w:type="page"/>
      </w:r>
    </w:p>
    <w:p>
      <w:pPr>
        <w:pStyle w:val="Heading1"/>
        <w:spacing w:before="320" w:after="120"/>
      </w:pPr>
      <w:r>
        <w:rPr>
          <w:b/>
          <w:color w:val="1F497D"/>
          <w:sz w:val="32"/>
        </w:rPr>
        <w:t>5.  Aim and Objectives</w:t>
      </w:r>
    </w:p>
    <w:p>
      <w:r>
        <w:rPr>
          <w:b/>
          <w:sz w:val="24"/>
        </w:rPr>
        <w:t>Aim:</w:t>
      </w:r>
    </w:p>
    <w:p>
      <w:pPr>
        <w:spacing w:after="160"/>
      </w:pPr>
      <w:r>
        <w:rPr>
          <w:rFonts w:ascii="Calibri" w:hAnsi="Calibri"/>
          <w:sz w:val="22"/>
        </w:rPr>
        <w:t>To develop, evaluate, and compare multiple forecasting methodologies on the Walmart Weekly Sales dataset in order to identify the most accurate and practically deployable approach for weekly demand forecasting, and to produce a credible 2013 forward forecast.</w:t>
      </w:r>
    </w:p>
    <w:p>
      <w:r>
        <w:rPr>
          <w:b/>
          <w:sz w:val="24"/>
        </w:rPr>
        <w:t>Objectives:</w:t>
      </w:r>
    </w:p>
    <w:p>
      <w:pPr>
        <w:pStyle w:val="ListNumber"/>
        <w:spacing w:after="60"/>
      </w:pPr>
      <w:r>
        <w:rPr>
          <w:rFonts w:ascii="Calibri" w:hAnsi="Calibri"/>
          <w:sz w:val="22"/>
        </w:rPr>
        <w:t>Load, clean, and preprocess the Walmart dataset; aggregate to a nationwide weekly demand series with exogenous covariates.</w:t>
      </w:r>
    </w:p>
    <w:p>
      <w:pPr>
        <w:pStyle w:val="ListNumber"/>
        <w:spacing w:after="60"/>
      </w:pPr>
      <w:r>
        <w:rPr>
          <w:rFonts w:ascii="Calibri" w:hAnsi="Calibri"/>
          <w:sz w:val="22"/>
        </w:rPr>
        <w:t>Conduct thorough exploratory data analysis: characterise distributions, temporal trends, seasonality, outliers, and inter-variable correlations.</w:t>
      </w:r>
    </w:p>
    <w:p>
      <w:pPr>
        <w:pStyle w:val="ListNumber"/>
        <w:spacing w:after="60"/>
      </w:pPr>
      <w:r>
        <w:rPr>
          <w:rFonts w:ascii="Calibri" w:hAnsi="Calibri"/>
          <w:sz w:val="22"/>
        </w:rPr>
        <w:t>Engineer appropriate feature sets for each model, including StandardScaler normalisation of continuous regressors.</w:t>
      </w:r>
    </w:p>
    <w:p>
      <w:pPr>
        <w:pStyle w:val="ListNumber"/>
        <w:spacing w:after="60"/>
      </w:pPr>
      <w:r>
        <w:rPr>
          <w:rFonts w:ascii="Calibri" w:hAnsi="Calibri"/>
          <w:sz w:val="22"/>
        </w:rPr>
        <w:t>Develop and evaluate a Multiple Linear Regression baseline model using a random 80/20 train-test split.</w:t>
      </w:r>
    </w:p>
    <w:p>
      <w:pPr>
        <w:pStyle w:val="ListNumber"/>
        <w:spacing w:after="60"/>
      </w:pPr>
      <w:r>
        <w:rPr>
          <w:rFonts w:ascii="Calibri" w:hAnsi="Calibri"/>
          <w:sz w:val="22"/>
        </w:rPr>
        <w:t>Develop and evaluate a Meta Prophet model with all five exogenous regressors, trained on the full historical series and evaluated against in-sample actuals.</w:t>
      </w:r>
    </w:p>
    <w:p>
      <w:pPr>
        <w:pStyle w:val="ListNumber"/>
        <w:spacing w:after="60"/>
      </w:pPr>
      <w:r>
        <w:rPr>
          <w:rFonts w:ascii="Calibri" w:hAnsi="Calibri"/>
          <w:sz w:val="22"/>
        </w:rPr>
        <w:t>Compare model performance using MAE, RMSE, MAPE, and R² on a consistent evaluation set.</w:t>
      </w:r>
    </w:p>
    <w:p>
      <w:pPr>
        <w:pStyle w:val="ListNumber"/>
        <w:spacing w:after="60"/>
      </w:pPr>
      <w:r>
        <w:rPr>
          <w:rFonts w:ascii="Calibri" w:hAnsi="Calibri"/>
          <w:sz w:val="22"/>
        </w:rPr>
        <w:t>Generate a 52-week out-of-sample 2013 forecast using the best-performing model, with prediction intervals.</w:t>
      </w:r>
    </w:p>
    <w:p>
      <w:pPr>
        <w:pStyle w:val="ListNumber"/>
        <w:spacing w:after="60"/>
      </w:pPr>
      <w:r>
        <w:rPr>
          <w:rFonts w:ascii="Calibri" w:hAnsi="Calibri"/>
          <w:sz w:val="22"/>
        </w:rPr>
        <w:t>Document methodology, results, and interpretation in this structured academic report.</w:t>
      </w:r>
    </w:p>
    <w:p>
      <w:r>
        <w:br w:type="page"/>
      </w:r>
    </w:p>
    <w:p>
      <w:pPr>
        <w:pStyle w:val="Heading1"/>
        <w:spacing w:before="320" w:after="120"/>
      </w:pPr>
      <w:r>
        <w:rPr>
          <w:b/>
          <w:color w:val="1F497D"/>
          <w:sz w:val="32"/>
        </w:rPr>
        <w:t>6.  Methodology</w:t>
      </w:r>
    </w:p>
    <w:p>
      <w:pPr>
        <w:pStyle w:val="Heading2"/>
        <w:spacing w:before="200" w:after="80"/>
      </w:pPr>
      <w:r>
        <w:rPr>
          <w:b/>
          <w:color w:val="265E8E"/>
          <w:sz w:val="26"/>
        </w:rPr>
        <w:t>6.1.  Dataset Description</w:t>
      </w:r>
    </w:p>
    <w:p>
      <w:pPr>
        <w:spacing w:after="160"/>
      </w:pPr>
      <w:r>
        <w:rPr>
          <w:rFonts w:ascii="Calibri" w:hAnsi="Calibri"/>
          <w:sz w:val="22"/>
        </w:rPr>
        <w:t>The Walmart Recruiting – Store Sales Forecasting dataset (Kaggle, 2013) contains 6,435 weekly observations across 45 store locations for the period 05 February 2010 to 26 October 2012 (143 weeks). After aggregation across stores, the modelling dataset comprises 143 weekly observations.</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1701"/>
            <w:shd w:val="clear" w:color="auto" w:fill="1F497D"/>
          </w:tcPr>
          <w:p>
            <w:pPr>
              <w:jc w:val="center"/>
            </w:pPr>
            <w:r>
              <w:rPr>
                <w:b/>
                <w:color w:val="FFFFFF"/>
                <w:sz w:val="20"/>
              </w:rPr>
              <w:t>Variable</w:t>
            </w:r>
          </w:p>
        </w:tc>
        <w:tc>
          <w:tcPr>
            <w:tcW w:type="dxa" w:w="1984"/>
            <w:shd w:val="clear" w:color="auto" w:fill="1F497D"/>
          </w:tcPr>
          <w:p>
            <w:pPr>
              <w:jc w:val="center"/>
            </w:pPr>
            <w:r>
              <w:rPr>
                <w:b/>
                <w:color w:val="FFFFFF"/>
                <w:sz w:val="20"/>
              </w:rPr>
              <w:t>Type</w:t>
            </w:r>
          </w:p>
        </w:tc>
        <w:tc>
          <w:tcPr>
            <w:tcW w:type="dxa" w:w="3118"/>
            <w:shd w:val="clear" w:color="auto" w:fill="1F497D"/>
          </w:tcPr>
          <w:p>
            <w:pPr>
              <w:jc w:val="center"/>
            </w:pPr>
            <w:r>
              <w:rPr>
                <w:b/>
                <w:color w:val="FFFFFF"/>
                <w:sz w:val="20"/>
              </w:rPr>
              <w:t>Description</w:t>
            </w:r>
          </w:p>
        </w:tc>
        <w:tc>
          <w:tcPr>
            <w:tcW w:type="dxa" w:w="2551"/>
            <w:shd w:val="clear" w:color="auto" w:fill="1F497D"/>
          </w:tcPr>
          <w:p>
            <w:pPr>
              <w:jc w:val="center"/>
            </w:pPr>
            <w:r>
              <w:rPr>
                <w:b/>
                <w:color w:val="FFFFFF"/>
                <w:sz w:val="20"/>
              </w:rPr>
              <w:t>Range (aggregated)</w:t>
            </w:r>
          </w:p>
        </w:tc>
      </w:tr>
      <w:tr>
        <w:tc>
          <w:tcPr>
            <w:tcW w:type="dxa" w:w="1701"/>
            <w:shd w:val="clear" w:color="auto" w:fill="FFFFFF"/>
          </w:tcPr>
          <w:p>
            <w:pPr>
              <w:jc w:val="center"/>
            </w:pPr>
            <w:r>
              <w:rPr>
                <w:sz w:val="20"/>
              </w:rPr>
              <w:t>Date</w:t>
            </w:r>
          </w:p>
        </w:tc>
        <w:tc>
          <w:tcPr>
            <w:tcW w:type="dxa" w:w="1984"/>
            <w:shd w:val="clear" w:color="auto" w:fill="FFFFFF"/>
          </w:tcPr>
          <w:p>
            <w:pPr>
              <w:jc w:val="center"/>
            </w:pPr>
            <w:r>
              <w:rPr>
                <w:sz w:val="20"/>
              </w:rPr>
              <w:t>Datetime</w:t>
            </w:r>
          </w:p>
        </w:tc>
        <w:tc>
          <w:tcPr>
            <w:tcW w:type="dxa" w:w="3118"/>
            <w:shd w:val="clear" w:color="auto" w:fill="FFFFFF"/>
          </w:tcPr>
          <w:p>
            <w:pPr>
              <w:jc w:val="center"/>
            </w:pPr>
            <w:r>
              <w:rPr>
                <w:sz w:val="20"/>
              </w:rPr>
              <w:t>Week start date (DD-MM-YYYY)</w:t>
            </w:r>
          </w:p>
        </w:tc>
        <w:tc>
          <w:tcPr>
            <w:tcW w:type="dxa" w:w="2551"/>
            <w:shd w:val="clear" w:color="auto" w:fill="FFFFFF"/>
          </w:tcPr>
          <w:p>
            <w:pPr>
              <w:jc w:val="center"/>
            </w:pPr>
            <w:r>
              <w:rPr>
                <w:sz w:val="20"/>
              </w:rPr>
              <w:t>05-Feb-2010 to 26-Oct-2012</w:t>
            </w:r>
          </w:p>
        </w:tc>
      </w:tr>
      <w:tr>
        <w:tc>
          <w:tcPr>
            <w:tcW w:type="dxa" w:w="1701"/>
            <w:shd w:val="clear" w:color="auto" w:fill="EBF3FA"/>
          </w:tcPr>
          <w:p>
            <w:pPr>
              <w:jc w:val="center"/>
            </w:pPr>
            <w:r>
              <w:rPr>
                <w:sz w:val="20"/>
              </w:rPr>
              <w:t>Weekly_Sales</w:t>
            </w:r>
          </w:p>
        </w:tc>
        <w:tc>
          <w:tcPr>
            <w:tcW w:type="dxa" w:w="1984"/>
            <w:shd w:val="clear" w:color="auto" w:fill="EBF3FA"/>
          </w:tcPr>
          <w:p>
            <w:pPr>
              <w:jc w:val="center"/>
            </w:pPr>
            <w:r>
              <w:rPr>
                <w:sz w:val="20"/>
              </w:rPr>
              <w:t>Continuous (target)</w:t>
            </w:r>
          </w:p>
        </w:tc>
        <w:tc>
          <w:tcPr>
            <w:tcW w:type="dxa" w:w="3118"/>
            <w:shd w:val="clear" w:color="auto" w:fill="EBF3FA"/>
          </w:tcPr>
          <w:p>
            <w:pPr>
              <w:jc w:val="center"/>
            </w:pPr>
            <w:r>
              <w:rPr>
                <w:sz w:val="20"/>
              </w:rPr>
              <w:t>Nationwide weekly sales (USD)</w:t>
            </w:r>
          </w:p>
        </w:tc>
        <w:tc>
          <w:tcPr>
            <w:tcW w:type="dxa" w:w="2551"/>
            <w:shd w:val="clear" w:color="auto" w:fill="EBF3FA"/>
          </w:tcPr>
          <w:p>
            <w:pPr>
              <w:jc w:val="center"/>
            </w:pPr>
            <w:r>
              <w:rPr>
                <w:sz w:val="20"/>
              </w:rPr>
              <w:t>$39.6M – $80.9M</w:t>
            </w:r>
          </w:p>
        </w:tc>
      </w:tr>
      <w:tr>
        <w:tc>
          <w:tcPr>
            <w:tcW w:type="dxa" w:w="1701"/>
            <w:shd w:val="clear" w:color="auto" w:fill="FFFFFF"/>
          </w:tcPr>
          <w:p>
            <w:pPr>
              <w:jc w:val="center"/>
            </w:pPr>
            <w:r>
              <w:rPr>
                <w:sz w:val="20"/>
              </w:rPr>
              <w:t>Holiday_Flag</w:t>
            </w:r>
          </w:p>
        </w:tc>
        <w:tc>
          <w:tcPr>
            <w:tcW w:type="dxa" w:w="1984"/>
            <w:shd w:val="clear" w:color="auto" w:fill="FFFFFF"/>
          </w:tcPr>
          <w:p>
            <w:pPr>
              <w:jc w:val="center"/>
            </w:pPr>
            <w:r>
              <w:rPr>
                <w:sz w:val="20"/>
              </w:rPr>
              <w:t>Binary</w:t>
            </w:r>
          </w:p>
        </w:tc>
        <w:tc>
          <w:tcPr>
            <w:tcW w:type="dxa" w:w="3118"/>
            <w:shd w:val="clear" w:color="auto" w:fill="FFFFFF"/>
          </w:tcPr>
          <w:p>
            <w:pPr>
              <w:jc w:val="center"/>
            </w:pPr>
            <w:r>
              <w:rPr>
                <w:sz w:val="20"/>
              </w:rPr>
              <w:t>1 = holiday week, 0 = standard</w:t>
            </w:r>
          </w:p>
        </w:tc>
        <w:tc>
          <w:tcPr>
            <w:tcW w:type="dxa" w:w="2551"/>
            <w:shd w:val="clear" w:color="auto" w:fill="FFFFFF"/>
          </w:tcPr>
          <w:p>
            <w:pPr>
              <w:jc w:val="center"/>
            </w:pPr>
            <w:r>
              <w:rPr>
                <w:sz w:val="20"/>
              </w:rPr>
              <w:t>10 holiday / 133 standard</w:t>
            </w:r>
          </w:p>
        </w:tc>
      </w:tr>
      <w:tr>
        <w:tc>
          <w:tcPr>
            <w:tcW w:type="dxa" w:w="1701"/>
            <w:shd w:val="clear" w:color="auto" w:fill="EBF3FA"/>
          </w:tcPr>
          <w:p>
            <w:pPr>
              <w:jc w:val="center"/>
            </w:pPr>
            <w:r>
              <w:rPr>
                <w:sz w:val="20"/>
              </w:rPr>
              <w:t>Temperature</w:t>
            </w:r>
          </w:p>
        </w:tc>
        <w:tc>
          <w:tcPr>
            <w:tcW w:type="dxa" w:w="1984"/>
            <w:shd w:val="clear" w:color="auto" w:fill="EBF3FA"/>
          </w:tcPr>
          <w:p>
            <w:pPr>
              <w:jc w:val="center"/>
            </w:pPr>
            <w:r>
              <w:rPr>
                <w:sz w:val="20"/>
              </w:rPr>
              <w:t>Continuous</w:t>
            </w:r>
          </w:p>
        </w:tc>
        <w:tc>
          <w:tcPr>
            <w:tcW w:type="dxa" w:w="3118"/>
            <w:shd w:val="clear" w:color="auto" w:fill="EBF3FA"/>
          </w:tcPr>
          <w:p>
            <w:pPr>
              <w:jc w:val="center"/>
            </w:pPr>
            <w:r>
              <w:rPr>
                <w:sz w:val="20"/>
              </w:rPr>
              <w:t>Mean temperature (°F)</w:t>
            </w:r>
          </w:p>
        </w:tc>
        <w:tc>
          <w:tcPr>
            <w:tcW w:type="dxa" w:w="2551"/>
            <w:shd w:val="clear" w:color="auto" w:fill="EBF3FA"/>
          </w:tcPr>
          <w:p>
            <w:pPr>
              <w:jc w:val="center"/>
            </w:pPr>
            <w:r>
              <w:rPr>
                <w:sz w:val="20"/>
              </w:rPr>
              <w:t>30.5°F – 82.2°F</w:t>
            </w:r>
          </w:p>
        </w:tc>
      </w:tr>
      <w:tr>
        <w:tc>
          <w:tcPr>
            <w:tcW w:type="dxa" w:w="1701"/>
            <w:shd w:val="clear" w:color="auto" w:fill="FFFFFF"/>
          </w:tcPr>
          <w:p>
            <w:pPr>
              <w:jc w:val="center"/>
            </w:pPr>
            <w:r>
              <w:rPr>
                <w:sz w:val="20"/>
              </w:rPr>
              <w:t>Fuel_Price</w:t>
            </w:r>
          </w:p>
        </w:tc>
        <w:tc>
          <w:tcPr>
            <w:tcW w:type="dxa" w:w="1984"/>
            <w:shd w:val="clear" w:color="auto" w:fill="FFFFFF"/>
          </w:tcPr>
          <w:p>
            <w:pPr>
              <w:jc w:val="center"/>
            </w:pPr>
            <w:r>
              <w:rPr>
                <w:sz w:val="20"/>
              </w:rPr>
              <w:t>Continuous</w:t>
            </w:r>
          </w:p>
        </w:tc>
        <w:tc>
          <w:tcPr>
            <w:tcW w:type="dxa" w:w="3118"/>
            <w:shd w:val="clear" w:color="auto" w:fill="FFFFFF"/>
          </w:tcPr>
          <w:p>
            <w:pPr>
              <w:jc w:val="center"/>
            </w:pPr>
            <w:r>
              <w:rPr>
                <w:sz w:val="20"/>
              </w:rPr>
              <w:t>Mean fuel price (USD/gallon)</w:t>
            </w:r>
          </w:p>
        </w:tc>
        <w:tc>
          <w:tcPr>
            <w:tcW w:type="dxa" w:w="2551"/>
            <w:shd w:val="clear" w:color="auto" w:fill="FFFFFF"/>
          </w:tcPr>
          <w:p>
            <w:pPr>
              <w:jc w:val="center"/>
            </w:pPr>
            <w:r>
              <w:rPr>
                <w:sz w:val="20"/>
              </w:rPr>
              <w:t>$2.67 – $4.00</w:t>
            </w:r>
          </w:p>
        </w:tc>
      </w:tr>
      <w:tr>
        <w:tc>
          <w:tcPr>
            <w:tcW w:type="dxa" w:w="1701"/>
            <w:shd w:val="clear" w:color="auto" w:fill="EBF3FA"/>
          </w:tcPr>
          <w:p>
            <w:pPr>
              <w:jc w:val="center"/>
            </w:pPr>
            <w:r>
              <w:rPr>
                <w:sz w:val="20"/>
              </w:rPr>
              <w:t>CPI</w:t>
            </w:r>
          </w:p>
        </w:tc>
        <w:tc>
          <w:tcPr>
            <w:tcW w:type="dxa" w:w="1984"/>
            <w:shd w:val="clear" w:color="auto" w:fill="EBF3FA"/>
          </w:tcPr>
          <w:p>
            <w:pPr>
              <w:jc w:val="center"/>
            </w:pPr>
            <w:r>
              <w:rPr>
                <w:sz w:val="20"/>
              </w:rPr>
              <w:t>Continuous</w:t>
            </w:r>
          </w:p>
        </w:tc>
        <w:tc>
          <w:tcPr>
            <w:tcW w:type="dxa" w:w="3118"/>
            <w:shd w:val="clear" w:color="auto" w:fill="EBF3FA"/>
          </w:tcPr>
          <w:p>
            <w:pPr>
              <w:jc w:val="center"/>
            </w:pPr>
            <w:r>
              <w:rPr>
                <w:sz w:val="20"/>
              </w:rPr>
              <w:t>Consumer Price Index</w:t>
            </w:r>
          </w:p>
        </w:tc>
        <w:tc>
          <w:tcPr>
            <w:tcW w:type="dxa" w:w="2551"/>
            <w:shd w:val="clear" w:color="auto" w:fill="EBF3FA"/>
          </w:tcPr>
          <w:p>
            <w:pPr>
              <w:jc w:val="center"/>
            </w:pPr>
            <w:r>
              <w:rPr>
                <w:sz w:val="20"/>
              </w:rPr>
              <w:t>167.5 – 176.7</w:t>
            </w:r>
          </w:p>
        </w:tc>
      </w:tr>
      <w:tr>
        <w:tc>
          <w:tcPr>
            <w:tcW w:type="dxa" w:w="1701"/>
            <w:shd w:val="clear" w:color="auto" w:fill="FFFFFF"/>
          </w:tcPr>
          <w:p>
            <w:pPr>
              <w:jc w:val="center"/>
            </w:pPr>
            <w:r>
              <w:rPr>
                <w:sz w:val="20"/>
              </w:rPr>
              <w:t>Unemployment</w:t>
            </w:r>
          </w:p>
        </w:tc>
        <w:tc>
          <w:tcPr>
            <w:tcW w:type="dxa" w:w="1984"/>
            <w:shd w:val="clear" w:color="auto" w:fill="FFFFFF"/>
          </w:tcPr>
          <w:p>
            <w:pPr>
              <w:jc w:val="center"/>
            </w:pPr>
            <w:r>
              <w:rPr>
                <w:sz w:val="20"/>
              </w:rPr>
              <w:t>Continuous</w:t>
            </w:r>
          </w:p>
        </w:tc>
        <w:tc>
          <w:tcPr>
            <w:tcW w:type="dxa" w:w="3118"/>
            <w:shd w:val="clear" w:color="auto" w:fill="FFFFFF"/>
          </w:tcPr>
          <w:p>
            <w:pPr>
              <w:jc w:val="center"/>
            </w:pPr>
            <w:r>
              <w:rPr>
                <w:sz w:val="20"/>
              </w:rPr>
              <w:t>Regional unemployment rate (%)</w:t>
            </w:r>
          </w:p>
        </w:tc>
        <w:tc>
          <w:tcPr>
            <w:tcW w:type="dxa" w:w="2551"/>
            <w:shd w:val="clear" w:color="auto" w:fill="FFFFFF"/>
          </w:tcPr>
          <w:p>
            <w:pPr>
              <w:jc w:val="center"/>
            </w:pPr>
            <w:r>
              <w:rPr>
                <w:sz w:val="20"/>
              </w:rPr>
              <w:t>6.95% – 8.62%</w:t>
            </w:r>
          </w:p>
        </w:tc>
      </w:tr>
    </w:tbl>
    <w:p/>
    <w:p>
      <w:pPr>
        <w:pStyle w:val="Heading2"/>
        <w:spacing w:before="200" w:after="80"/>
      </w:pPr>
      <w:r>
        <w:rPr>
          <w:b/>
          <w:color w:val="265E8E"/>
          <w:sz w:val="26"/>
        </w:rPr>
        <w:t>6.2.  Data Collection and Preprocessing</w:t>
      </w:r>
    </w:p>
    <w:p>
      <w:pPr>
        <w:spacing w:after="160"/>
      </w:pPr>
      <w:r>
        <w:rPr>
          <w:rFonts w:ascii="Calibri" w:hAnsi="Calibri"/>
          <w:sz w:val="22"/>
        </w:rPr>
        <w:t>Data are loaded from a CSV file via pandas.read_csv() with the Date column parsed to datetime objects (format: "%d-%m-%Y"). Records are sorted ascending by date. Aggregation is performed via groupby("Date"), applying sum to Weekly_Sales, max to Holiday_Flag, and mean to all continuous covariates. A data quality audit confirmed zero missing values, zero duplicate dates post-aggregation, and no null records in any column.</w:t>
      </w:r>
    </w:p>
    <w:p>
      <w:pPr>
        <w:spacing w:after="160"/>
      </w:pPr>
      <w:r>
        <w:rPr>
          <w:rFonts w:ascii="Calibri" w:hAnsi="Calibri"/>
          <w:sz w:val="22"/>
        </w:rPr>
        <w:t>Continuous covariates (Temperature, Fuel_Price, CPI, Unemployment) are normalised using sklearn's StandardScaler (zero mean, unit variance) prior to model fitting. This is required for the linear regression model to ensure coefficients are comparable, and by Prophet's internal regressor handling.</w:t>
      </w:r>
    </w:p>
    <w:p>
      <w:pPr>
        <w:pStyle w:val="Heading2"/>
        <w:spacing w:before="200" w:after="80"/>
      </w:pPr>
      <w:r>
        <w:rPr>
          <w:b/>
          <w:color w:val="265E8E"/>
          <w:sz w:val="26"/>
        </w:rPr>
        <w:t>6.3.  Exploratory Data Analysis (EDA)</w:t>
      </w:r>
    </w:p>
    <w:p>
      <w:pPr>
        <w:spacing w:after="160"/>
      </w:pPr>
      <w:r>
        <w:rPr>
          <w:rFonts w:ascii="Calibri" w:hAnsi="Calibri"/>
          <w:sz w:val="22"/>
        </w:rPr>
        <w:t>EDA encompasses the following analyses, all performed on the 143-week aggregated series:</w:t>
      </w:r>
    </w:p>
    <w:p>
      <w:pPr>
        <w:pStyle w:val="ListBullet"/>
        <w:spacing w:after="60"/>
      </w:pPr>
      <w:r>
        <w:rPr>
          <w:rFonts w:ascii="Calibri" w:hAnsi="Calibri"/>
          <w:sz w:val="22"/>
        </w:rPr>
        <w:t>Descriptive statistics: mean, standard deviation, quartiles for all variables (Table 6.1).</w:t>
      </w:r>
    </w:p>
    <w:p>
      <w:pPr>
        <w:pStyle w:val="ListBullet"/>
        <w:spacing w:after="60"/>
      </w:pPr>
      <w:r>
        <w:rPr>
          <w:rFonts w:ascii="Calibri" w:hAnsi="Calibri"/>
          <w:sz w:val="22"/>
        </w:rPr>
        <w:t>Time series plot of weekly sales to identify trend and seasonality.</w:t>
      </w:r>
    </w:p>
    <w:p>
      <w:pPr>
        <w:pStyle w:val="ListBullet"/>
        <w:spacing w:after="60"/>
      </w:pPr>
      <w:r>
        <w:rPr>
          <w:rFonts w:ascii="Calibri" w:hAnsi="Calibri"/>
          <w:sz w:val="22"/>
        </w:rPr>
        <w:t>Distribution histograms and KDE plots for all variables.</w:t>
      </w:r>
    </w:p>
    <w:p>
      <w:pPr>
        <w:pStyle w:val="ListBullet"/>
        <w:spacing w:after="60"/>
      </w:pPr>
      <w:r>
        <w:rPr>
          <w:rFonts w:ascii="Calibri" w:hAnsi="Calibri"/>
          <w:sz w:val="22"/>
        </w:rPr>
        <w:t>Boxplots for outlier detection (IQR method).</w:t>
      </w:r>
    </w:p>
    <w:p>
      <w:pPr>
        <w:pStyle w:val="ListBullet"/>
        <w:spacing w:after="60"/>
      </w:pPr>
      <w:r>
        <w:rPr>
          <w:rFonts w:ascii="Calibri" w:hAnsi="Calibri"/>
          <w:sz w:val="22"/>
        </w:rPr>
        <w:t>Pearson correlation heatmap and pairplot to characterise inter-variable relationships.</w:t>
      </w:r>
    </w:p>
    <w:p>
      <w:pPr>
        <w:pStyle w:val="ListBullet"/>
        <w:spacing w:after="60"/>
      </w:pPr>
      <w:r>
        <w:rPr>
          <w:rFonts w:ascii="Calibri" w:hAnsi="Calibri"/>
          <w:sz w:val="22"/>
        </w:rPr>
        <w:t>Scatter plots of Weekly_Sales against each covariate.</w:t>
      </w:r>
    </w:p>
    <w:p>
      <w:pPr>
        <w:pStyle w:val="ListBullet"/>
        <w:spacing w:after="60"/>
      </w:pPr>
      <w:r>
        <w:rPr>
          <w:rFonts w:ascii="Calibri" w:hAnsi="Calibri"/>
          <w:sz w:val="22"/>
        </w:rPr>
        <w:t>Boxplot comparison of holiday vs non-holiday sales.</w:t>
      </w:r>
    </w:p>
    <w:p>
      <w:pPr>
        <w:pStyle w:val="ListBullet"/>
        <w:spacing w:after="60"/>
      </w:pPr>
      <w:r>
        <w:rPr>
          <w:rFonts w:ascii="Calibri" w:hAnsi="Calibri"/>
          <w:sz w:val="22"/>
        </w:rPr>
        <w:t>Yearly and monthly average sales bar/line charts to quantify seasonal patterns.</w:t>
      </w:r>
    </w:p>
    <w:p>
      <w:pPr>
        <w:pStyle w:val="Heading2"/>
        <w:spacing w:before="200" w:after="80"/>
      </w:pPr>
      <w:r>
        <w:rPr>
          <w:b/>
          <w:color w:val="265E8E"/>
          <w:sz w:val="26"/>
        </w:rPr>
        <w:t>6.4.  Modelling Approach</w:t>
      </w:r>
    </w:p>
    <w:p>
      <w:pPr>
        <w:pStyle w:val="Heading3"/>
        <w:spacing w:before="160"/>
      </w:pPr>
      <w:r>
        <w:rPr>
          <w:b/>
          <w:color w:val="265E8E"/>
          <w:sz w:val="22"/>
        </w:rPr>
        <w:t>6.4.1  Multiple Linear Regression (MLR)</w:t>
      </w:r>
    </w:p>
    <w:p>
      <w:pPr>
        <w:spacing w:after="160"/>
      </w:pPr>
      <w:r>
        <w:rPr>
          <w:rFonts w:ascii="Calibri" w:hAnsi="Calibri"/>
          <w:sz w:val="22"/>
        </w:rPr>
        <w:t>Sklearn's LinearRegression is fitted on features [Holiday_Flag, Temperature, Fuel_Price, CPI, Unemployment] with a random 80/20 train-test split (random_state=42). The model assumes a linear additive relationship: Weekly_Sales = β₀ + β₁·Holiday_Flag + β₂·Temperature + β₃·Fuel_Price + β₄·CPI + β₅·Unemployment + ε.</w:t>
      </w:r>
    </w:p>
    <w:p>
      <w:pPr>
        <w:pStyle w:val="Heading3"/>
        <w:spacing w:before="160"/>
      </w:pPr>
      <w:r>
        <w:rPr>
          <w:b/>
          <w:color w:val="265E8E"/>
          <w:sz w:val="22"/>
        </w:rPr>
        <w:t>6.4.2  Prophet Additive Model</w:t>
      </w:r>
    </w:p>
    <w:p>
      <w:pPr>
        <w:spacing w:after="160"/>
      </w:pPr>
      <w:r>
        <w:rPr>
          <w:rFonts w:ascii="Calibri" w:hAnsi="Calibri"/>
          <w:sz w:val="22"/>
        </w:rPr>
        <w:t>Meta Prophet is configured with weekly_seasonality=True and yearly_seasonality=True. All five covariates are added as exogenous regressors via model.add_regressor(). The model is fitted on the full 143-week training series and used to generate: (a) in-sample fitted values for evaluation against actuals, and (b) a 52-week out-of-sample forecast from January to October 2013. Future regressor values for the out-of-sample period are set to the last known observation, representing a persistence (no-change) assumption for macroeconomic inputs.</w:t>
      </w:r>
    </w:p>
    <w:p>
      <w:pPr>
        <w:pStyle w:val="Heading2"/>
        <w:spacing w:before="200" w:after="80"/>
      </w:pPr>
      <w:r>
        <w:rPr>
          <w:b/>
          <w:color w:val="265E8E"/>
          <w:sz w:val="26"/>
        </w:rPr>
        <w:t>6.5.  Evaluation Metrics</w:t>
      </w:r>
    </w:p>
    <w:p>
      <w:pPr>
        <w:spacing w:after="160"/>
      </w:pPr>
      <w:r>
        <w:rPr>
          <w:rFonts w:ascii="Calibri" w:hAnsi="Calibri"/>
          <w:sz w:val="22"/>
        </w:rPr>
        <w:t>All models are evaluated using the following metrics, ensuring comparability across model families:</w:t>
      </w:r>
    </w:p>
    <w:tbl>
      <w:tblPr>
        <w:tblStyle w:val="TableGrid"/>
        <w:tblW w:type="auto" w:w="0"/>
        <w:jc w:val="center"/>
        <w:tblLook w:firstColumn="1" w:firstRow="1" w:lastColumn="0" w:lastRow="0" w:noHBand="0" w:noVBand="1" w:val="04A0"/>
      </w:tblPr>
      <w:tblGrid>
        <w:gridCol w:w="2999"/>
        <w:gridCol w:w="2999"/>
        <w:gridCol w:w="2999"/>
      </w:tblGrid>
      <w:tr>
        <w:tc>
          <w:tcPr>
            <w:tcW w:type="dxa" w:w="1701"/>
            <w:shd w:val="clear" w:color="auto" w:fill="1F497D"/>
          </w:tcPr>
          <w:p>
            <w:pPr>
              <w:jc w:val="center"/>
            </w:pPr>
            <w:r>
              <w:rPr>
                <w:b/>
                <w:color w:val="FFFFFF"/>
                <w:sz w:val="20"/>
              </w:rPr>
              <w:t>Metric</w:t>
            </w:r>
          </w:p>
        </w:tc>
        <w:tc>
          <w:tcPr>
            <w:tcW w:type="dxa" w:w="2835"/>
            <w:shd w:val="clear" w:color="auto" w:fill="1F497D"/>
          </w:tcPr>
          <w:p>
            <w:pPr>
              <w:jc w:val="center"/>
            </w:pPr>
            <w:r>
              <w:rPr>
                <w:b/>
                <w:color w:val="FFFFFF"/>
                <w:sz w:val="20"/>
              </w:rPr>
              <w:t>Formula</w:t>
            </w:r>
          </w:p>
        </w:tc>
        <w:tc>
          <w:tcPr>
            <w:tcW w:type="dxa" w:w="4819"/>
            <w:shd w:val="clear" w:color="auto" w:fill="1F497D"/>
          </w:tcPr>
          <w:p>
            <w:pPr>
              <w:jc w:val="center"/>
            </w:pPr>
            <w:r>
              <w:rPr>
                <w:b/>
                <w:color w:val="FFFFFF"/>
                <w:sz w:val="20"/>
              </w:rPr>
              <w:t>Interpretation</w:t>
            </w:r>
          </w:p>
        </w:tc>
      </w:tr>
      <w:tr>
        <w:tc>
          <w:tcPr>
            <w:tcW w:type="dxa" w:w="1701"/>
            <w:shd w:val="clear" w:color="auto" w:fill="FFFFFF"/>
          </w:tcPr>
          <w:p>
            <w:pPr>
              <w:jc w:val="center"/>
            </w:pPr>
            <w:r>
              <w:rPr>
                <w:sz w:val="20"/>
              </w:rPr>
              <w:t>MAE</w:t>
            </w:r>
          </w:p>
        </w:tc>
        <w:tc>
          <w:tcPr>
            <w:tcW w:type="dxa" w:w="2835"/>
            <w:shd w:val="clear" w:color="auto" w:fill="FFFFFF"/>
          </w:tcPr>
          <w:p>
            <w:pPr>
              <w:jc w:val="center"/>
            </w:pPr>
            <w:r>
              <w:rPr>
                <w:sz w:val="20"/>
              </w:rPr>
              <w:t>mean(|y - ŷ|)</w:t>
            </w:r>
          </w:p>
        </w:tc>
        <w:tc>
          <w:tcPr>
            <w:tcW w:type="dxa" w:w="4819"/>
            <w:shd w:val="clear" w:color="auto" w:fill="FFFFFF"/>
          </w:tcPr>
          <w:p>
            <w:pPr>
              <w:jc w:val="center"/>
            </w:pPr>
            <w:r>
              <w:rPr>
                <w:sz w:val="20"/>
              </w:rPr>
              <w:t>Average absolute error in USD; scale-dependent</w:t>
            </w:r>
          </w:p>
        </w:tc>
      </w:tr>
      <w:tr>
        <w:tc>
          <w:tcPr>
            <w:tcW w:type="dxa" w:w="1701"/>
            <w:shd w:val="clear" w:color="auto" w:fill="EBF3FA"/>
          </w:tcPr>
          <w:p>
            <w:pPr>
              <w:jc w:val="center"/>
            </w:pPr>
            <w:r>
              <w:rPr>
                <w:sz w:val="20"/>
              </w:rPr>
              <w:t>RMSE</w:t>
            </w:r>
          </w:p>
        </w:tc>
        <w:tc>
          <w:tcPr>
            <w:tcW w:type="dxa" w:w="2835"/>
            <w:shd w:val="clear" w:color="auto" w:fill="EBF3FA"/>
          </w:tcPr>
          <w:p>
            <w:pPr>
              <w:jc w:val="center"/>
            </w:pPr>
            <w:r>
              <w:rPr>
                <w:sz w:val="20"/>
              </w:rPr>
              <w:t>√mean((y-ŷ)²)</w:t>
            </w:r>
          </w:p>
        </w:tc>
        <w:tc>
          <w:tcPr>
            <w:tcW w:type="dxa" w:w="4819"/>
            <w:shd w:val="clear" w:color="auto" w:fill="EBF3FA"/>
          </w:tcPr>
          <w:p>
            <w:pPr>
              <w:jc w:val="center"/>
            </w:pPr>
            <w:r>
              <w:rPr>
                <w:sz w:val="20"/>
              </w:rPr>
              <w:t>Penalises large errors more than MAE; scale-dependent</w:t>
            </w:r>
          </w:p>
        </w:tc>
      </w:tr>
      <w:tr>
        <w:tc>
          <w:tcPr>
            <w:tcW w:type="dxa" w:w="1701"/>
            <w:shd w:val="clear" w:color="auto" w:fill="FFFFFF"/>
          </w:tcPr>
          <w:p>
            <w:pPr>
              <w:jc w:val="center"/>
            </w:pPr>
            <w:r>
              <w:rPr>
                <w:sz w:val="20"/>
              </w:rPr>
              <w:t>MAPE</w:t>
            </w:r>
          </w:p>
        </w:tc>
        <w:tc>
          <w:tcPr>
            <w:tcW w:type="dxa" w:w="2835"/>
            <w:shd w:val="clear" w:color="auto" w:fill="FFFFFF"/>
          </w:tcPr>
          <w:p>
            <w:pPr>
              <w:jc w:val="center"/>
            </w:pPr>
            <w:r>
              <w:rPr>
                <w:sz w:val="20"/>
              </w:rPr>
              <w:t>mean(|y-ŷ|/y)×100</w:t>
            </w:r>
          </w:p>
        </w:tc>
        <w:tc>
          <w:tcPr>
            <w:tcW w:type="dxa" w:w="4819"/>
            <w:shd w:val="clear" w:color="auto" w:fill="FFFFFF"/>
          </w:tcPr>
          <w:p>
            <w:pPr>
              <w:jc w:val="center"/>
            </w:pPr>
            <w:r>
              <w:rPr>
                <w:sz w:val="20"/>
              </w:rPr>
              <w:t>Scale-free percentage error; primary ranking metric</w:t>
            </w:r>
          </w:p>
        </w:tc>
      </w:tr>
      <w:tr>
        <w:tc>
          <w:tcPr>
            <w:tcW w:type="dxa" w:w="1701"/>
            <w:shd w:val="clear" w:color="auto" w:fill="EBF3FA"/>
          </w:tcPr>
          <w:p>
            <w:pPr>
              <w:jc w:val="center"/>
            </w:pPr>
            <w:r>
              <w:rPr>
                <w:sz w:val="20"/>
              </w:rPr>
              <w:t>R²</w:t>
            </w:r>
          </w:p>
        </w:tc>
        <w:tc>
          <w:tcPr>
            <w:tcW w:type="dxa" w:w="2835"/>
            <w:shd w:val="clear" w:color="auto" w:fill="EBF3FA"/>
          </w:tcPr>
          <w:p>
            <w:pPr>
              <w:jc w:val="center"/>
            </w:pPr>
            <w:r>
              <w:rPr>
                <w:sz w:val="20"/>
              </w:rPr>
              <w:t>1 – SS_res/SS_tot</w:t>
            </w:r>
          </w:p>
        </w:tc>
        <w:tc>
          <w:tcPr>
            <w:tcW w:type="dxa" w:w="4819"/>
            <w:shd w:val="clear" w:color="auto" w:fill="EBF3FA"/>
          </w:tcPr>
          <w:p>
            <w:pPr>
              <w:jc w:val="center"/>
            </w:pPr>
            <w:r>
              <w:rPr>
                <w:sz w:val="20"/>
              </w:rPr>
              <w:t>Proportion of variance explained; 1.0 = perfect fit</w:t>
            </w:r>
          </w:p>
        </w:tc>
      </w:tr>
    </w:tbl>
    <w:p/>
    <w:p>
      <w:r>
        <w:br w:type="page"/>
      </w:r>
    </w:p>
    <w:p>
      <w:pPr>
        <w:pStyle w:val="Heading1"/>
        <w:spacing w:before="320" w:after="120"/>
      </w:pPr>
      <w:r>
        <w:rPr>
          <w:b/>
          <w:color w:val="1F497D"/>
          <w:sz w:val="32"/>
        </w:rPr>
        <w:t>7.  Results and Discussion</w:t>
      </w:r>
    </w:p>
    <w:p>
      <w:pPr>
        <w:pStyle w:val="Heading2"/>
        <w:spacing w:before="200" w:after="80"/>
      </w:pPr>
      <w:r>
        <w:rPr>
          <w:b/>
          <w:color w:val="265E8E"/>
          <w:sz w:val="26"/>
        </w:rPr>
        <w:t>7.1.  EDA Findings</w:t>
      </w:r>
    </w:p>
    <w:p>
      <w:pPr>
        <w:pStyle w:val="Heading3"/>
        <w:spacing w:before="160"/>
      </w:pPr>
      <w:r>
        <w:rPr>
          <w:b/>
          <w:color w:val="265E8E"/>
          <w:sz w:val="22"/>
        </w:rPr>
        <w:t>7.1.1  Descriptive Statistics (Aggregated Weekly Series, n = 143)</w:t>
      </w:r>
    </w:p>
    <w:tbl>
      <w:tblPr>
        <w:tblStyle w:val="TableGrid"/>
        <w:tblW w:type="auto" w:w="0"/>
        <w:jc w:val="center"/>
        <w:tblLook w:firstColumn="1" w:firstRow="1" w:lastColumn="0" w:lastRow="0" w:noHBand="0" w:noVBand="1" w:val="04A0"/>
      </w:tblPr>
      <w:tblGrid>
        <w:gridCol w:w="1499"/>
        <w:gridCol w:w="1499"/>
        <w:gridCol w:w="1499"/>
        <w:gridCol w:w="1499"/>
        <w:gridCol w:w="1499"/>
        <w:gridCol w:w="1499"/>
      </w:tblGrid>
      <w:tr>
        <w:tc>
          <w:tcPr>
            <w:tcW w:type="dxa" w:w="1417"/>
            <w:shd w:val="clear" w:color="auto" w:fill="1F497D"/>
          </w:tcPr>
          <w:p>
            <w:pPr>
              <w:jc w:val="center"/>
            </w:pPr>
            <w:r>
              <w:rPr>
                <w:b/>
                <w:color w:val="FFFFFF"/>
                <w:sz w:val="20"/>
              </w:rPr>
              <w:t>Statistic</w:t>
            </w:r>
          </w:p>
        </w:tc>
        <w:tc>
          <w:tcPr>
            <w:tcW w:type="dxa" w:w="1984"/>
            <w:shd w:val="clear" w:color="auto" w:fill="1F497D"/>
          </w:tcPr>
          <w:p>
            <w:pPr>
              <w:jc w:val="center"/>
            </w:pPr>
            <w:r>
              <w:rPr>
                <w:b/>
                <w:color w:val="FFFFFF"/>
                <w:sz w:val="20"/>
              </w:rPr>
              <w:t>Weekly Sales ($)</w:t>
            </w:r>
          </w:p>
        </w:tc>
        <w:tc>
          <w:tcPr>
            <w:tcW w:type="dxa" w:w="1701"/>
            <w:shd w:val="clear" w:color="auto" w:fill="1F497D"/>
          </w:tcPr>
          <w:p>
            <w:pPr>
              <w:jc w:val="center"/>
            </w:pPr>
            <w:r>
              <w:rPr>
                <w:b/>
                <w:color w:val="FFFFFF"/>
                <w:sz w:val="20"/>
              </w:rPr>
              <w:t>Temperature (°F)</w:t>
            </w:r>
          </w:p>
        </w:tc>
        <w:tc>
          <w:tcPr>
            <w:tcW w:type="dxa" w:w="1701"/>
            <w:shd w:val="clear" w:color="auto" w:fill="1F497D"/>
          </w:tcPr>
          <w:p>
            <w:pPr>
              <w:jc w:val="center"/>
            </w:pPr>
            <w:r>
              <w:rPr>
                <w:b/>
                <w:color w:val="FFFFFF"/>
                <w:sz w:val="20"/>
              </w:rPr>
              <w:t>Fuel Price ($/gal)</w:t>
            </w:r>
          </w:p>
        </w:tc>
        <w:tc>
          <w:tcPr>
            <w:tcW w:type="dxa" w:w="1417"/>
            <w:shd w:val="clear" w:color="auto" w:fill="1F497D"/>
          </w:tcPr>
          <w:p>
            <w:pPr>
              <w:jc w:val="center"/>
            </w:pPr>
            <w:r>
              <w:rPr>
                <w:b/>
                <w:color w:val="FFFFFF"/>
                <w:sz w:val="20"/>
              </w:rPr>
              <w:t>CPI</w:t>
            </w:r>
          </w:p>
        </w:tc>
        <w:tc>
          <w:tcPr>
            <w:tcW w:type="dxa" w:w="1701"/>
            <w:shd w:val="clear" w:color="auto" w:fill="1F497D"/>
          </w:tcPr>
          <w:p>
            <w:pPr>
              <w:jc w:val="center"/>
            </w:pPr>
            <w:r>
              <w:rPr>
                <w:b/>
                <w:color w:val="FFFFFF"/>
                <w:sz w:val="20"/>
              </w:rPr>
              <w:t>Unemployment (%)</w:t>
            </w:r>
          </w:p>
        </w:tc>
      </w:tr>
      <w:tr>
        <w:tc>
          <w:tcPr>
            <w:tcW w:type="dxa" w:w="1417"/>
            <w:shd w:val="clear" w:color="auto" w:fill="FFFFFF"/>
          </w:tcPr>
          <w:p>
            <w:pPr>
              <w:jc w:val="center"/>
            </w:pPr>
            <w:r>
              <w:rPr>
                <w:sz w:val="20"/>
              </w:rPr>
              <w:t>Mean</w:t>
            </w:r>
          </w:p>
        </w:tc>
        <w:tc>
          <w:tcPr>
            <w:tcW w:type="dxa" w:w="1984"/>
            <w:shd w:val="clear" w:color="auto" w:fill="FFFFFF"/>
          </w:tcPr>
          <w:p>
            <w:pPr>
              <w:jc w:val="center"/>
            </w:pPr>
            <w:r>
              <w:rPr>
                <w:sz w:val="20"/>
              </w:rPr>
              <w:t>$47,113,423</w:t>
            </w:r>
          </w:p>
        </w:tc>
        <w:tc>
          <w:tcPr>
            <w:tcW w:type="dxa" w:w="1701"/>
            <w:shd w:val="clear" w:color="auto" w:fill="FFFFFF"/>
          </w:tcPr>
          <w:p>
            <w:pPr>
              <w:jc w:val="center"/>
            </w:pPr>
            <w:r>
              <w:rPr>
                <w:sz w:val="20"/>
              </w:rPr>
              <w:t>60.66</w:t>
            </w:r>
          </w:p>
        </w:tc>
        <w:tc>
          <w:tcPr>
            <w:tcW w:type="dxa" w:w="1701"/>
            <w:shd w:val="clear" w:color="auto" w:fill="FFFFFF"/>
          </w:tcPr>
          <w:p>
            <w:pPr>
              <w:jc w:val="center"/>
            </w:pPr>
            <w:r>
              <w:rPr>
                <w:sz w:val="20"/>
              </w:rPr>
              <w:t>3.36</w:t>
            </w:r>
          </w:p>
        </w:tc>
        <w:tc>
          <w:tcPr>
            <w:tcW w:type="dxa" w:w="1417"/>
            <w:shd w:val="clear" w:color="auto" w:fill="FFFFFF"/>
          </w:tcPr>
          <w:p>
            <w:pPr>
              <w:jc w:val="center"/>
            </w:pPr>
            <w:r>
              <w:rPr>
                <w:sz w:val="20"/>
              </w:rPr>
              <w:t>171.58</w:t>
            </w:r>
          </w:p>
        </w:tc>
        <w:tc>
          <w:tcPr>
            <w:tcW w:type="dxa" w:w="1701"/>
            <w:shd w:val="clear" w:color="auto" w:fill="FFFFFF"/>
          </w:tcPr>
          <w:p>
            <w:pPr>
              <w:jc w:val="center"/>
            </w:pPr>
            <w:r>
              <w:rPr>
                <w:sz w:val="20"/>
              </w:rPr>
              <w:t>8.00</w:t>
            </w:r>
          </w:p>
        </w:tc>
      </w:tr>
      <w:tr>
        <w:tc>
          <w:tcPr>
            <w:tcW w:type="dxa" w:w="1417"/>
            <w:shd w:val="clear" w:color="auto" w:fill="EBF3FA"/>
          </w:tcPr>
          <w:p>
            <w:pPr>
              <w:jc w:val="center"/>
            </w:pPr>
            <w:r>
              <w:rPr>
                <w:sz w:val="20"/>
              </w:rPr>
              <w:t>Std Dev</w:t>
            </w:r>
          </w:p>
        </w:tc>
        <w:tc>
          <w:tcPr>
            <w:tcW w:type="dxa" w:w="1984"/>
            <w:shd w:val="clear" w:color="auto" w:fill="EBF3FA"/>
          </w:tcPr>
          <w:p>
            <w:pPr>
              <w:jc w:val="center"/>
            </w:pPr>
            <w:r>
              <w:rPr>
                <w:sz w:val="20"/>
              </w:rPr>
              <w:t>$5,444,206</w:t>
            </w:r>
          </w:p>
        </w:tc>
        <w:tc>
          <w:tcPr>
            <w:tcW w:type="dxa" w:w="1701"/>
            <w:shd w:val="clear" w:color="auto" w:fill="EBF3FA"/>
          </w:tcPr>
          <w:p>
            <w:pPr>
              <w:jc w:val="center"/>
            </w:pPr>
            <w:r>
              <w:rPr>
                <w:sz w:val="20"/>
              </w:rPr>
              <w:t>15.17</w:t>
            </w:r>
          </w:p>
        </w:tc>
        <w:tc>
          <w:tcPr>
            <w:tcW w:type="dxa" w:w="1701"/>
            <w:shd w:val="clear" w:color="auto" w:fill="EBF3FA"/>
          </w:tcPr>
          <w:p>
            <w:pPr>
              <w:jc w:val="center"/>
            </w:pPr>
            <w:r>
              <w:rPr>
                <w:sz w:val="20"/>
              </w:rPr>
              <w:t>0.43</w:t>
            </w:r>
          </w:p>
        </w:tc>
        <w:tc>
          <w:tcPr>
            <w:tcW w:type="dxa" w:w="1417"/>
            <w:shd w:val="clear" w:color="auto" w:fill="EBF3FA"/>
          </w:tcPr>
          <w:p>
            <w:pPr>
              <w:jc w:val="center"/>
            </w:pPr>
            <w:r>
              <w:rPr>
                <w:sz w:val="20"/>
              </w:rPr>
              <w:t>3.10</w:t>
            </w:r>
          </w:p>
        </w:tc>
        <w:tc>
          <w:tcPr>
            <w:tcW w:type="dxa" w:w="1701"/>
            <w:shd w:val="clear" w:color="auto" w:fill="EBF3FA"/>
          </w:tcPr>
          <w:p>
            <w:pPr>
              <w:jc w:val="center"/>
            </w:pPr>
            <w:r>
              <w:rPr>
                <w:sz w:val="20"/>
              </w:rPr>
              <w:t>0.48</w:t>
            </w:r>
          </w:p>
        </w:tc>
      </w:tr>
      <w:tr>
        <w:tc>
          <w:tcPr>
            <w:tcW w:type="dxa" w:w="1417"/>
            <w:shd w:val="clear" w:color="auto" w:fill="FFFFFF"/>
          </w:tcPr>
          <w:p>
            <w:pPr>
              <w:jc w:val="center"/>
            </w:pPr>
            <w:r>
              <w:rPr>
                <w:sz w:val="20"/>
              </w:rPr>
              <w:t>Min</w:t>
            </w:r>
          </w:p>
        </w:tc>
        <w:tc>
          <w:tcPr>
            <w:tcW w:type="dxa" w:w="1984"/>
            <w:shd w:val="clear" w:color="auto" w:fill="FFFFFF"/>
          </w:tcPr>
          <w:p>
            <w:pPr>
              <w:jc w:val="center"/>
            </w:pPr>
            <w:r>
              <w:rPr>
                <w:sz w:val="20"/>
              </w:rPr>
              <w:t>$39,599,853</w:t>
            </w:r>
          </w:p>
        </w:tc>
        <w:tc>
          <w:tcPr>
            <w:tcW w:type="dxa" w:w="1701"/>
            <w:shd w:val="clear" w:color="auto" w:fill="FFFFFF"/>
          </w:tcPr>
          <w:p>
            <w:pPr>
              <w:jc w:val="center"/>
            </w:pPr>
            <w:r>
              <w:rPr>
                <w:sz w:val="20"/>
              </w:rPr>
              <w:t>30.48</w:t>
            </w:r>
          </w:p>
        </w:tc>
        <w:tc>
          <w:tcPr>
            <w:tcW w:type="dxa" w:w="1701"/>
            <w:shd w:val="clear" w:color="auto" w:fill="FFFFFF"/>
          </w:tcPr>
          <w:p>
            <w:pPr>
              <w:jc w:val="center"/>
            </w:pPr>
            <w:r>
              <w:rPr>
                <w:sz w:val="20"/>
              </w:rPr>
              <w:t>2.67</w:t>
            </w:r>
          </w:p>
        </w:tc>
        <w:tc>
          <w:tcPr>
            <w:tcW w:type="dxa" w:w="1417"/>
            <w:shd w:val="clear" w:color="auto" w:fill="FFFFFF"/>
          </w:tcPr>
          <w:p>
            <w:pPr>
              <w:jc w:val="center"/>
            </w:pPr>
            <w:r>
              <w:rPr>
                <w:sz w:val="20"/>
              </w:rPr>
              <w:t>167.55</w:t>
            </w:r>
          </w:p>
        </w:tc>
        <w:tc>
          <w:tcPr>
            <w:tcW w:type="dxa" w:w="1701"/>
            <w:shd w:val="clear" w:color="auto" w:fill="FFFFFF"/>
          </w:tcPr>
          <w:p>
            <w:pPr>
              <w:jc w:val="center"/>
            </w:pPr>
            <w:r>
              <w:rPr>
                <w:sz w:val="20"/>
              </w:rPr>
              <w:t>6.95</w:t>
            </w:r>
          </w:p>
        </w:tc>
      </w:tr>
      <w:tr>
        <w:tc>
          <w:tcPr>
            <w:tcW w:type="dxa" w:w="1417"/>
            <w:shd w:val="clear" w:color="auto" w:fill="EBF3FA"/>
          </w:tcPr>
          <w:p>
            <w:pPr>
              <w:jc w:val="center"/>
            </w:pPr>
            <w:r>
              <w:rPr>
                <w:sz w:val="20"/>
              </w:rPr>
              <w:t>Q1</w:t>
            </w:r>
          </w:p>
        </w:tc>
        <w:tc>
          <w:tcPr>
            <w:tcW w:type="dxa" w:w="1984"/>
            <w:shd w:val="clear" w:color="auto" w:fill="EBF3FA"/>
          </w:tcPr>
          <w:p>
            <w:pPr>
              <w:jc w:val="center"/>
            </w:pPr>
            <w:r>
              <w:rPr>
                <w:sz w:val="20"/>
              </w:rPr>
              <w:t>$44,880,588</w:t>
            </w:r>
          </w:p>
        </w:tc>
        <w:tc>
          <w:tcPr>
            <w:tcW w:type="dxa" w:w="1701"/>
            <w:shd w:val="clear" w:color="auto" w:fill="EBF3FA"/>
          </w:tcPr>
          <w:p>
            <w:pPr>
              <w:jc w:val="center"/>
            </w:pPr>
            <w:r>
              <w:rPr>
                <w:sz w:val="20"/>
              </w:rPr>
              <w:t>47.72</w:t>
            </w:r>
          </w:p>
        </w:tc>
        <w:tc>
          <w:tcPr>
            <w:tcW w:type="dxa" w:w="1701"/>
            <w:shd w:val="clear" w:color="auto" w:fill="EBF3FA"/>
          </w:tcPr>
          <w:p>
            <w:pPr>
              <w:jc w:val="center"/>
            </w:pPr>
            <w:r>
              <w:rPr>
                <w:sz w:val="20"/>
              </w:rPr>
              <w:t>2.89</w:t>
            </w:r>
          </w:p>
        </w:tc>
        <w:tc>
          <w:tcPr>
            <w:tcW w:type="dxa" w:w="1417"/>
            <w:shd w:val="clear" w:color="auto" w:fill="EBF3FA"/>
          </w:tcPr>
          <w:p>
            <w:pPr>
              <w:jc w:val="center"/>
            </w:pPr>
            <w:r>
              <w:rPr>
                <w:sz w:val="20"/>
              </w:rPr>
              <w:t>168.41</w:t>
            </w:r>
          </w:p>
        </w:tc>
        <w:tc>
          <w:tcPr>
            <w:tcW w:type="dxa" w:w="1701"/>
            <w:shd w:val="clear" w:color="auto" w:fill="EBF3FA"/>
          </w:tcPr>
          <w:p>
            <w:pPr>
              <w:jc w:val="center"/>
            </w:pPr>
            <w:r>
              <w:rPr>
                <w:sz w:val="20"/>
              </w:rPr>
              <w:t>7.51</w:t>
            </w:r>
          </w:p>
        </w:tc>
      </w:tr>
      <w:tr>
        <w:tc>
          <w:tcPr>
            <w:tcW w:type="dxa" w:w="1417"/>
            <w:shd w:val="clear" w:color="auto" w:fill="FFFFFF"/>
          </w:tcPr>
          <w:p>
            <w:pPr>
              <w:jc w:val="center"/>
            </w:pPr>
            <w:r>
              <w:rPr>
                <w:sz w:val="20"/>
              </w:rPr>
              <w:t>Median</w:t>
            </w:r>
          </w:p>
        </w:tc>
        <w:tc>
          <w:tcPr>
            <w:tcW w:type="dxa" w:w="1984"/>
            <w:shd w:val="clear" w:color="auto" w:fill="FFFFFF"/>
          </w:tcPr>
          <w:p>
            <w:pPr>
              <w:jc w:val="center"/>
            </w:pPr>
            <w:r>
              <w:rPr>
                <w:sz w:val="20"/>
              </w:rPr>
              <w:t>$46,243,900</w:t>
            </w:r>
          </w:p>
        </w:tc>
        <w:tc>
          <w:tcPr>
            <w:tcW w:type="dxa" w:w="1701"/>
            <w:shd w:val="clear" w:color="auto" w:fill="FFFFFF"/>
          </w:tcPr>
          <w:p>
            <w:pPr>
              <w:jc w:val="center"/>
            </w:pPr>
            <w:r>
              <w:rPr>
                <w:sz w:val="20"/>
              </w:rPr>
              <w:t>61.05</w:t>
            </w:r>
          </w:p>
        </w:tc>
        <w:tc>
          <w:tcPr>
            <w:tcW w:type="dxa" w:w="1701"/>
            <w:shd w:val="clear" w:color="auto" w:fill="FFFFFF"/>
          </w:tcPr>
          <w:p>
            <w:pPr>
              <w:jc w:val="center"/>
            </w:pPr>
            <w:r>
              <w:rPr>
                <w:sz w:val="20"/>
              </w:rPr>
              <w:t>3.49</w:t>
            </w:r>
          </w:p>
        </w:tc>
        <w:tc>
          <w:tcPr>
            <w:tcW w:type="dxa" w:w="1417"/>
            <w:shd w:val="clear" w:color="auto" w:fill="FFFFFF"/>
          </w:tcPr>
          <w:p>
            <w:pPr>
              <w:jc w:val="center"/>
            </w:pPr>
            <w:r>
              <w:rPr>
                <w:sz w:val="20"/>
              </w:rPr>
              <w:t>171.39</w:t>
            </w:r>
          </w:p>
        </w:tc>
        <w:tc>
          <w:tcPr>
            <w:tcW w:type="dxa" w:w="1701"/>
            <w:shd w:val="clear" w:color="auto" w:fill="FFFFFF"/>
          </w:tcPr>
          <w:p>
            <w:pPr>
              <w:jc w:val="center"/>
            </w:pPr>
            <w:r>
              <w:rPr>
                <w:sz w:val="20"/>
              </w:rPr>
              <w:t>8.15</w:t>
            </w:r>
          </w:p>
        </w:tc>
      </w:tr>
      <w:tr>
        <w:tc>
          <w:tcPr>
            <w:tcW w:type="dxa" w:w="1417"/>
            <w:shd w:val="clear" w:color="auto" w:fill="EBF3FA"/>
          </w:tcPr>
          <w:p>
            <w:pPr>
              <w:jc w:val="center"/>
            </w:pPr>
            <w:r>
              <w:rPr>
                <w:sz w:val="20"/>
              </w:rPr>
              <w:t>Q3</w:t>
            </w:r>
          </w:p>
        </w:tc>
        <w:tc>
          <w:tcPr>
            <w:tcW w:type="dxa" w:w="1984"/>
            <w:shd w:val="clear" w:color="auto" w:fill="EBF3FA"/>
          </w:tcPr>
          <w:p>
            <w:pPr>
              <w:jc w:val="center"/>
            </w:pPr>
            <w:r>
              <w:rPr>
                <w:sz w:val="20"/>
              </w:rPr>
              <w:t>$47,792,025</w:t>
            </w:r>
          </w:p>
        </w:tc>
        <w:tc>
          <w:tcPr>
            <w:tcW w:type="dxa" w:w="1701"/>
            <w:shd w:val="clear" w:color="auto" w:fill="EBF3FA"/>
          </w:tcPr>
          <w:p>
            <w:pPr>
              <w:jc w:val="center"/>
            </w:pPr>
            <w:r>
              <w:rPr>
                <w:sz w:val="20"/>
              </w:rPr>
              <w:t>74.70</w:t>
            </w:r>
          </w:p>
        </w:tc>
        <w:tc>
          <w:tcPr>
            <w:tcW w:type="dxa" w:w="1701"/>
            <w:shd w:val="clear" w:color="auto" w:fill="EBF3FA"/>
          </w:tcPr>
          <w:p>
            <w:pPr>
              <w:jc w:val="center"/>
            </w:pPr>
            <w:r>
              <w:rPr>
                <w:sz w:val="20"/>
              </w:rPr>
              <w:t>3.73</w:t>
            </w:r>
          </w:p>
        </w:tc>
        <w:tc>
          <w:tcPr>
            <w:tcW w:type="dxa" w:w="1417"/>
            <w:shd w:val="clear" w:color="auto" w:fill="EBF3FA"/>
          </w:tcPr>
          <w:p>
            <w:pPr>
              <w:jc w:val="center"/>
            </w:pPr>
            <w:r>
              <w:rPr>
                <w:sz w:val="20"/>
              </w:rPr>
              <w:t>174.72</w:t>
            </w:r>
          </w:p>
        </w:tc>
        <w:tc>
          <w:tcPr>
            <w:tcW w:type="dxa" w:w="1701"/>
            <w:shd w:val="clear" w:color="auto" w:fill="EBF3FA"/>
          </w:tcPr>
          <w:p>
            <w:pPr>
              <w:jc w:val="center"/>
            </w:pPr>
            <w:r>
              <w:rPr>
                <w:sz w:val="20"/>
              </w:rPr>
              <w:t>8.43</w:t>
            </w:r>
          </w:p>
        </w:tc>
      </w:tr>
      <w:tr>
        <w:tc>
          <w:tcPr>
            <w:tcW w:type="dxa" w:w="1417"/>
            <w:shd w:val="clear" w:color="auto" w:fill="FFFFFF"/>
          </w:tcPr>
          <w:p>
            <w:pPr>
              <w:jc w:val="center"/>
            </w:pPr>
            <w:r>
              <w:rPr>
                <w:sz w:val="20"/>
              </w:rPr>
              <w:t>Max</w:t>
            </w:r>
          </w:p>
        </w:tc>
        <w:tc>
          <w:tcPr>
            <w:tcW w:type="dxa" w:w="1984"/>
            <w:shd w:val="clear" w:color="auto" w:fill="FFFFFF"/>
          </w:tcPr>
          <w:p>
            <w:pPr>
              <w:jc w:val="center"/>
            </w:pPr>
            <w:r>
              <w:rPr>
                <w:sz w:val="20"/>
              </w:rPr>
              <w:t>$80,931,416</w:t>
            </w:r>
          </w:p>
        </w:tc>
        <w:tc>
          <w:tcPr>
            <w:tcW w:type="dxa" w:w="1701"/>
            <w:shd w:val="clear" w:color="auto" w:fill="FFFFFF"/>
          </w:tcPr>
          <w:p>
            <w:pPr>
              <w:jc w:val="center"/>
            </w:pPr>
            <w:r>
              <w:rPr>
                <w:sz w:val="20"/>
              </w:rPr>
              <w:t>82.18</w:t>
            </w:r>
          </w:p>
        </w:tc>
        <w:tc>
          <w:tcPr>
            <w:tcW w:type="dxa" w:w="1701"/>
            <w:shd w:val="clear" w:color="auto" w:fill="FFFFFF"/>
          </w:tcPr>
          <w:p>
            <w:pPr>
              <w:jc w:val="center"/>
            </w:pPr>
            <w:r>
              <w:rPr>
                <w:sz w:val="20"/>
              </w:rPr>
              <w:t>4.00</w:t>
            </w:r>
          </w:p>
        </w:tc>
        <w:tc>
          <w:tcPr>
            <w:tcW w:type="dxa" w:w="1417"/>
            <w:shd w:val="clear" w:color="auto" w:fill="FFFFFF"/>
          </w:tcPr>
          <w:p>
            <w:pPr>
              <w:jc w:val="center"/>
            </w:pPr>
            <w:r>
              <w:rPr>
                <w:sz w:val="20"/>
              </w:rPr>
              <w:t>176.65</w:t>
            </w:r>
          </w:p>
        </w:tc>
        <w:tc>
          <w:tcPr>
            <w:tcW w:type="dxa" w:w="1701"/>
            <w:shd w:val="clear" w:color="auto" w:fill="FFFFFF"/>
          </w:tcPr>
          <w:p>
            <w:pPr>
              <w:jc w:val="center"/>
            </w:pPr>
            <w:r>
              <w:rPr>
                <w:sz w:val="20"/>
              </w:rPr>
              <w:t>8.62</w:t>
            </w:r>
          </w:p>
        </w:tc>
      </w:tr>
    </w:tbl>
    <w:p/>
    <w:p>
      <w:pPr>
        <w:pStyle w:val="Heading3"/>
        <w:spacing w:before="160"/>
      </w:pPr>
      <w:r>
        <w:rPr>
          <w:b/>
          <w:color w:val="265E8E"/>
          <w:sz w:val="22"/>
        </w:rPr>
        <w:t>7.1.2  Temporal Trends</w:t>
      </w:r>
    </w:p>
    <w:tbl>
      <w:tblPr>
        <w:tblStyle w:val="TableGrid"/>
        <w:tblW w:type="auto" w:w="0"/>
        <w:jc w:val="center"/>
        <w:tblLook w:firstColumn="1" w:firstRow="1" w:lastColumn="0" w:lastRow="0" w:noHBand="0" w:noVBand="1" w:val="04A0"/>
      </w:tblPr>
      <w:tblGrid>
        <w:gridCol w:w="2999"/>
        <w:gridCol w:w="2999"/>
        <w:gridCol w:w="2999"/>
      </w:tblGrid>
      <w:tr>
        <w:tc>
          <w:tcPr>
            <w:tcW w:type="dxa" w:w="1701"/>
            <w:shd w:val="clear" w:color="auto" w:fill="1F497D"/>
          </w:tcPr>
          <w:p>
            <w:pPr>
              <w:jc w:val="center"/>
            </w:pPr>
            <w:r>
              <w:rPr>
                <w:b/>
                <w:color w:val="FFFFFF"/>
                <w:sz w:val="20"/>
              </w:rPr>
              <w:t>Year</w:t>
            </w:r>
          </w:p>
        </w:tc>
        <w:tc>
          <w:tcPr>
            <w:tcW w:type="dxa" w:w="3118"/>
            <w:shd w:val="clear" w:color="auto" w:fill="1F497D"/>
          </w:tcPr>
          <w:p>
            <w:pPr>
              <w:jc w:val="center"/>
            </w:pPr>
            <w:r>
              <w:rPr>
                <w:b/>
                <w:color w:val="FFFFFF"/>
                <w:sz w:val="20"/>
              </w:rPr>
              <w:t>Mean Weekly Sales</w:t>
            </w:r>
          </w:p>
        </w:tc>
        <w:tc>
          <w:tcPr>
            <w:tcW w:type="dxa" w:w="2835"/>
            <w:shd w:val="clear" w:color="auto" w:fill="1F497D"/>
          </w:tcPr>
          <w:p>
            <w:pPr>
              <w:jc w:val="center"/>
            </w:pPr>
            <w:r>
              <w:rPr>
                <w:b/>
                <w:color w:val="FFFFFF"/>
                <w:sz w:val="20"/>
              </w:rPr>
              <w:t>YoY Change</w:t>
            </w:r>
          </w:p>
        </w:tc>
      </w:tr>
      <w:tr>
        <w:tc>
          <w:tcPr>
            <w:tcW w:type="dxa" w:w="1701"/>
            <w:shd w:val="clear" w:color="auto" w:fill="FFFFFF"/>
          </w:tcPr>
          <w:p>
            <w:pPr>
              <w:jc w:val="center"/>
            </w:pPr>
            <w:r>
              <w:rPr>
                <w:sz w:val="20"/>
              </w:rPr>
              <w:t>2010</w:t>
            </w:r>
          </w:p>
        </w:tc>
        <w:tc>
          <w:tcPr>
            <w:tcW w:type="dxa" w:w="3118"/>
            <w:shd w:val="clear" w:color="auto" w:fill="FFFFFF"/>
          </w:tcPr>
          <w:p>
            <w:pPr>
              <w:jc w:val="center"/>
            </w:pPr>
            <w:r>
              <w:rPr>
                <w:sz w:val="20"/>
              </w:rPr>
              <w:t>$47,685,128</w:t>
            </w:r>
          </w:p>
        </w:tc>
        <w:tc>
          <w:tcPr>
            <w:tcW w:type="dxa" w:w="2835"/>
            <w:shd w:val="clear" w:color="auto" w:fill="FFFFFF"/>
          </w:tcPr>
          <w:p>
            <w:pPr>
              <w:jc w:val="center"/>
            </w:pPr>
            <w:r>
              <w:rPr>
                <w:sz w:val="20"/>
              </w:rPr>
              <w:t>—</w:t>
            </w:r>
          </w:p>
        </w:tc>
      </w:tr>
      <w:tr>
        <w:tc>
          <w:tcPr>
            <w:tcW w:type="dxa" w:w="1701"/>
            <w:shd w:val="clear" w:color="auto" w:fill="EBF3FA"/>
          </w:tcPr>
          <w:p>
            <w:pPr>
              <w:jc w:val="center"/>
            </w:pPr>
            <w:r>
              <w:rPr>
                <w:sz w:val="20"/>
              </w:rPr>
              <w:t>2011</w:t>
            </w:r>
          </w:p>
        </w:tc>
        <w:tc>
          <w:tcPr>
            <w:tcW w:type="dxa" w:w="3118"/>
            <w:shd w:val="clear" w:color="auto" w:fill="EBF3FA"/>
          </w:tcPr>
          <w:p>
            <w:pPr>
              <w:jc w:val="center"/>
            </w:pPr>
            <w:r>
              <w:rPr>
                <w:sz w:val="20"/>
              </w:rPr>
              <w:t>$47,080,769</w:t>
            </w:r>
          </w:p>
        </w:tc>
        <w:tc>
          <w:tcPr>
            <w:tcW w:type="dxa" w:w="2835"/>
            <w:shd w:val="clear" w:color="auto" w:fill="EBF3FA"/>
          </w:tcPr>
          <w:p>
            <w:pPr>
              <w:jc w:val="center"/>
            </w:pPr>
            <w:r>
              <w:rPr>
                <w:sz w:val="20"/>
              </w:rPr>
              <w:t>−1.27%</w:t>
            </w:r>
          </w:p>
        </w:tc>
      </w:tr>
      <w:tr>
        <w:tc>
          <w:tcPr>
            <w:tcW w:type="dxa" w:w="1701"/>
            <w:shd w:val="clear" w:color="auto" w:fill="FFFFFF"/>
          </w:tcPr>
          <w:p>
            <w:pPr>
              <w:jc w:val="center"/>
            </w:pPr>
            <w:r>
              <w:rPr>
                <w:sz w:val="20"/>
              </w:rPr>
              <w:t>2012</w:t>
            </w:r>
          </w:p>
        </w:tc>
        <w:tc>
          <w:tcPr>
            <w:tcW w:type="dxa" w:w="3118"/>
            <w:shd w:val="clear" w:color="auto" w:fill="FFFFFF"/>
          </w:tcPr>
          <w:p>
            <w:pPr>
              <w:jc w:val="center"/>
            </w:pPr>
            <w:r>
              <w:rPr>
                <w:sz w:val="20"/>
              </w:rPr>
              <w:t>$46,514,718</w:t>
            </w:r>
          </w:p>
        </w:tc>
        <w:tc>
          <w:tcPr>
            <w:tcW w:type="dxa" w:w="2835"/>
            <w:shd w:val="clear" w:color="auto" w:fill="FFFFFF"/>
          </w:tcPr>
          <w:p>
            <w:pPr>
              <w:jc w:val="center"/>
            </w:pPr>
            <w:r>
              <w:rPr>
                <w:sz w:val="20"/>
              </w:rPr>
              <w:t>−1.20%</w:t>
            </w:r>
          </w:p>
        </w:tc>
      </w:tr>
    </w:tbl>
    <w:p/>
    <w:p>
      <w:pPr>
        <w:spacing w:after="160"/>
      </w:pPr>
      <w:r>
        <w:rPr>
          <w:rFonts w:ascii="Calibri" w:hAnsi="Calibri"/>
          <w:sz w:val="22"/>
        </w:rPr>
        <w:t>Weekly sales show a mild declining trend over the observation period, with a year-over-year decrease of approximately 1.2–1.3%. This downward pressure is consistent with rising unemployment (6.95% → 8.62%) and increasing CPI eroding real consumer purchasing power over the 2010–2012 period.</w:t>
      </w:r>
    </w:p>
    <w:p>
      <w:pPr>
        <w:pStyle w:val="Heading3"/>
        <w:spacing w:before="160"/>
      </w:pPr>
      <w:r>
        <w:rPr>
          <w:b/>
          <w:color w:val="265E8E"/>
          <w:sz w:val="22"/>
        </w:rPr>
        <w:t>7.1.3  Monthly Seasonality</w:t>
      </w:r>
    </w:p>
    <w:tbl>
      <w:tblPr>
        <w:tblStyle w:val="TableGrid"/>
        <w:tblW w:type="auto" w:w="0"/>
        <w:jc w:val="center"/>
        <w:tblLook w:firstColumn="1" w:firstRow="1" w:lastColumn="0" w:lastRow="0" w:noHBand="0" w:noVBand="1" w:val="04A0"/>
      </w:tblPr>
      <w:tblGrid>
        <w:gridCol w:w="2999"/>
        <w:gridCol w:w="2999"/>
        <w:gridCol w:w="2999"/>
      </w:tblGrid>
      <w:tr>
        <w:tc>
          <w:tcPr>
            <w:tcW w:type="dxa" w:w="1984"/>
            <w:shd w:val="clear" w:color="auto" w:fill="1F497D"/>
          </w:tcPr>
          <w:p>
            <w:pPr>
              <w:jc w:val="center"/>
            </w:pPr>
            <w:r>
              <w:rPr>
                <w:b/>
                <w:color w:val="FFFFFF"/>
                <w:sz w:val="20"/>
              </w:rPr>
              <w:t>Month</w:t>
            </w:r>
          </w:p>
        </w:tc>
        <w:tc>
          <w:tcPr>
            <w:tcW w:type="dxa" w:w="2551"/>
            <w:shd w:val="clear" w:color="auto" w:fill="1F497D"/>
          </w:tcPr>
          <w:p>
            <w:pPr>
              <w:jc w:val="center"/>
            </w:pPr>
            <w:r>
              <w:rPr>
                <w:b/>
                <w:color w:val="FFFFFF"/>
                <w:sz w:val="20"/>
              </w:rPr>
              <w:t>Avg Weekly Sales</w:t>
            </w:r>
          </w:p>
        </w:tc>
        <w:tc>
          <w:tcPr>
            <w:tcW w:type="dxa" w:w="2268"/>
            <w:shd w:val="clear" w:color="auto" w:fill="1F497D"/>
          </w:tcPr>
          <w:p>
            <w:pPr>
              <w:jc w:val="center"/>
            </w:pPr>
            <w:r>
              <w:rPr>
                <w:b/>
                <w:color w:val="FFFFFF"/>
                <w:sz w:val="20"/>
              </w:rPr>
              <w:t>Index vs Annual Mean</w:t>
            </w:r>
          </w:p>
        </w:tc>
      </w:tr>
      <w:tr>
        <w:tc>
          <w:tcPr>
            <w:tcW w:type="dxa" w:w="1984"/>
            <w:shd w:val="clear" w:color="auto" w:fill="FFFFFF"/>
          </w:tcPr>
          <w:p>
            <w:pPr>
              <w:jc w:val="center"/>
            </w:pPr>
            <w:r>
              <w:rPr>
                <w:sz w:val="20"/>
              </w:rPr>
              <w:t>January</w:t>
            </w:r>
          </w:p>
        </w:tc>
        <w:tc>
          <w:tcPr>
            <w:tcW w:type="dxa" w:w="2551"/>
            <w:shd w:val="clear" w:color="auto" w:fill="FFFFFF"/>
          </w:tcPr>
          <w:p>
            <w:pPr>
              <w:jc w:val="center"/>
            </w:pPr>
            <w:r>
              <w:rPr>
                <w:sz w:val="20"/>
              </w:rPr>
              <w:t>$41,574,805</w:t>
            </w:r>
          </w:p>
        </w:tc>
        <w:tc>
          <w:tcPr>
            <w:tcW w:type="dxa" w:w="2268"/>
            <w:shd w:val="clear" w:color="auto" w:fill="FFFFFF"/>
          </w:tcPr>
          <w:p>
            <w:pPr>
              <w:jc w:val="center"/>
            </w:pPr>
            <w:r>
              <w:rPr>
                <w:sz w:val="20"/>
              </w:rPr>
              <w:t>88.2%</w:t>
            </w:r>
          </w:p>
        </w:tc>
      </w:tr>
      <w:tr>
        <w:tc>
          <w:tcPr>
            <w:tcW w:type="dxa" w:w="1984"/>
            <w:shd w:val="clear" w:color="auto" w:fill="EBF3FA"/>
          </w:tcPr>
          <w:p>
            <w:pPr>
              <w:jc w:val="center"/>
            </w:pPr>
            <w:r>
              <w:rPr>
                <w:sz w:val="20"/>
              </w:rPr>
              <w:t>February</w:t>
            </w:r>
          </w:p>
        </w:tc>
        <w:tc>
          <w:tcPr>
            <w:tcW w:type="dxa" w:w="2551"/>
            <w:shd w:val="clear" w:color="auto" w:fill="EBF3FA"/>
          </w:tcPr>
          <w:p>
            <w:pPr>
              <w:jc w:val="center"/>
            </w:pPr>
            <w:r>
              <w:rPr>
                <w:sz w:val="20"/>
              </w:rPr>
              <w:t>$47,393,991</w:t>
            </w:r>
          </w:p>
        </w:tc>
        <w:tc>
          <w:tcPr>
            <w:tcW w:type="dxa" w:w="2268"/>
            <w:shd w:val="clear" w:color="auto" w:fill="EBF3FA"/>
          </w:tcPr>
          <w:p>
            <w:pPr>
              <w:jc w:val="center"/>
            </w:pPr>
            <w:r>
              <w:rPr>
                <w:sz w:val="20"/>
              </w:rPr>
              <w:t>100.6%</w:t>
            </w:r>
          </w:p>
        </w:tc>
      </w:tr>
      <w:tr>
        <w:tc>
          <w:tcPr>
            <w:tcW w:type="dxa" w:w="1984"/>
            <w:shd w:val="clear" w:color="auto" w:fill="FFFFFF"/>
          </w:tcPr>
          <w:p>
            <w:pPr>
              <w:jc w:val="center"/>
            </w:pPr>
            <w:r>
              <w:rPr>
                <w:sz w:val="20"/>
              </w:rPr>
              <w:t>March</w:t>
            </w:r>
          </w:p>
        </w:tc>
        <w:tc>
          <w:tcPr>
            <w:tcW w:type="dxa" w:w="2551"/>
            <w:shd w:val="clear" w:color="auto" w:fill="FFFFFF"/>
          </w:tcPr>
          <w:p>
            <w:pPr>
              <w:jc w:val="center"/>
            </w:pPr>
            <w:r>
              <w:rPr>
                <w:sz w:val="20"/>
              </w:rPr>
              <w:t>$45,598,915</w:t>
            </w:r>
          </w:p>
        </w:tc>
        <w:tc>
          <w:tcPr>
            <w:tcW w:type="dxa" w:w="2268"/>
            <w:shd w:val="clear" w:color="auto" w:fill="FFFFFF"/>
          </w:tcPr>
          <w:p>
            <w:pPr>
              <w:jc w:val="center"/>
            </w:pPr>
            <w:r>
              <w:rPr>
                <w:sz w:val="20"/>
              </w:rPr>
              <w:t>96.8%</w:t>
            </w:r>
          </w:p>
        </w:tc>
      </w:tr>
      <w:tr>
        <w:tc>
          <w:tcPr>
            <w:tcW w:type="dxa" w:w="1984"/>
            <w:shd w:val="clear" w:color="auto" w:fill="EBF3FA"/>
          </w:tcPr>
          <w:p>
            <w:pPr>
              <w:jc w:val="center"/>
            </w:pPr>
            <w:r>
              <w:rPr>
                <w:sz w:val="20"/>
              </w:rPr>
              <w:t>April</w:t>
            </w:r>
          </w:p>
        </w:tc>
        <w:tc>
          <w:tcPr>
            <w:tcW w:type="dxa" w:w="2551"/>
            <w:shd w:val="clear" w:color="auto" w:fill="EBF3FA"/>
          </w:tcPr>
          <w:p>
            <w:pPr>
              <w:jc w:val="center"/>
            </w:pPr>
            <w:r>
              <w:rPr>
                <w:sz w:val="20"/>
              </w:rPr>
              <w:t>$46,204,270</w:t>
            </w:r>
          </w:p>
        </w:tc>
        <w:tc>
          <w:tcPr>
            <w:tcW w:type="dxa" w:w="2268"/>
            <w:shd w:val="clear" w:color="auto" w:fill="EBF3FA"/>
          </w:tcPr>
          <w:p>
            <w:pPr>
              <w:jc w:val="center"/>
            </w:pPr>
            <w:r>
              <w:rPr>
                <w:sz w:val="20"/>
              </w:rPr>
              <w:t>98.1%</w:t>
            </w:r>
          </w:p>
        </w:tc>
      </w:tr>
      <w:tr>
        <w:tc>
          <w:tcPr>
            <w:tcW w:type="dxa" w:w="1984"/>
            <w:shd w:val="clear" w:color="auto" w:fill="FFFFFF"/>
          </w:tcPr>
          <w:p>
            <w:pPr>
              <w:jc w:val="center"/>
            </w:pPr>
            <w:r>
              <w:rPr>
                <w:sz w:val="20"/>
              </w:rPr>
              <w:t>May</w:t>
            </w:r>
          </w:p>
        </w:tc>
        <w:tc>
          <w:tcPr>
            <w:tcW w:type="dxa" w:w="2551"/>
            <w:shd w:val="clear" w:color="auto" w:fill="FFFFFF"/>
          </w:tcPr>
          <w:p>
            <w:pPr>
              <w:jc w:val="center"/>
            </w:pPr>
            <w:r>
              <w:rPr>
                <w:sz w:val="20"/>
              </w:rPr>
              <w:t>$46,427,131</w:t>
            </w:r>
          </w:p>
        </w:tc>
        <w:tc>
          <w:tcPr>
            <w:tcW w:type="dxa" w:w="2268"/>
            <w:shd w:val="clear" w:color="auto" w:fill="FFFFFF"/>
          </w:tcPr>
          <w:p>
            <w:pPr>
              <w:jc w:val="center"/>
            </w:pPr>
            <w:r>
              <w:rPr>
                <w:sz w:val="20"/>
              </w:rPr>
              <w:t>98.5%</w:t>
            </w:r>
          </w:p>
        </w:tc>
      </w:tr>
      <w:tr>
        <w:tc>
          <w:tcPr>
            <w:tcW w:type="dxa" w:w="1984"/>
            <w:shd w:val="clear" w:color="auto" w:fill="EBF3FA"/>
          </w:tcPr>
          <w:p>
            <w:pPr>
              <w:jc w:val="center"/>
            </w:pPr>
            <w:r>
              <w:rPr>
                <w:sz w:val="20"/>
              </w:rPr>
              <w:t>June</w:t>
            </w:r>
          </w:p>
        </w:tc>
        <w:tc>
          <w:tcPr>
            <w:tcW w:type="dxa" w:w="2551"/>
            <w:shd w:val="clear" w:color="auto" w:fill="EBF3FA"/>
          </w:tcPr>
          <w:p>
            <w:pPr>
              <w:jc w:val="center"/>
            </w:pPr>
            <w:r>
              <w:rPr>
                <w:sz w:val="20"/>
              </w:rPr>
              <w:t>$47,894,607</w:t>
            </w:r>
          </w:p>
        </w:tc>
        <w:tc>
          <w:tcPr>
            <w:tcW w:type="dxa" w:w="2268"/>
            <w:shd w:val="clear" w:color="auto" w:fill="EBF3FA"/>
          </w:tcPr>
          <w:p>
            <w:pPr>
              <w:jc w:val="center"/>
            </w:pPr>
            <w:r>
              <w:rPr>
                <w:sz w:val="20"/>
              </w:rPr>
              <w:t>101.7%</w:t>
            </w:r>
          </w:p>
        </w:tc>
      </w:tr>
      <w:tr>
        <w:tc>
          <w:tcPr>
            <w:tcW w:type="dxa" w:w="1984"/>
            <w:shd w:val="clear" w:color="auto" w:fill="FFFFFF"/>
          </w:tcPr>
          <w:p>
            <w:pPr>
              <w:jc w:val="center"/>
            </w:pPr>
            <w:r>
              <w:rPr>
                <w:sz w:val="20"/>
              </w:rPr>
              <w:t>July</w:t>
            </w:r>
          </w:p>
        </w:tc>
        <w:tc>
          <w:tcPr>
            <w:tcW w:type="dxa" w:w="2551"/>
            <w:shd w:val="clear" w:color="auto" w:fill="FFFFFF"/>
          </w:tcPr>
          <w:p>
            <w:pPr>
              <w:jc w:val="center"/>
            </w:pPr>
            <w:r>
              <w:rPr>
                <w:sz w:val="20"/>
              </w:rPr>
              <w:t>$46,428,641</w:t>
            </w:r>
          </w:p>
        </w:tc>
        <w:tc>
          <w:tcPr>
            <w:tcW w:type="dxa" w:w="2268"/>
            <w:shd w:val="clear" w:color="auto" w:fill="FFFFFF"/>
          </w:tcPr>
          <w:p>
            <w:pPr>
              <w:jc w:val="center"/>
            </w:pPr>
            <w:r>
              <w:rPr>
                <w:sz w:val="20"/>
              </w:rPr>
              <w:t>98.5%</w:t>
            </w:r>
          </w:p>
        </w:tc>
      </w:tr>
      <w:tr>
        <w:tc>
          <w:tcPr>
            <w:tcW w:type="dxa" w:w="1984"/>
            <w:shd w:val="clear" w:color="auto" w:fill="EBF3FA"/>
          </w:tcPr>
          <w:p>
            <w:pPr>
              <w:jc w:val="center"/>
            </w:pPr>
            <w:r>
              <w:rPr>
                <w:sz w:val="20"/>
              </w:rPr>
              <w:t>August</w:t>
            </w:r>
          </w:p>
        </w:tc>
        <w:tc>
          <w:tcPr>
            <w:tcW w:type="dxa" w:w="2551"/>
            <w:shd w:val="clear" w:color="auto" w:fill="EBF3FA"/>
          </w:tcPr>
          <w:p>
            <w:pPr>
              <w:jc w:val="center"/>
            </w:pPr>
            <w:r>
              <w:rPr>
                <w:sz w:val="20"/>
              </w:rPr>
              <w:t>$47,160,785</w:t>
            </w:r>
          </w:p>
        </w:tc>
        <w:tc>
          <w:tcPr>
            <w:tcW w:type="dxa" w:w="2268"/>
            <w:shd w:val="clear" w:color="auto" w:fill="EBF3FA"/>
          </w:tcPr>
          <w:p>
            <w:pPr>
              <w:jc w:val="center"/>
            </w:pPr>
            <w:r>
              <w:rPr>
                <w:sz w:val="20"/>
              </w:rPr>
              <w:t>100.1%</w:t>
            </w:r>
          </w:p>
        </w:tc>
      </w:tr>
      <w:tr>
        <w:tc>
          <w:tcPr>
            <w:tcW w:type="dxa" w:w="1984"/>
            <w:shd w:val="clear" w:color="auto" w:fill="FFFFFF"/>
          </w:tcPr>
          <w:p>
            <w:pPr>
              <w:jc w:val="center"/>
            </w:pPr>
            <w:r>
              <w:rPr>
                <w:sz w:val="20"/>
              </w:rPr>
              <w:t>September</w:t>
            </w:r>
          </w:p>
        </w:tc>
        <w:tc>
          <w:tcPr>
            <w:tcW w:type="dxa" w:w="2551"/>
            <w:shd w:val="clear" w:color="auto" w:fill="FFFFFF"/>
          </w:tcPr>
          <w:p>
            <w:pPr>
              <w:jc w:val="center"/>
            </w:pPr>
            <w:r>
              <w:rPr>
                <w:sz w:val="20"/>
              </w:rPr>
              <w:t>$44,520,091</w:t>
            </w:r>
          </w:p>
        </w:tc>
        <w:tc>
          <w:tcPr>
            <w:tcW w:type="dxa" w:w="2268"/>
            <w:shd w:val="clear" w:color="auto" w:fill="FFFFFF"/>
          </w:tcPr>
          <w:p>
            <w:pPr>
              <w:jc w:val="center"/>
            </w:pPr>
            <w:r>
              <w:rPr>
                <w:sz w:val="20"/>
              </w:rPr>
              <w:t>94.5%</w:t>
            </w:r>
          </w:p>
        </w:tc>
      </w:tr>
      <w:tr>
        <w:tc>
          <w:tcPr>
            <w:tcW w:type="dxa" w:w="1984"/>
            <w:shd w:val="clear" w:color="auto" w:fill="EBF3FA"/>
          </w:tcPr>
          <w:p>
            <w:pPr>
              <w:jc w:val="center"/>
            </w:pPr>
            <w:r>
              <w:rPr>
                <w:sz w:val="20"/>
              </w:rPr>
              <w:t>October</w:t>
            </w:r>
          </w:p>
        </w:tc>
        <w:tc>
          <w:tcPr>
            <w:tcW w:type="dxa" w:w="2551"/>
            <w:shd w:val="clear" w:color="auto" w:fill="EBF3FA"/>
          </w:tcPr>
          <w:p>
            <w:pPr>
              <w:jc w:val="center"/>
            </w:pPr>
            <w:r>
              <w:rPr>
                <w:sz w:val="20"/>
              </w:rPr>
              <w:t>$44,983,445</w:t>
            </w:r>
          </w:p>
        </w:tc>
        <w:tc>
          <w:tcPr>
            <w:tcW w:type="dxa" w:w="2268"/>
            <w:shd w:val="clear" w:color="auto" w:fill="EBF3FA"/>
          </w:tcPr>
          <w:p>
            <w:pPr>
              <w:jc w:val="center"/>
            </w:pPr>
            <w:r>
              <w:rPr>
                <w:sz w:val="20"/>
              </w:rPr>
              <w:t>95.5%</w:t>
            </w:r>
          </w:p>
        </w:tc>
      </w:tr>
      <w:tr>
        <w:tc>
          <w:tcPr>
            <w:tcW w:type="dxa" w:w="1984"/>
            <w:shd w:val="clear" w:color="auto" w:fill="FFFFFF"/>
          </w:tcPr>
          <w:p>
            <w:pPr>
              <w:jc w:val="center"/>
            </w:pPr>
            <w:r>
              <w:rPr>
                <w:sz w:val="20"/>
              </w:rPr>
              <w:t>November</w:t>
            </w:r>
          </w:p>
        </w:tc>
        <w:tc>
          <w:tcPr>
            <w:tcW w:type="dxa" w:w="2551"/>
            <w:shd w:val="clear" w:color="auto" w:fill="FFFFFF"/>
          </w:tcPr>
          <w:p>
            <w:pPr>
              <w:jc w:val="center"/>
            </w:pPr>
            <w:r>
              <w:rPr>
                <w:sz w:val="20"/>
              </w:rPr>
              <w:t>$51,626,966</w:t>
            </w:r>
          </w:p>
        </w:tc>
        <w:tc>
          <w:tcPr>
            <w:tcW w:type="dxa" w:w="2268"/>
            <w:shd w:val="clear" w:color="auto" w:fill="FFFFFF"/>
          </w:tcPr>
          <w:p>
            <w:pPr>
              <w:jc w:val="center"/>
            </w:pPr>
            <w:r>
              <w:rPr>
                <w:sz w:val="20"/>
              </w:rPr>
              <w:t>109.6%</w:t>
            </w:r>
          </w:p>
        </w:tc>
      </w:tr>
      <w:tr>
        <w:tc>
          <w:tcPr>
            <w:tcW w:type="dxa" w:w="1984"/>
            <w:shd w:val="clear" w:color="auto" w:fill="EBF3FA"/>
          </w:tcPr>
          <w:p>
            <w:pPr>
              <w:jc w:val="center"/>
            </w:pPr>
            <w:r>
              <w:rPr>
                <w:sz w:val="20"/>
              </w:rPr>
              <w:t>December</w:t>
            </w:r>
          </w:p>
        </w:tc>
        <w:tc>
          <w:tcPr>
            <w:tcW w:type="dxa" w:w="2551"/>
            <w:shd w:val="clear" w:color="auto" w:fill="EBF3FA"/>
          </w:tcPr>
          <w:p>
            <w:pPr>
              <w:jc w:val="center"/>
            </w:pPr>
            <w:r>
              <w:rPr>
                <w:sz w:val="20"/>
              </w:rPr>
              <w:t>$57,683,864</w:t>
            </w:r>
          </w:p>
        </w:tc>
        <w:tc>
          <w:tcPr>
            <w:tcW w:type="dxa" w:w="2268"/>
            <w:shd w:val="clear" w:color="auto" w:fill="EBF3FA"/>
          </w:tcPr>
          <w:p>
            <w:pPr>
              <w:jc w:val="center"/>
            </w:pPr>
            <w:r>
              <w:rPr>
                <w:sz w:val="20"/>
              </w:rPr>
              <w:t>122.4%</w:t>
            </w:r>
          </w:p>
        </w:tc>
      </w:tr>
    </w:tbl>
    <w:p/>
    <w:p>
      <w:pPr>
        <w:spacing w:after="160"/>
      </w:pPr>
      <w:r>
        <w:rPr>
          <w:rFonts w:ascii="Calibri" w:hAnsi="Calibri"/>
          <w:sz w:val="22"/>
        </w:rPr>
        <w:t>A strong seasonal pattern is evident: December sales are 38.7% above the annual mean, driven by Christmas shopping; November is 9.6% above average due to Thanksgiving and Black Friday. January is the weakest month (11.8% below mean) following post-holiday demand contraction. This bi-modal seasonality is a critical feature that linear regression fails to capture but Prophet models explicitly.</w:t>
      </w:r>
    </w:p>
    <w:p>
      <w:pPr>
        <w:pStyle w:val="Heading3"/>
        <w:spacing w:before="160"/>
      </w:pPr>
      <w:r>
        <w:rPr>
          <w:b/>
          <w:color w:val="265E8E"/>
          <w:sz w:val="22"/>
        </w:rPr>
        <w:t>7.1.4  Holiday Effect</w:t>
      </w:r>
    </w:p>
    <w:p>
      <w:pPr>
        <w:spacing w:after="160"/>
      </w:pPr>
      <w:r>
        <w:rPr>
          <w:rFonts w:ascii="Calibri" w:hAnsi="Calibri"/>
          <w:sz w:val="22"/>
        </w:rPr>
        <w:t>Holiday weeks (n=10) record a mean weekly sales of $50,529,955, compared to $46,856,537 for non-holiday weeks (n=133), representing a statistically meaningful 7.84% uplift. The Pearson correlation between Holiday_Flag and Weekly_Sales is r = 0.173.</w:t>
      </w:r>
    </w:p>
    <w:p>
      <w:pPr>
        <w:pStyle w:val="Heading3"/>
        <w:spacing w:before="160"/>
      </w:pPr>
      <w:r>
        <w:rPr>
          <w:b/>
          <w:color w:val="265E8E"/>
          <w:sz w:val="22"/>
        </w:rPr>
        <w:t>7.1.5  Outlier Analysis</w:t>
      </w:r>
    </w:p>
    <w:p>
      <w:pPr>
        <w:spacing w:after="160"/>
      </w:pPr>
      <w:r>
        <w:rPr>
          <w:rFonts w:ascii="Calibri" w:hAnsi="Calibri"/>
          <w:sz w:val="22"/>
        </w:rPr>
        <w:t>The IQR method (fence = Q3 + 1.5 × IQR = $52,159,180) identifies 9 outlier weeks, all occurring in November or December of 2010 and 2011, associated with the Thanksgiving and Christmas shopping peaks. These outliers are retained in the analysis as they represent genuine demand spikes, not data errors.</w:t>
      </w:r>
    </w:p>
    <w:p>
      <w:pPr>
        <w:pStyle w:val="Heading3"/>
        <w:spacing w:before="160"/>
      </w:pPr>
      <w:r>
        <w:rPr>
          <w:b/>
          <w:color w:val="265E8E"/>
          <w:sz w:val="22"/>
        </w:rPr>
        <w:t>7.1.6  Correlation Analysis</w:t>
      </w:r>
    </w:p>
    <w:tbl>
      <w:tblPr>
        <w:tblStyle w:val="TableGrid"/>
        <w:tblW w:type="auto" w:w="0"/>
        <w:jc w:val="center"/>
        <w:tblLook w:firstColumn="1" w:firstRow="1" w:lastColumn="0" w:lastRow="0" w:noHBand="0" w:noVBand="1" w:val="04A0"/>
      </w:tblPr>
      <w:tblGrid>
        <w:gridCol w:w="2999"/>
        <w:gridCol w:w="2999"/>
        <w:gridCol w:w="2999"/>
      </w:tblGrid>
      <w:tr>
        <w:tc>
          <w:tcPr>
            <w:tcW w:type="dxa" w:w="1984"/>
            <w:shd w:val="clear" w:color="auto" w:fill="1F497D"/>
          </w:tcPr>
          <w:p>
            <w:pPr>
              <w:jc w:val="center"/>
            </w:pPr>
            <w:r>
              <w:rPr>
                <w:b/>
                <w:color w:val="FFFFFF"/>
                <w:sz w:val="20"/>
              </w:rPr>
              <w:t>Variable</w:t>
            </w:r>
          </w:p>
        </w:tc>
        <w:tc>
          <w:tcPr>
            <w:tcW w:type="dxa" w:w="1984"/>
            <w:shd w:val="clear" w:color="auto" w:fill="1F497D"/>
          </w:tcPr>
          <w:p>
            <w:pPr>
              <w:jc w:val="center"/>
            </w:pPr>
            <w:r>
              <w:rPr>
                <w:b/>
                <w:color w:val="FFFFFF"/>
                <w:sz w:val="20"/>
              </w:rPr>
              <w:t>Pearson r with Weekly_Sales</w:t>
            </w:r>
          </w:p>
        </w:tc>
        <w:tc>
          <w:tcPr>
            <w:tcW w:type="dxa" w:w="5386"/>
            <w:shd w:val="clear" w:color="auto" w:fill="1F497D"/>
          </w:tcPr>
          <w:p>
            <w:pPr>
              <w:jc w:val="center"/>
            </w:pPr>
            <w:r>
              <w:rPr>
                <w:b/>
                <w:color w:val="FFFFFF"/>
                <w:sz w:val="20"/>
              </w:rPr>
              <w:t>Interpretation</w:t>
            </w:r>
          </w:p>
        </w:tc>
      </w:tr>
      <w:tr>
        <w:tc>
          <w:tcPr>
            <w:tcW w:type="dxa" w:w="1984"/>
            <w:shd w:val="clear" w:color="auto" w:fill="FFFFFF"/>
          </w:tcPr>
          <w:p>
            <w:pPr>
              <w:jc w:val="center"/>
            </w:pPr>
            <w:r>
              <w:rPr>
                <w:sz w:val="20"/>
              </w:rPr>
              <w:t>Holiday_Flag</w:t>
            </w:r>
          </w:p>
        </w:tc>
        <w:tc>
          <w:tcPr>
            <w:tcW w:type="dxa" w:w="1984"/>
            <w:shd w:val="clear" w:color="auto" w:fill="FFFFFF"/>
          </w:tcPr>
          <w:p>
            <w:pPr>
              <w:jc w:val="center"/>
            </w:pPr>
            <w:r>
              <w:rPr>
                <w:sz w:val="20"/>
              </w:rPr>
              <w:t>+0.173</w:t>
            </w:r>
          </w:p>
        </w:tc>
        <w:tc>
          <w:tcPr>
            <w:tcW w:type="dxa" w:w="5386"/>
            <w:shd w:val="clear" w:color="auto" w:fill="FFFFFF"/>
          </w:tcPr>
          <w:p>
            <w:pPr>
              <w:jc w:val="center"/>
            </w:pPr>
            <w:r>
              <w:rPr>
                <w:sz w:val="20"/>
              </w:rPr>
              <w:t>Moderate positive – holidays boost sales</w:t>
            </w:r>
          </w:p>
        </w:tc>
      </w:tr>
      <w:tr>
        <w:tc>
          <w:tcPr>
            <w:tcW w:type="dxa" w:w="1984"/>
            <w:shd w:val="clear" w:color="auto" w:fill="EBF3FA"/>
          </w:tcPr>
          <w:p>
            <w:pPr>
              <w:jc w:val="center"/>
            </w:pPr>
            <w:r>
              <w:rPr>
                <w:sz w:val="20"/>
              </w:rPr>
              <w:t>Temperature</w:t>
            </w:r>
          </w:p>
        </w:tc>
        <w:tc>
          <w:tcPr>
            <w:tcW w:type="dxa" w:w="1984"/>
            <w:shd w:val="clear" w:color="auto" w:fill="EBF3FA"/>
          </w:tcPr>
          <w:p>
            <w:pPr>
              <w:jc w:val="center"/>
            </w:pPr>
            <w:r>
              <w:rPr>
                <w:sz w:val="20"/>
              </w:rPr>
              <w:t>−0.159</w:t>
            </w:r>
          </w:p>
        </w:tc>
        <w:tc>
          <w:tcPr>
            <w:tcW w:type="dxa" w:w="5386"/>
            <w:shd w:val="clear" w:color="auto" w:fill="EBF3FA"/>
          </w:tcPr>
          <w:p>
            <w:pPr>
              <w:jc w:val="center"/>
            </w:pPr>
            <w:r>
              <w:rPr>
                <w:sz w:val="20"/>
              </w:rPr>
              <w:t>Moderate negative – cooler weather correlates with higher sales</w:t>
            </w:r>
          </w:p>
        </w:tc>
      </w:tr>
      <w:tr>
        <w:tc>
          <w:tcPr>
            <w:tcW w:type="dxa" w:w="1984"/>
            <w:shd w:val="clear" w:color="auto" w:fill="FFFFFF"/>
          </w:tcPr>
          <w:p>
            <w:pPr>
              <w:jc w:val="center"/>
            </w:pPr>
            <w:r>
              <w:rPr>
                <w:sz w:val="20"/>
              </w:rPr>
              <w:t>Fuel_Price</w:t>
            </w:r>
          </w:p>
        </w:tc>
        <w:tc>
          <w:tcPr>
            <w:tcW w:type="dxa" w:w="1984"/>
            <w:shd w:val="clear" w:color="auto" w:fill="FFFFFF"/>
          </w:tcPr>
          <w:p>
            <w:pPr>
              <w:jc w:val="center"/>
            </w:pPr>
            <w:r>
              <w:rPr>
                <w:sz w:val="20"/>
              </w:rPr>
              <w:t>−0.057</w:t>
            </w:r>
          </w:p>
        </w:tc>
        <w:tc>
          <w:tcPr>
            <w:tcW w:type="dxa" w:w="5386"/>
            <w:shd w:val="clear" w:color="auto" w:fill="FFFFFF"/>
          </w:tcPr>
          <w:p>
            <w:pPr>
              <w:jc w:val="center"/>
            </w:pPr>
            <w:r>
              <w:rPr>
                <w:sz w:val="20"/>
              </w:rPr>
              <w:t>Weak negative – higher fuel prices slightly suppress sales</w:t>
            </w:r>
          </w:p>
        </w:tc>
      </w:tr>
      <w:tr>
        <w:tc>
          <w:tcPr>
            <w:tcW w:type="dxa" w:w="1984"/>
            <w:shd w:val="clear" w:color="auto" w:fill="EBF3FA"/>
          </w:tcPr>
          <w:p>
            <w:pPr>
              <w:jc w:val="center"/>
            </w:pPr>
            <w:r>
              <w:rPr>
                <w:sz w:val="20"/>
              </w:rPr>
              <w:t>CPI</w:t>
            </w:r>
          </w:p>
        </w:tc>
        <w:tc>
          <w:tcPr>
            <w:tcW w:type="dxa" w:w="1984"/>
            <w:shd w:val="clear" w:color="auto" w:fill="EBF3FA"/>
          </w:tcPr>
          <w:p>
            <w:pPr>
              <w:jc w:val="center"/>
            </w:pPr>
            <w:r>
              <w:rPr>
                <w:sz w:val="20"/>
              </w:rPr>
              <w:t>+0.023</w:t>
            </w:r>
          </w:p>
        </w:tc>
        <w:tc>
          <w:tcPr>
            <w:tcW w:type="dxa" w:w="5386"/>
            <w:shd w:val="clear" w:color="auto" w:fill="EBF3FA"/>
          </w:tcPr>
          <w:p>
            <w:pPr>
              <w:jc w:val="center"/>
            </w:pPr>
            <w:r>
              <w:rPr>
                <w:sz w:val="20"/>
              </w:rPr>
              <w:t>Near-zero – limited linear relationship</w:t>
            </w:r>
          </w:p>
        </w:tc>
      </w:tr>
      <w:tr>
        <w:tc>
          <w:tcPr>
            <w:tcW w:type="dxa" w:w="1984"/>
            <w:shd w:val="clear" w:color="auto" w:fill="FFFFFF"/>
          </w:tcPr>
          <w:p>
            <w:pPr>
              <w:jc w:val="center"/>
            </w:pPr>
            <w:r>
              <w:rPr>
                <w:sz w:val="20"/>
              </w:rPr>
              <w:t>Unemployment</w:t>
            </w:r>
          </w:p>
        </w:tc>
        <w:tc>
          <w:tcPr>
            <w:tcW w:type="dxa" w:w="1984"/>
            <w:shd w:val="clear" w:color="auto" w:fill="FFFFFF"/>
          </w:tcPr>
          <w:p>
            <w:pPr>
              <w:jc w:val="center"/>
            </w:pPr>
            <w:r>
              <w:rPr>
                <w:sz w:val="20"/>
              </w:rPr>
              <w:t>+0.004</w:t>
            </w:r>
          </w:p>
        </w:tc>
        <w:tc>
          <w:tcPr>
            <w:tcW w:type="dxa" w:w="5386"/>
            <w:shd w:val="clear" w:color="auto" w:fill="FFFFFF"/>
          </w:tcPr>
          <w:p>
            <w:pPr>
              <w:jc w:val="center"/>
            </w:pPr>
            <w:r>
              <w:rPr>
                <w:sz w:val="20"/>
              </w:rPr>
              <w:t>Near-zero – limited linear relationship at aggregate level</w:t>
            </w:r>
          </w:p>
        </w:tc>
      </w:tr>
    </w:tbl>
    <w:p/>
    <w:p>
      <w:pPr>
        <w:spacing w:after="160"/>
      </w:pPr>
      <w:r>
        <w:rPr>
          <w:rFonts w:ascii="Calibri" w:hAnsi="Calibri"/>
          <w:sz w:val="22"/>
        </w:rPr>
        <w:t>The weak overall correlations reflect the dominance of seasonal structure over individual covariate effects in the aggregated weekly series. The near-zero R² for CPI and unemployment at this aggregation level explains why the Linear Regression model achieves only modest accuracy.</w:t>
      </w:r>
    </w:p>
    <w:p/>
    <w:p>
      <w:pPr>
        <w:pStyle w:val="Heading2"/>
        <w:spacing w:before="200" w:after="80"/>
      </w:pPr>
      <w:r>
        <w:rPr>
          <w:b/>
          <w:color w:val="265E8E"/>
          <w:sz w:val="26"/>
        </w:rPr>
        <w:t>7.2.  Linear Regression Results</w:t>
      </w:r>
    </w:p>
    <w:p>
      <w:pPr>
        <w:spacing w:after="160"/>
      </w:pPr>
      <w:r>
        <w:rPr>
          <w:rFonts w:ascii="Calibri" w:hAnsi="Calibri"/>
          <w:sz w:val="22"/>
        </w:rPr>
        <w:t>Multiple Linear Regression was trained on a random 80/20 split (114 training / 29 test observations, random_state=42).</w:t>
      </w:r>
    </w:p>
    <w:tbl>
      <w:tblPr>
        <w:tblStyle w:val="TableGrid"/>
        <w:tblW w:type="auto" w:w="0"/>
        <w:jc w:val="center"/>
        <w:tblLook w:firstColumn="1" w:firstRow="1" w:lastColumn="0" w:lastRow="0" w:noHBand="0" w:noVBand="1" w:val="04A0"/>
      </w:tblPr>
      <w:tblGrid>
        <w:gridCol w:w="2999"/>
        <w:gridCol w:w="2999"/>
        <w:gridCol w:w="2999"/>
      </w:tblGrid>
      <w:tr>
        <w:tc>
          <w:tcPr>
            <w:tcW w:type="dxa" w:w="1701"/>
            <w:shd w:val="clear" w:color="auto" w:fill="1F497D"/>
          </w:tcPr>
          <w:p>
            <w:pPr>
              <w:jc w:val="center"/>
            </w:pPr>
            <w:r>
              <w:rPr>
                <w:b/>
                <w:color w:val="FFFFFF"/>
                <w:sz w:val="20"/>
              </w:rPr>
              <w:t>Metric</w:t>
            </w:r>
          </w:p>
        </w:tc>
        <w:tc>
          <w:tcPr>
            <w:tcW w:type="dxa" w:w="2268"/>
            <w:shd w:val="clear" w:color="auto" w:fill="1F497D"/>
          </w:tcPr>
          <w:p>
            <w:pPr>
              <w:jc w:val="center"/>
            </w:pPr>
            <w:r>
              <w:rPr>
                <w:b/>
                <w:color w:val="FFFFFF"/>
                <w:sz w:val="20"/>
              </w:rPr>
              <w:t>Value</w:t>
            </w:r>
          </w:p>
        </w:tc>
        <w:tc>
          <w:tcPr>
            <w:tcW w:type="dxa" w:w="5386"/>
            <w:shd w:val="clear" w:color="auto" w:fill="1F497D"/>
          </w:tcPr>
          <w:p>
            <w:pPr>
              <w:jc w:val="center"/>
            </w:pPr>
            <w:r>
              <w:rPr>
                <w:b/>
                <w:color w:val="FFFFFF"/>
                <w:sz w:val="20"/>
              </w:rPr>
              <w:t>Interpretation</w:t>
            </w:r>
          </w:p>
        </w:tc>
      </w:tr>
      <w:tr>
        <w:tc>
          <w:tcPr>
            <w:tcW w:type="dxa" w:w="1701"/>
            <w:shd w:val="clear" w:color="auto" w:fill="FFFFFF"/>
          </w:tcPr>
          <w:p>
            <w:pPr>
              <w:jc w:val="center"/>
            </w:pPr>
            <w:r>
              <w:rPr>
                <w:sz w:val="20"/>
              </w:rPr>
              <w:t>MAE</w:t>
            </w:r>
          </w:p>
        </w:tc>
        <w:tc>
          <w:tcPr>
            <w:tcW w:type="dxa" w:w="2268"/>
            <w:shd w:val="clear" w:color="auto" w:fill="FFFFFF"/>
          </w:tcPr>
          <w:p>
            <w:pPr>
              <w:jc w:val="center"/>
            </w:pPr>
            <w:r>
              <w:rPr>
                <w:sz w:val="20"/>
              </w:rPr>
              <w:t>$3,242,042</w:t>
            </w:r>
          </w:p>
        </w:tc>
        <w:tc>
          <w:tcPr>
            <w:tcW w:type="dxa" w:w="5386"/>
            <w:shd w:val="clear" w:color="auto" w:fill="FFFFFF"/>
          </w:tcPr>
          <w:p>
            <w:pPr>
              <w:jc w:val="center"/>
            </w:pPr>
            <w:r>
              <w:rPr>
                <w:sz w:val="20"/>
              </w:rPr>
              <w:t>Average error of ~$3.2M per week</w:t>
            </w:r>
          </w:p>
        </w:tc>
      </w:tr>
      <w:tr>
        <w:tc>
          <w:tcPr>
            <w:tcW w:type="dxa" w:w="1701"/>
            <w:shd w:val="clear" w:color="auto" w:fill="EBF3FA"/>
          </w:tcPr>
          <w:p>
            <w:pPr>
              <w:jc w:val="center"/>
            </w:pPr>
            <w:r>
              <w:rPr>
                <w:sz w:val="20"/>
              </w:rPr>
              <w:t>RMSE</w:t>
            </w:r>
          </w:p>
        </w:tc>
        <w:tc>
          <w:tcPr>
            <w:tcW w:type="dxa" w:w="2268"/>
            <w:shd w:val="clear" w:color="auto" w:fill="EBF3FA"/>
          </w:tcPr>
          <w:p>
            <w:pPr>
              <w:jc w:val="center"/>
            </w:pPr>
            <w:r>
              <w:rPr>
                <w:sz w:val="20"/>
              </w:rPr>
              <w:t>$5,217,631</w:t>
            </w:r>
          </w:p>
        </w:tc>
        <w:tc>
          <w:tcPr>
            <w:tcW w:type="dxa" w:w="5386"/>
            <w:shd w:val="clear" w:color="auto" w:fill="EBF3FA"/>
          </w:tcPr>
          <w:p>
            <w:pPr>
              <w:jc w:val="center"/>
            </w:pPr>
            <w:r>
              <w:rPr>
                <w:sz w:val="20"/>
              </w:rPr>
              <w:t>Error dominated by high-demand holiday outliers</w:t>
            </w:r>
          </w:p>
        </w:tc>
      </w:tr>
      <w:tr>
        <w:tc>
          <w:tcPr>
            <w:tcW w:type="dxa" w:w="1701"/>
            <w:shd w:val="clear" w:color="auto" w:fill="FFFFFF"/>
          </w:tcPr>
          <w:p>
            <w:pPr>
              <w:jc w:val="center"/>
            </w:pPr>
            <w:r>
              <w:rPr>
                <w:sz w:val="20"/>
              </w:rPr>
              <w:t>MAPE</w:t>
            </w:r>
          </w:p>
        </w:tc>
        <w:tc>
          <w:tcPr>
            <w:tcW w:type="dxa" w:w="2268"/>
            <w:shd w:val="clear" w:color="auto" w:fill="FFFFFF"/>
          </w:tcPr>
          <w:p>
            <w:pPr>
              <w:jc w:val="center"/>
            </w:pPr>
            <w:r>
              <w:rPr>
                <w:sz w:val="20"/>
              </w:rPr>
              <w:t>6.17%</w:t>
            </w:r>
          </w:p>
        </w:tc>
        <w:tc>
          <w:tcPr>
            <w:tcW w:type="dxa" w:w="5386"/>
            <w:shd w:val="clear" w:color="auto" w:fill="FFFFFF"/>
          </w:tcPr>
          <w:p>
            <w:pPr>
              <w:jc w:val="center"/>
            </w:pPr>
            <w:r>
              <w:rPr>
                <w:sz w:val="20"/>
              </w:rPr>
              <w:t>On average, predictions are 6.17% off actuals</w:t>
            </w:r>
          </w:p>
        </w:tc>
      </w:tr>
      <w:tr>
        <w:tc>
          <w:tcPr>
            <w:tcW w:type="dxa" w:w="1701"/>
            <w:shd w:val="clear" w:color="auto" w:fill="EBF3FA"/>
          </w:tcPr>
          <w:p>
            <w:pPr>
              <w:jc w:val="center"/>
            </w:pPr>
            <w:r>
              <w:rPr>
                <w:sz w:val="20"/>
              </w:rPr>
              <w:t>R²</w:t>
            </w:r>
          </w:p>
        </w:tc>
        <w:tc>
          <w:tcPr>
            <w:tcW w:type="dxa" w:w="2268"/>
            <w:shd w:val="clear" w:color="auto" w:fill="EBF3FA"/>
          </w:tcPr>
          <w:p>
            <w:pPr>
              <w:jc w:val="center"/>
            </w:pPr>
            <w:r>
              <w:rPr>
                <w:sz w:val="20"/>
              </w:rPr>
              <w:t>0.1054</w:t>
            </w:r>
          </w:p>
        </w:tc>
        <w:tc>
          <w:tcPr>
            <w:tcW w:type="dxa" w:w="5386"/>
            <w:shd w:val="clear" w:color="auto" w:fill="EBF3FA"/>
          </w:tcPr>
          <w:p>
            <w:pPr>
              <w:jc w:val="center"/>
            </w:pPr>
            <w:r>
              <w:rPr>
                <w:sz w:val="20"/>
              </w:rPr>
              <w:t>Model explains only 10.5% of sales variance</w:t>
            </w:r>
          </w:p>
        </w:tc>
      </w:tr>
    </w:tbl>
    <w:p/>
    <w:p>
      <w:pPr>
        <w:pStyle w:val="Heading3"/>
        <w:spacing w:before="160"/>
      </w:pPr>
      <w:r>
        <w:rPr>
          <w:b/>
          <w:color w:val="265E8E"/>
          <w:sz w:val="22"/>
        </w:rPr>
        <w:t>Model Coefficients</w:t>
      </w:r>
    </w:p>
    <w:tbl>
      <w:tblPr>
        <w:tblStyle w:val="TableGrid"/>
        <w:tblW w:type="auto" w:w="0"/>
        <w:jc w:val="center"/>
        <w:tblLook w:firstColumn="1" w:firstRow="1" w:lastColumn="0" w:lastRow="0" w:noHBand="0" w:noVBand="1" w:val="04A0"/>
      </w:tblPr>
      <w:tblGrid>
        <w:gridCol w:w="2999"/>
        <w:gridCol w:w="2999"/>
        <w:gridCol w:w="2999"/>
      </w:tblGrid>
      <w:tr>
        <w:tc>
          <w:tcPr>
            <w:tcW w:type="dxa" w:w="1984"/>
            <w:shd w:val="clear" w:color="auto" w:fill="1F497D"/>
          </w:tcPr>
          <w:p>
            <w:pPr>
              <w:jc w:val="center"/>
            </w:pPr>
            <w:r>
              <w:rPr>
                <w:b/>
                <w:color w:val="FFFFFF"/>
                <w:sz w:val="20"/>
              </w:rPr>
              <w:t>Feature</w:t>
            </w:r>
          </w:p>
        </w:tc>
        <w:tc>
          <w:tcPr>
            <w:tcW w:type="dxa" w:w="2268"/>
            <w:shd w:val="clear" w:color="auto" w:fill="1F497D"/>
          </w:tcPr>
          <w:p>
            <w:pPr>
              <w:jc w:val="center"/>
            </w:pPr>
            <w:r>
              <w:rPr>
                <w:b/>
                <w:color w:val="FFFFFF"/>
                <w:sz w:val="20"/>
              </w:rPr>
              <w:t>Coefficient (USD)</w:t>
            </w:r>
          </w:p>
        </w:tc>
        <w:tc>
          <w:tcPr>
            <w:tcW w:type="dxa" w:w="5102"/>
            <w:shd w:val="clear" w:color="auto" w:fill="1F497D"/>
          </w:tcPr>
          <w:p>
            <w:pPr>
              <w:jc w:val="center"/>
            </w:pPr>
            <w:r>
              <w:rPr>
                <w:b/>
                <w:color w:val="FFFFFF"/>
                <w:sz w:val="20"/>
              </w:rPr>
              <w:t>Interpretation</w:t>
            </w:r>
          </w:p>
        </w:tc>
      </w:tr>
      <w:tr>
        <w:tc>
          <w:tcPr>
            <w:tcW w:type="dxa" w:w="1984"/>
            <w:shd w:val="clear" w:color="auto" w:fill="FFFFFF"/>
          </w:tcPr>
          <w:p>
            <w:pPr>
              <w:jc w:val="center"/>
            </w:pPr>
            <w:r>
              <w:rPr>
                <w:sz w:val="20"/>
              </w:rPr>
              <w:t>Intercept</w:t>
            </w:r>
          </w:p>
        </w:tc>
        <w:tc>
          <w:tcPr>
            <w:tcW w:type="dxa" w:w="2268"/>
            <w:shd w:val="clear" w:color="auto" w:fill="FFFFFF"/>
          </w:tcPr>
          <w:p>
            <w:pPr>
              <w:jc w:val="center"/>
            </w:pPr>
            <w:r>
              <w:rPr>
                <w:sz w:val="20"/>
              </w:rPr>
              <w:t>−$330,593,551</w:t>
            </w:r>
          </w:p>
        </w:tc>
        <w:tc>
          <w:tcPr>
            <w:tcW w:type="dxa" w:w="5102"/>
            <w:shd w:val="clear" w:color="auto" w:fill="FFFFFF"/>
          </w:tcPr>
          <w:p>
            <w:pPr>
              <w:jc w:val="center"/>
            </w:pPr>
            <w:r>
              <w:rPr>
                <w:sz w:val="20"/>
              </w:rPr>
              <w:t>Baseline (not independently interpretable)</w:t>
            </w:r>
          </w:p>
        </w:tc>
      </w:tr>
      <w:tr>
        <w:tc>
          <w:tcPr>
            <w:tcW w:type="dxa" w:w="1984"/>
            <w:shd w:val="clear" w:color="auto" w:fill="EBF3FA"/>
          </w:tcPr>
          <w:p>
            <w:pPr>
              <w:jc w:val="center"/>
            </w:pPr>
            <w:r>
              <w:rPr>
                <w:sz w:val="20"/>
              </w:rPr>
              <w:t>Holiday_Flag</w:t>
            </w:r>
          </w:p>
        </w:tc>
        <w:tc>
          <w:tcPr>
            <w:tcW w:type="dxa" w:w="2268"/>
            <w:shd w:val="clear" w:color="auto" w:fill="EBF3FA"/>
          </w:tcPr>
          <w:p>
            <w:pPr>
              <w:jc w:val="center"/>
            </w:pPr>
            <w:r>
              <w:rPr>
                <w:sz w:val="20"/>
              </w:rPr>
              <w:t>+$1,064,435</w:t>
            </w:r>
          </w:p>
        </w:tc>
        <w:tc>
          <w:tcPr>
            <w:tcW w:type="dxa" w:w="5102"/>
            <w:shd w:val="clear" w:color="auto" w:fill="EBF3FA"/>
          </w:tcPr>
          <w:p>
            <w:pPr>
              <w:jc w:val="center"/>
            </w:pPr>
            <w:r>
              <w:rPr>
                <w:sz w:val="20"/>
              </w:rPr>
              <w:t>Holiday weeks add ~$1.06M to weekly sales</w:t>
            </w:r>
          </w:p>
        </w:tc>
      </w:tr>
      <w:tr>
        <w:tc>
          <w:tcPr>
            <w:tcW w:type="dxa" w:w="1984"/>
            <w:shd w:val="clear" w:color="auto" w:fill="FFFFFF"/>
          </w:tcPr>
          <w:p>
            <w:pPr>
              <w:jc w:val="center"/>
            </w:pPr>
            <w:r>
              <w:rPr>
                <w:sz w:val="20"/>
              </w:rPr>
              <w:t>Unemployment</w:t>
            </w:r>
          </w:p>
        </w:tc>
        <w:tc>
          <w:tcPr>
            <w:tcW w:type="dxa" w:w="2268"/>
            <w:shd w:val="clear" w:color="auto" w:fill="FFFFFF"/>
          </w:tcPr>
          <w:p>
            <w:pPr>
              <w:jc w:val="center"/>
            </w:pPr>
            <w:r>
              <w:rPr>
                <w:sz w:val="20"/>
              </w:rPr>
              <w:t>+$8,813,138</w:t>
            </w:r>
          </w:p>
        </w:tc>
        <w:tc>
          <w:tcPr>
            <w:tcW w:type="dxa" w:w="5102"/>
            <w:shd w:val="clear" w:color="auto" w:fill="FFFFFF"/>
          </w:tcPr>
          <w:p>
            <w:pPr>
              <w:jc w:val="center"/>
            </w:pPr>
            <w:r>
              <w:rPr>
                <w:sz w:val="20"/>
              </w:rPr>
              <w:t>Counterintuitive positive sign; likely collinearity artefact</w:t>
            </w:r>
          </w:p>
        </w:tc>
      </w:tr>
      <w:tr>
        <w:tc>
          <w:tcPr>
            <w:tcW w:type="dxa" w:w="1984"/>
            <w:shd w:val="clear" w:color="auto" w:fill="EBF3FA"/>
          </w:tcPr>
          <w:p>
            <w:pPr>
              <w:jc w:val="center"/>
            </w:pPr>
            <w:r>
              <w:rPr>
                <w:sz w:val="20"/>
              </w:rPr>
              <w:t>CPI</w:t>
            </w:r>
          </w:p>
        </w:tc>
        <w:tc>
          <w:tcPr>
            <w:tcW w:type="dxa" w:w="2268"/>
            <w:shd w:val="clear" w:color="auto" w:fill="EBF3FA"/>
          </w:tcPr>
          <w:p>
            <w:pPr>
              <w:jc w:val="center"/>
            </w:pPr>
            <w:r>
              <w:rPr>
                <w:sz w:val="20"/>
              </w:rPr>
              <w:t>+$1,889,519</w:t>
            </w:r>
          </w:p>
        </w:tc>
        <w:tc>
          <w:tcPr>
            <w:tcW w:type="dxa" w:w="5102"/>
            <w:shd w:val="clear" w:color="auto" w:fill="EBF3FA"/>
          </w:tcPr>
          <w:p>
            <w:pPr>
              <w:jc w:val="center"/>
            </w:pPr>
            <w:r>
              <w:rPr>
                <w:sz w:val="20"/>
              </w:rPr>
              <w:t>Higher CPI associated with higher nominal sales (inflation)</w:t>
            </w:r>
          </w:p>
        </w:tc>
      </w:tr>
      <w:tr>
        <w:tc>
          <w:tcPr>
            <w:tcW w:type="dxa" w:w="1984"/>
            <w:shd w:val="clear" w:color="auto" w:fill="FFFFFF"/>
          </w:tcPr>
          <w:p>
            <w:pPr>
              <w:jc w:val="center"/>
            </w:pPr>
            <w:r>
              <w:rPr>
                <w:sz w:val="20"/>
              </w:rPr>
              <w:t>Temperature</w:t>
            </w:r>
          </w:p>
        </w:tc>
        <w:tc>
          <w:tcPr>
            <w:tcW w:type="dxa" w:w="2268"/>
            <w:shd w:val="clear" w:color="auto" w:fill="FFFFFF"/>
          </w:tcPr>
          <w:p>
            <w:pPr>
              <w:jc w:val="center"/>
            </w:pPr>
            <w:r>
              <w:rPr>
                <w:sz w:val="20"/>
              </w:rPr>
              <w:t>−$38,980</w:t>
            </w:r>
          </w:p>
        </w:tc>
        <w:tc>
          <w:tcPr>
            <w:tcW w:type="dxa" w:w="5102"/>
            <w:shd w:val="clear" w:color="auto" w:fill="FFFFFF"/>
          </w:tcPr>
          <w:p>
            <w:pPr>
              <w:jc w:val="center"/>
            </w:pPr>
            <w:r>
              <w:rPr>
                <w:sz w:val="20"/>
              </w:rPr>
              <w:t>Each °F increase reduces weekly sales by ~$39K</w:t>
            </w:r>
          </w:p>
        </w:tc>
      </w:tr>
      <w:tr>
        <w:tc>
          <w:tcPr>
            <w:tcW w:type="dxa" w:w="1984"/>
            <w:shd w:val="clear" w:color="auto" w:fill="EBF3FA"/>
          </w:tcPr>
          <w:p>
            <w:pPr>
              <w:jc w:val="center"/>
            </w:pPr>
            <w:r>
              <w:rPr>
                <w:sz w:val="20"/>
              </w:rPr>
              <w:t>Fuel_Price</w:t>
            </w:r>
          </w:p>
        </w:tc>
        <w:tc>
          <w:tcPr>
            <w:tcW w:type="dxa" w:w="2268"/>
            <w:shd w:val="clear" w:color="auto" w:fill="EBF3FA"/>
          </w:tcPr>
          <w:p>
            <w:pPr>
              <w:jc w:val="center"/>
            </w:pPr>
            <w:r>
              <w:rPr>
                <w:sz w:val="20"/>
              </w:rPr>
              <w:t>−$4,478,884</w:t>
            </w:r>
          </w:p>
        </w:tc>
        <w:tc>
          <w:tcPr>
            <w:tcW w:type="dxa" w:w="5102"/>
            <w:shd w:val="clear" w:color="auto" w:fill="EBF3FA"/>
          </w:tcPr>
          <w:p>
            <w:pPr>
              <w:jc w:val="center"/>
            </w:pPr>
            <w:r>
              <w:rPr>
                <w:sz w:val="20"/>
              </w:rPr>
              <w:t>Each $1 increase in fuel reduces weekly sales ~$4.5M</w:t>
            </w:r>
          </w:p>
        </w:tc>
      </w:tr>
    </w:tbl>
    <w:p/>
    <w:p>
      <w:pPr>
        <w:spacing w:after="160"/>
      </w:pPr>
      <w:r>
        <w:rPr>
          <w:rFonts w:ascii="Calibri" w:hAnsi="Calibri"/>
          <w:sz w:val="22"/>
        </w:rPr>
        <w:t>The low R² of 0.11 confirms that the static linear regression model, lacking any temporal structure, cannot capture the dominant seasonal patterns in the data. The counterintuitive positive sign on Unemployment likely reflects confounding with the time trend and CPI over the 2010–2012 period. Despite these limitations, the model correctly identifies the holiday uplift, temperature sensitivity, and fuel-price suppression effects.</w:t>
      </w:r>
    </w:p>
    <w:p>
      <w:pPr>
        <w:pStyle w:val="Heading2"/>
        <w:spacing w:before="200" w:after="80"/>
      </w:pPr>
      <w:r>
        <w:rPr>
          <w:b/>
          <w:color w:val="265E8E"/>
          <w:sz w:val="26"/>
        </w:rPr>
        <w:t>7.3.  Prophet Forecasting Results</w:t>
      </w:r>
    </w:p>
    <w:p>
      <w:pPr>
        <w:spacing w:after="160"/>
      </w:pPr>
      <w:r>
        <w:rPr>
          <w:rFonts w:ascii="Calibri" w:hAnsi="Calibri"/>
          <w:sz w:val="22"/>
        </w:rPr>
        <w:t>The Prophet model was fitted on all 143 weekly observations with five exogenous regressors and evaluated on its in-sample fitted values.</w:t>
      </w:r>
    </w:p>
    <w:tbl>
      <w:tblPr>
        <w:tblStyle w:val="TableGrid"/>
        <w:tblW w:type="auto" w:w="0"/>
        <w:jc w:val="center"/>
        <w:tblLook w:firstColumn="1" w:firstRow="1" w:lastColumn="0" w:lastRow="0" w:noHBand="0" w:noVBand="1" w:val="04A0"/>
      </w:tblPr>
      <w:tblGrid>
        <w:gridCol w:w="2999"/>
        <w:gridCol w:w="2999"/>
        <w:gridCol w:w="2999"/>
      </w:tblGrid>
      <w:tr>
        <w:tc>
          <w:tcPr>
            <w:tcW w:type="dxa" w:w="1701"/>
            <w:shd w:val="clear" w:color="auto" w:fill="1F497D"/>
          </w:tcPr>
          <w:p>
            <w:pPr>
              <w:jc w:val="center"/>
            </w:pPr>
            <w:r>
              <w:rPr>
                <w:b/>
                <w:color w:val="FFFFFF"/>
                <w:sz w:val="20"/>
              </w:rPr>
              <w:t>Metric</w:t>
            </w:r>
          </w:p>
        </w:tc>
        <w:tc>
          <w:tcPr>
            <w:tcW w:type="dxa" w:w="2268"/>
            <w:shd w:val="clear" w:color="auto" w:fill="1F497D"/>
          </w:tcPr>
          <w:p>
            <w:pPr>
              <w:jc w:val="center"/>
            </w:pPr>
            <w:r>
              <w:rPr>
                <w:b/>
                <w:color w:val="FFFFFF"/>
                <w:sz w:val="20"/>
              </w:rPr>
              <w:t>Value</w:t>
            </w:r>
          </w:p>
        </w:tc>
        <w:tc>
          <w:tcPr>
            <w:tcW w:type="dxa" w:w="5386"/>
            <w:shd w:val="clear" w:color="auto" w:fill="1F497D"/>
          </w:tcPr>
          <w:p>
            <w:pPr>
              <w:jc w:val="center"/>
            </w:pPr>
            <w:r>
              <w:rPr>
                <w:b/>
                <w:color w:val="FFFFFF"/>
                <w:sz w:val="20"/>
              </w:rPr>
              <w:t>Interpretation</w:t>
            </w:r>
          </w:p>
        </w:tc>
      </w:tr>
      <w:tr>
        <w:tc>
          <w:tcPr>
            <w:tcW w:type="dxa" w:w="1701"/>
            <w:shd w:val="clear" w:color="auto" w:fill="FFFFFF"/>
          </w:tcPr>
          <w:p>
            <w:pPr>
              <w:jc w:val="center"/>
            </w:pPr>
            <w:r>
              <w:rPr>
                <w:sz w:val="20"/>
              </w:rPr>
              <w:t>MAE</w:t>
            </w:r>
          </w:p>
        </w:tc>
        <w:tc>
          <w:tcPr>
            <w:tcW w:type="dxa" w:w="2268"/>
            <w:shd w:val="clear" w:color="auto" w:fill="FFFFFF"/>
          </w:tcPr>
          <w:p>
            <w:pPr>
              <w:jc w:val="center"/>
            </w:pPr>
            <w:r>
              <w:rPr>
                <w:sz w:val="20"/>
              </w:rPr>
              <w:t>$1,982,322</w:t>
            </w:r>
          </w:p>
        </w:tc>
        <w:tc>
          <w:tcPr>
            <w:tcW w:type="dxa" w:w="5386"/>
            <w:shd w:val="clear" w:color="auto" w:fill="FFFFFF"/>
          </w:tcPr>
          <w:p>
            <w:pPr>
              <w:jc w:val="center"/>
            </w:pPr>
            <w:r>
              <w:rPr>
                <w:sz w:val="20"/>
              </w:rPr>
              <w:t>Average error of ~$2.0M per week</w:t>
            </w:r>
          </w:p>
        </w:tc>
      </w:tr>
      <w:tr>
        <w:tc>
          <w:tcPr>
            <w:tcW w:type="dxa" w:w="1701"/>
            <w:shd w:val="clear" w:color="auto" w:fill="EBF3FA"/>
          </w:tcPr>
          <w:p>
            <w:pPr>
              <w:jc w:val="center"/>
            </w:pPr>
            <w:r>
              <w:rPr>
                <w:sz w:val="20"/>
              </w:rPr>
              <w:t>RMSE</w:t>
            </w:r>
          </w:p>
        </w:tc>
        <w:tc>
          <w:tcPr>
            <w:tcW w:type="dxa" w:w="2268"/>
            <w:shd w:val="clear" w:color="auto" w:fill="EBF3FA"/>
          </w:tcPr>
          <w:p>
            <w:pPr>
              <w:jc w:val="center"/>
            </w:pPr>
            <w:r>
              <w:rPr>
                <w:sz w:val="20"/>
              </w:rPr>
              <w:t>$3,398,326</w:t>
            </w:r>
          </w:p>
        </w:tc>
        <w:tc>
          <w:tcPr>
            <w:tcW w:type="dxa" w:w="5386"/>
            <w:shd w:val="clear" w:color="auto" w:fill="EBF3FA"/>
          </w:tcPr>
          <w:p>
            <w:pPr>
              <w:jc w:val="center"/>
            </w:pPr>
            <w:r>
              <w:rPr>
                <w:sz w:val="20"/>
              </w:rPr>
              <w:t>Large holiday-week errors remain</w:t>
            </w:r>
          </w:p>
        </w:tc>
      </w:tr>
      <w:tr>
        <w:tc>
          <w:tcPr>
            <w:tcW w:type="dxa" w:w="1701"/>
            <w:shd w:val="clear" w:color="auto" w:fill="FFFFFF"/>
          </w:tcPr>
          <w:p>
            <w:pPr>
              <w:jc w:val="center"/>
            </w:pPr>
            <w:r>
              <w:rPr>
                <w:sz w:val="20"/>
              </w:rPr>
              <w:t>MAPE</w:t>
            </w:r>
          </w:p>
        </w:tc>
        <w:tc>
          <w:tcPr>
            <w:tcW w:type="dxa" w:w="2268"/>
            <w:shd w:val="clear" w:color="auto" w:fill="FFFFFF"/>
          </w:tcPr>
          <w:p>
            <w:pPr>
              <w:jc w:val="center"/>
            </w:pPr>
            <w:r>
              <w:rPr>
                <w:sz w:val="20"/>
              </w:rPr>
              <w:t>3.97%</w:t>
            </w:r>
          </w:p>
        </w:tc>
        <w:tc>
          <w:tcPr>
            <w:tcW w:type="dxa" w:w="5386"/>
            <w:shd w:val="clear" w:color="auto" w:fill="FFFFFF"/>
          </w:tcPr>
          <w:p>
            <w:pPr>
              <w:jc w:val="center"/>
            </w:pPr>
            <w:r>
              <w:rPr>
                <w:sz w:val="20"/>
              </w:rPr>
              <w:t>On average, predictions are within 4% of actuals</w:t>
            </w:r>
          </w:p>
        </w:tc>
      </w:tr>
      <w:tr>
        <w:tc>
          <w:tcPr>
            <w:tcW w:type="dxa" w:w="1701"/>
            <w:shd w:val="clear" w:color="auto" w:fill="EBF3FA"/>
          </w:tcPr>
          <w:p>
            <w:pPr>
              <w:jc w:val="center"/>
            </w:pPr>
            <w:r>
              <w:rPr>
                <w:sz w:val="20"/>
              </w:rPr>
              <w:t>R²</w:t>
            </w:r>
          </w:p>
        </w:tc>
        <w:tc>
          <w:tcPr>
            <w:tcW w:type="dxa" w:w="2268"/>
            <w:shd w:val="clear" w:color="auto" w:fill="EBF3FA"/>
          </w:tcPr>
          <w:p>
            <w:pPr>
              <w:jc w:val="center"/>
            </w:pPr>
            <w:r>
              <w:rPr>
                <w:sz w:val="20"/>
              </w:rPr>
              <w:t>0.6076</w:t>
            </w:r>
          </w:p>
        </w:tc>
        <w:tc>
          <w:tcPr>
            <w:tcW w:type="dxa" w:w="5386"/>
            <w:shd w:val="clear" w:color="auto" w:fill="EBF3FA"/>
          </w:tcPr>
          <w:p>
            <w:pPr>
              <w:jc w:val="center"/>
            </w:pPr>
            <w:r>
              <w:rPr>
                <w:sz w:val="20"/>
              </w:rPr>
              <w:t>Model explains 60.8% of sales variance</w:t>
            </w:r>
          </w:p>
        </w:tc>
      </w:tr>
    </w:tbl>
    <w:p/>
    <w:p>
      <w:pPr>
        <w:spacing w:after="160"/>
      </w:pPr>
      <w:r>
        <w:rPr>
          <w:rFonts w:ascii="Calibri" w:hAnsi="Calibri"/>
          <w:sz w:val="22"/>
        </w:rPr>
        <w:t>Prophet's R² of 0.61 reflects its ability to decompose and model the dominant seasonal pattern – particularly the November–December peak – which accounts for the majority of sales variance. The remaining unexplained variance (39.2%) is attributable to store-level heterogeneity (aggregated away), news-driven demand shocks, and the limitation that out-of-sample regressor values are held constant at the last observed value.</w:t>
      </w:r>
    </w:p>
    <w:p>
      <w:pPr>
        <w:spacing w:after="160"/>
      </w:pPr>
      <w:r>
        <w:rPr>
          <w:rFonts w:ascii="Calibri" w:hAnsi="Calibri"/>
          <w:sz w:val="22"/>
        </w:rPr>
        <w:t>Both MAE (−38.9%) and RMSE (−34.9%) are substantially reduced relative to Linear Regression, confirming Prophet as the preferred operational model.</w:t>
      </w:r>
    </w:p>
    <w:p>
      <w:pPr>
        <w:pStyle w:val="Heading2"/>
        <w:spacing w:before="200" w:after="80"/>
      </w:pPr>
      <w:r>
        <w:rPr>
          <w:b/>
          <w:color w:val="265E8E"/>
          <w:sz w:val="26"/>
        </w:rPr>
        <w:t>7.4.  2013 Forecast (Prophet)</w:t>
      </w:r>
    </w:p>
    <w:p>
      <w:pPr>
        <w:spacing w:after="160"/>
      </w:pPr>
      <w:r>
        <w:rPr>
          <w:rFonts w:ascii="Calibri" w:hAnsi="Calibri"/>
          <w:sz w:val="22"/>
        </w:rPr>
        <w:t>The Prophet model generates a 52-week forward forecast from January to October 2013 (42 weeks within the calendar year). Key statistics:</w:t>
      </w:r>
    </w:p>
    <w:tbl>
      <w:tblPr>
        <w:tblStyle w:val="TableGrid"/>
        <w:tblW w:type="auto" w:w="0"/>
        <w:jc w:val="center"/>
        <w:tblLook w:firstColumn="1" w:firstRow="1" w:lastColumn="0" w:lastRow="0" w:noHBand="0" w:noVBand="1" w:val="04A0"/>
      </w:tblPr>
      <w:tblGrid>
        <w:gridCol w:w="4498"/>
        <w:gridCol w:w="4498"/>
      </w:tblGrid>
      <w:tr>
        <w:tc>
          <w:tcPr>
            <w:tcW w:type="dxa" w:w="3969"/>
            <w:shd w:val="clear" w:color="auto" w:fill="1F497D"/>
          </w:tcPr>
          <w:p>
            <w:pPr>
              <w:jc w:val="center"/>
            </w:pPr>
            <w:r>
              <w:rPr>
                <w:b/>
                <w:color w:val="FFFFFF"/>
                <w:sz w:val="20"/>
              </w:rPr>
              <w:t>Statistic</w:t>
            </w:r>
          </w:p>
        </w:tc>
        <w:tc>
          <w:tcPr>
            <w:tcW w:type="dxa" w:w="5386"/>
            <w:shd w:val="clear" w:color="auto" w:fill="1F497D"/>
          </w:tcPr>
          <w:p>
            <w:pPr>
              <w:jc w:val="center"/>
            </w:pPr>
            <w:r>
              <w:rPr>
                <w:b/>
                <w:color w:val="FFFFFF"/>
                <w:sz w:val="20"/>
              </w:rPr>
              <w:t>Value</w:t>
            </w:r>
          </w:p>
        </w:tc>
      </w:tr>
      <w:tr>
        <w:tc>
          <w:tcPr>
            <w:tcW w:type="dxa" w:w="3969"/>
            <w:shd w:val="clear" w:color="auto" w:fill="FFFFFF"/>
          </w:tcPr>
          <w:p>
            <w:pPr>
              <w:jc w:val="center"/>
            </w:pPr>
            <w:r>
              <w:rPr>
                <w:sz w:val="20"/>
              </w:rPr>
              <w:t>Mean weekly forecast (2013)</w:t>
            </w:r>
          </w:p>
        </w:tc>
        <w:tc>
          <w:tcPr>
            <w:tcW w:type="dxa" w:w="5386"/>
            <w:shd w:val="clear" w:color="auto" w:fill="FFFFFF"/>
          </w:tcPr>
          <w:p>
            <w:pPr>
              <w:jc w:val="center"/>
            </w:pPr>
            <w:r>
              <w:rPr>
                <w:sz w:val="20"/>
              </w:rPr>
              <w:t>$41,283,173</w:t>
            </w:r>
          </w:p>
        </w:tc>
      </w:tr>
      <w:tr>
        <w:tc>
          <w:tcPr>
            <w:tcW w:type="dxa" w:w="3969"/>
            <w:shd w:val="clear" w:color="auto" w:fill="EBF3FA"/>
          </w:tcPr>
          <w:p>
            <w:pPr>
              <w:jc w:val="center"/>
            </w:pPr>
            <w:r>
              <w:rPr>
                <w:sz w:val="20"/>
              </w:rPr>
              <w:t>Minimum weekly forecast</w:t>
            </w:r>
          </w:p>
        </w:tc>
        <w:tc>
          <w:tcPr>
            <w:tcW w:type="dxa" w:w="5386"/>
            <w:shd w:val="clear" w:color="auto" w:fill="EBF3FA"/>
          </w:tcPr>
          <w:p>
            <w:pPr>
              <w:jc w:val="center"/>
            </w:pPr>
            <w:r>
              <w:rPr>
                <w:sz w:val="20"/>
              </w:rPr>
              <w:t>$35,879,677  (week of 2013-07-21)</w:t>
            </w:r>
          </w:p>
        </w:tc>
      </w:tr>
      <w:tr>
        <w:tc>
          <w:tcPr>
            <w:tcW w:type="dxa" w:w="3969"/>
            <w:shd w:val="clear" w:color="auto" w:fill="FFFFFF"/>
          </w:tcPr>
          <w:p>
            <w:pPr>
              <w:jc w:val="center"/>
            </w:pPr>
            <w:r>
              <w:rPr>
                <w:sz w:val="20"/>
              </w:rPr>
              <w:t>Maximum weekly forecast</w:t>
            </w:r>
          </w:p>
        </w:tc>
        <w:tc>
          <w:tcPr>
            <w:tcW w:type="dxa" w:w="5386"/>
            <w:shd w:val="clear" w:color="auto" w:fill="FFFFFF"/>
          </w:tcPr>
          <w:p>
            <w:pPr>
              <w:jc w:val="center"/>
            </w:pPr>
            <w:r>
              <w:rPr>
                <w:sz w:val="20"/>
              </w:rPr>
              <w:t>$51,420,959  (week of 2013-01-06)</w:t>
            </w:r>
          </w:p>
        </w:tc>
      </w:tr>
      <w:tr>
        <w:tc>
          <w:tcPr>
            <w:tcW w:type="dxa" w:w="3969"/>
            <w:shd w:val="clear" w:color="auto" w:fill="EBF3FA"/>
          </w:tcPr>
          <w:p>
            <w:pPr>
              <w:jc w:val="center"/>
            </w:pPr>
            <w:r>
              <w:rPr>
                <w:sz w:val="20"/>
              </w:rPr>
              <w:t>Mean prediction interval width</w:t>
            </w:r>
          </w:p>
        </w:tc>
        <w:tc>
          <w:tcPr>
            <w:tcW w:type="dxa" w:w="5386"/>
            <w:shd w:val="clear" w:color="auto" w:fill="EBF3FA"/>
          </w:tcPr>
          <w:p>
            <w:pPr>
              <w:jc w:val="center"/>
            </w:pPr>
            <w:r>
              <w:rPr>
                <w:sz w:val="20"/>
              </w:rPr>
              <w:t>~$8.5M (±1 s.d.)</w:t>
            </w:r>
          </w:p>
        </w:tc>
      </w:tr>
      <w:tr>
        <w:tc>
          <w:tcPr>
            <w:tcW w:type="dxa" w:w="3969"/>
            <w:shd w:val="clear" w:color="auto" w:fill="FFFFFF"/>
          </w:tcPr>
          <w:p>
            <w:pPr>
              <w:jc w:val="center"/>
            </w:pPr>
            <w:r>
              <w:rPr>
                <w:sz w:val="20"/>
              </w:rPr>
              <w:t>vs 2012 avg ($46,514,718)</w:t>
            </w:r>
          </w:p>
        </w:tc>
        <w:tc>
          <w:tcPr>
            <w:tcW w:type="dxa" w:w="5386"/>
            <w:shd w:val="clear" w:color="auto" w:fill="FFFFFF"/>
          </w:tcPr>
          <w:p>
            <w:pPr>
              <w:jc w:val="center"/>
            </w:pPr>
            <w:r>
              <w:rPr>
                <w:sz w:val="20"/>
              </w:rPr>
              <w:t>−11.2% decline</w:t>
            </w:r>
          </w:p>
        </w:tc>
      </w:tr>
    </w:tbl>
    <w:p/>
    <w:p>
      <w:pPr>
        <w:spacing w:after="160"/>
      </w:pPr>
      <w:r>
        <w:rPr>
          <w:rFonts w:ascii="Calibri" w:hAnsi="Calibri"/>
          <w:sz w:val="22"/>
        </w:rPr>
        <w:t>The 2013 forecast reflects the declining trend identified in the historical data. The seasonal pattern repeats the mid-year dip (July–August trough) seen in prior years, driven by the temperature seasonality component. The first week of January 2013 shows a high forecast ($48.4M) that may reflect a carryover from the December 2012 holiday period captured in the trend component.</w:t>
      </w:r>
    </w:p>
    <w:p>
      <w:r>
        <w:rPr>
          <w:b/>
          <w:sz w:val="22"/>
        </w:rPr>
        <w:t>Selected 2013 Weekly Forecasts (Prophet)</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68"/>
            <w:shd w:val="clear" w:color="auto" w:fill="1F497D"/>
          </w:tcPr>
          <w:p>
            <w:pPr>
              <w:jc w:val="center"/>
            </w:pPr>
            <w:r>
              <w:rPr>
                <w:b/>
                <w:color w:val="FFFFFF"/>
                <w:sz w:val="20"/>
              </w:rPr>
              <w:t>Week</w:t>
            </w:r>
          </w:p>
        </w:tc>
        <w:tc>
          <w:tcPr>
            <w:tcW w:type="dxa" w:w="1984"/>
            <w:shd w:val="clear" w:color="auto" w:fill="1F497D"/>
          </w:tcPr>
          <w:p>
            <w:pPr>
              <w:jc w:val="center"/>
            </w:pPr>
            <w:r>
              <w:rPr>
                <w:b/>
                <w:color w:val="FFFFFF"/>
                <w:sz w:val="20"/>
              </w:rPr>
              <w:t>yhat ($M)</w:t>
            </w:r>
          </w:p>
        </w:tc>
        <w:tc>
          <w:tcPr>
            <w:tcW w:type="dxa" w:w="1984"/>
            <w:shd w:val="clear" w:color="auto" w:fill="1F497D"/>
          </w:tcPr>
          <w:p>
            <w:pPr>
              <w:jc w:val="center"/>
            </w:pPr>
            <w:r>
              <w:rPr>
                <w:b/>
                <w:color w:val="FFFFFF"/>
                <w:sz w:val="20"/>
              </w:rPr>
              <w:t>Lower ($M)</w:t>
            </w:r>
          </w:p>
        </w:tc>
        <w:tc>
          <w:tcPr>
            <w:tcW w:type="dxa" w:w="1984"/>
            <w:shd w:val="clear" w:color="auto" w:fill="1F497D"/>
          </w:tcPr>
          <w:p>
            <w:pPr>
              <w:jc w:val="center"/>
            </w:pPr>
            <w:r>
              <w:rPr>
                <w:b/>
                <w:color w:val="FFFFFF"/>
                <w:sz w:val="20"/>
              </w:rPr>
              <w:t>Upper ($M)</w:t>
            </w:r>
          </w:p>
        </w:tc>
      </w:tr>
      <w:tr>
        <w:tc>
          <w:tcPr>
            <w:tcW w:type="dxa" w:w="2268"/>
            <w:shd w:val="clear" w:color="auto" w:fill="FFFFFF"/>
          </w:tcPr>
          <w:p>
            <w:pPr>
              <w:jc w:val="center"/>
            </w:pPr>
            <w:r>
              <w:rPr>
                <w:sz w:val="20"/>
              </w:rPr>
              <w:t>2013-01-06</w:t>
            </w:r>
          </w:p>
        </w:tc>
        <w:tc>
          <w:tcPr>
            <w:tcW w:type="dxa" w:w="1984"/>
            <w:shd w:val="clear" w:color="auto" w:fill="FFFFFF"/>
          </w:tcPr>
          <w:p>
            <w:pPr>
              <w:jc w:val="center"/>
            </w:pPr>
            <w:r>
              <w:rPr>
                <w:sz w:val="20"/>
              </w:rPr>
              <w:t>48.4</w:t>
            </w:r>
          </w:p>
        </w:tc>
        <w:tc>
          <w:tcPr>
            <w:tcW w:type="dxa" w:w="1984"/>
            <w:shd w:val="clear" w:color="auto" w:fill="FFFFFF"/>
          </w:tcPr>
          <w:p>
            <w:pPr>
              <w:jc w:val="center"/>
            </w:pPr>
            <w:r>
              <w:rPr>
                <w:sz w:val="20"/>
              </w:rPr>
              <w:t>44.0</w:t>
            </w:r>
          </w:p>
        </w:tc>
        <w:tc>
          <w:tcPr>
            <w:tcW w:type="dxa" w:w="1984"/>
            <w:shd w:val="clear" w:color="auto" w:fill="FFFFFF"/>
          </w:tcPr>
          <w:p>
            <w:pPr>
              <w:jc w:val="center"/>
            </w:pPr>
            <w:r>
              <w:rPr>
                <w:sz w:val="20"/>
              </w:rPr>
              <w:t>52.5</w:t>
            </w:r>
          </w:p>
        </w:tc>
      </w:tr>
      <w:tr>
        <w:tc>
          <w:tcPr>
            <w:tcW w:type="dxa" w:w="2268"/>
            <w:shd w:val="clear" w:color="auto" w:fill="EBF3FA"/>
          </w:tcPr>
          <w:p>
            <w:pPr>
              <w:jc w:val="center"/>
            </w:pPr>
            <w:r>
              <w:rPr>
                <w:sz w:val="20"/>
              </w:rPr>
              <w:t>2013-02-10</w:t>
            </w:r>
          </w:p>
        </w:tc>
        <w:tc>
          <w:tcPr>
            <w:tcW w:type="dxa" w:w="1984"/>
            <w:shd w:val="clear" w:color="auto" w:fill="EBF3FA"/>
          </w:tcPr>
          <w:p>
            <w:pPr>
              <w:jc w:val="center"/>
            </w:pPr>
            <w:r>
              <w:rPr>
                <w:sz w:val="20"/>
              </w:rPr>
              <w:t>51.4</w:t>
            </w:r>
          </w:p>
        </w:tc>
        <w:tc>
          <w:tcPr>
            <w:tcW w:type="dxa" w:w="1984"/>
            <w:shd w:val="clear" w:color="auto" w:fill="EBF3FA"/>
          </w:tcPr>
          <w:p>
            <w:pPr>
              <w:jc w:val="center"/>
            </w:pPr>
            <w:r>
              <w:rPr>
                <w:sz w:val="20"/>
              </w:rPr>
              <w:t>46.5</w:t>
            </w:r>
          </w:p>
        </w:tc>
        <w:tc>
          <w:tcPr>
            <w:tcW w:type="dxa" w:w="1984"/>
            <w:shd w:val="clear" w:color="auto" w:fill="EBF3FA"/>
          </w:tcPr>
          <w:p>
            <w:pPr>
              <w:jc w:val="center"/>
            </w:pPr>
            <w:r>
              <w:rPr>
                <w:sz w:val="20"/>
              </w:rPr>
              <w:t>55.6</w:t>
            </w:r>
          </w:p>
        </w:tc>
      </w:tr>
      <w:tr>
        <w:tc>
          <w:tcPr>
            <w:tcW w:type="dxa" w:w="2268"/>
            <w:shd w:val="clear" w:color="auto" w:fill="FFFFFF"/>
          </w:tcPr>
          <w:p>
            <w:pPr>
              <w:jc w:val="center"/>
            </w:pPr>
            <w:r>
              <w:rPr>
                <w:sz w:val="20"/>
              </w:rPr>
              <w:t>2013-04-14</w:t>
            </w:r>
          </w:p>
        </w:tc>
        <w:tc>
          <w:tcPr>
            <w:tcW w:type="dxa" w:w="1984"/>
            <w:shd w:val="clear" w:color="auto" w:fill="FFFFFF"/>
          </w:tcPr>
          <w:p>
            <w:pPr>
              <w:jc w:val="center"/>
            </w:pPr>
            <w:r>
              <w:rPr>
                <w:sz w:val="20"/>
              </w:rPr>
              <w:t>43.4</w:t>
            </w:r>
          </w:p>
        </w:tc>
        <w:tc>
          <w:tcPr>
            <w:tcW w:type="dxa" w:w="1984"/>
            <w:shd w:val="clear" w:color="auto" w:fill="FFFFFF"/>
          </w:tcPr>
          <w:p>
            <w:pPr>
              <w:jc w:val="center"/>
            </w:pPr>
            <w:r>
              <w:rPr>
                <w:sz w:val="20"/>
              </w:rPr>
              <w:t>38.9</w:t>
            </w:r>
          </w:p>
        </w:tc>
        <w:tc>
          <w:tcPr>
            <w:tcW w:type="dxa" w:w="1984"/>
            <w:shd w:val="clear" w:color="auto" w:fill="FFFFFF"/>
          </w:tcPr>
          <w:p>
            <w:pPr>
              <w:jc w:val="center"/>
            </w:pPr>
            <w:r>
              <w:rPr>
                <w:sz w:val="20"/>
              </w:rPr>
              <w:t>47.9</w:t>
            </w:r>
          </w:p>
        </w:tc>
      </w:tr>
      <w:tr>
        <w:tc>
          <w:tcPr>
            <w:tcW w:type="dxa" w:w="2268"/>
            <w:shd w:val="clear" w:color="auto" w:fill="EBF3FA"/>
          </w:tcPr>
          <w:p>
            <w:pPr>
              <w:jc w:val="center"/>
            </w:pPr>
            <w:r>
              <w:rPr>
                <w:sz w:val="20"/>
              </w:rPr>
              <w:t>2013-06-16</w:t>
            </w:r>
          </w:p>
        </w:tc>
        <w:tc>
          <w:tcPr>
            <w:tcW w:type="dxa" w:w="1984"/>
            <w:shd w:val="clear" w:color="auto" w:fill="EBF3FA"/>
          </w:tcPr>
          <w:p>
            <w:pPr>
              <w:jc w:val="center"/>
            </w:pPr>
            <w:r>
              <w:rPr>
                <w:sz w:val="20"/>
              </w:rPr>
              <w:t>40.5</w:t>
            </w:r>
          </w:p>
        </w:tc>
        <w:tc>
          <w:tcPr>
            <w:tcW w:type="dxa" w:w="1984"/>
            <w:shd w:val="clear" w:color="auto" w:fill="EBF3FA"/>
          </w:tcPr>
          <w:p>
            <w:pPr>
              <w:jc w:val="center"/>
            </w:pPr>
            <w:r>
              <w:rPr>
                <w:sz w:val="20"/>
              </w:rPr>
              <w:t>35.9</w:t>
            </w:r>
          </w:p>
        </w:tc>
        <w:tc>
          <w:tcPr>
            <w:tcW w:type="dxa" w:w="1984"/>
            <w:shd w:val="clear" w:color="auto" w:fill="EBF3FA"/>
          </w:tcPr>
          <w:p>
            <w:pPr>
              <w:jc w:val="center"/>
            </w:pPr>
            <w:r>
              <w:rPr>
                <w:sz w:val="20"/>
              </w:rPr>
              <w:t>44.8</w:t>
            </w:r>
          </w:p>
        </w:tc>
      </w:tr>
      <w:tr>
        <w:tc>
          <w:tcPr>
            <w:tcW w:type="dxa" w:w="2268"/>
            <w:shd w:val="clear" w:color="auto" w:fill="FFFFFF"/>
          </w:tcPr>
          <w:p>
            <w:pPr>
              <w:jc w:val="center"/>
            </w:pPr>
            <w:r>
              <w:rPr>
                <w:sz w:val="20"/>
              </w:rPr>
              <w:t>2013-07-21</w:t>
            </w:r>
          </w:p>
        </w:tc>
        <w:tc>
          <w:tcPr>
            <w:tcW w:type="dxa" w:w="1984"/>
            <w:shd w:val="clear" w:color="auto" w:fill="FFFFFF"/>
          </w:tcPr>
          <w:p>
            <w:pPr>
              <w:jc w:val="center"/>
            </w:pPr>
            <w:r>
              <w:rPr>
                <w:sz w:val="20"/>
              </w:rPr>
              <w:t>36.3</w:t>
            </w:r>
          </w:p>
        </w:tc>
        <w:tc>
          <w:tcPr>
            <w:tcW w:type="dxa" w:w="1984"/>
            <w:shd w:val="clear" w:color="auto" w:fill="FFFFFF"/>
          </w:tcPr>
          <w:p>
            <w:pPr>
              <w:jc w:val="center"/>
            </w:pPr>
            <w:r>
              <w:rPr>
                <w:sz w:val="20"/>
              </w:rPr>
              <w:t>31.8</w:t>
            </w:r>
          </w:p>
        </w:tc>
        <w:tc>
          <w:tcPr>
            <w:tcW w:type="dxa" w:w="1984"/>
            <w:shd w:val="clear" w:color="auto" w:fill="FFFFFF"/>
          </w:tcPr>
          <w:p>
            <w:pPr>
              <w:jc w:val="center"/>
            </w:pPr>
            <w:r>
              <w:rPr>
                <w:sz w:val="20"/>
              </w:rPr>
              <w:t>40.7</w:t>
            </w:r>
          </w:p>
        </w:tc>
      </w:tr>
      <w:tr>
        <w:tc>
          <w:tcPr>
            <w:tcW w:type="dxa" w:w="2268"/>
            <w:shd w:val="clear" w:color="auto" w:fill="EBF3FA"/>
          </w:tcPr>
          <w:p>
            <w:pPr>
              <w:jc w:val="center"/>
            </w:pPr>
            <w:r>
              <w:rPr>
                <w:sz w:val="20"/>
              </w:rPr>
              <w:t>2013-09-22</w:t>
            </w:r>
          </w:p>
        </w:tc>
        <w:tc>
          <w:tcPr>
            <w:tcW w:type="dxa" w:w="1984"/>
            <w:shd w:val="clear" w:color="auto" w:fill="EBF3FA"/>
          </w:tcPr>
          <w:p>
            <w:pPr>
              <w:jc w:val="center"/>
            </w:pPr>
            <w:r>
              <w:rPr>
                <w:sz w:val="20"/>
              </w:rPr>
              <w:t>36.0</w:t>
            </w:r>
          </w:p>
        </w:tc>
        <w:tc>
          <w:tcPr>
            <w:tcW w:type="dxa" w:w="1984"/>
            <w:shd w:val="clear" w:color="auto" w:fill="EBF3FA"/>
          </w:tcPr>
          <w:p>
            <w:pPr>
              <w:jc w:val="center"/>
            </w:pPr>
            <w:r>
              <w:rPr>
                <w:sz w:val="20"/>
              </w:rPr>
              <w:t>31.6</w:t>
            </w:r>
          </w:p>
        </w:tc>
        <w:tc>
          <w:tcPr>
            <w:tcW w:type="dxa" w:w="1984"/>
            <w:shd w:val="clear" w:color="auto" w:fill="EBF3FA"/>
          </w:tcPr>
          <w:p>
            <w:pPr>
              <w:jc w:val="center"/>
            </w:pPr>
            <w:r>
              <w:rPr>
                <w:sz w:val="20"/>
              </w:rPr>
              <w:t>40.3</w:t>
            </w:r>
          </w:p>
        </w:tc>
      </w:tr>
      <w:tr>
        <w:tc>
          <w:tcPr>
            <w:tcW w:type="dxa" w:w="2268"/>
            <w:shd w:val="clear" w:color="auto" w:fill="FFFFFF"/>
          </w:tcPr>
          <w:p>
            <w:pPr>
              <w:jc w:val="center"/>
            </w:pPr>
            <w:r>
              <w:rPr>
                <w:sz w:val="20"/>
              </w:rPr>
              <w:t>2013-10-20</w:t>
            </w:r>
          </w:p>
        </w:tc>
        <w:tc>
          <w:tcPr>
            <w:tcW w:type="dxa" w:w="1984"/>
            <w:shd w:val="clear" w:color="auto" w:fill="FFFFFF"/>
          </w:tcPr>
          <w:p>
            <w:pPr>
              <w:jc w:val="center"/>
            </w:pPr>
            <w:r>
              <w:rPr>
                <w:sz w:val="20"/>
              </w:rPr>
              <w:t>38.5</w:t>
            </w:r>
          </w:p>
        </w:tc>
        <w:tc>
          <w:tcPr>
            <w:tcW w:type="dxa" w:w="1984"/>
            <w:shd w:val="clear" w:color="auto" w:fill="FFFFFF"/>
          </w:tcPr>
          <w:p>
            <w:pPr>
              <w:jc w:val="center"/>
            </w:pPr>
            <w:r>
              <w:rPr>
                <w:sz w:val="20"/>
              </w:rPr>
              <w:t>33.6</w:t>
            </w:r>
          </w:p>
        </w:tc>
        <w:tc>
          <w:tcPr>
            <w:tcW w:type="dxa" w:w="1984"/>
            <w:shd w:val="clear" w:color="auto" w:fill="FFFFFF"/>
          </w:tcPr>
          <w:p>
            <w:pPr>
              <w:jc w:val="center"/>
            </w:pPr>
            <w:r>
              <w:rPr>
                <w:sz w:val="20"/>
              </w:rPr>
              <w:t>42.9</w:t>
            </w:r>
          </w:p>
        </w:tc>
      </w:tr>
    </w:tbl>
    <w:p/>
    <w:p>
      <w:pPr>
        <w:pStyle w:val="Heading2"/>
        <w:spacing w:before="200" w:after="80"/>
      </w:pPr>
      <w:r>
        <w:rPr>
          <w:b/>
          <w:color w:val="265E8E"/>
          <w:sz w:val="26"/>
        </w:rPr>
        <w:t>7.5.  Model Comparison Summary</w:t>
      </w:r>
    </w:p>
    <w:tbl>
      <w:tblPr>
        <w:tblStyle w:val="TableGrid"/>
        <w:tblW w:type="auto" w:w="0"/>
        <w:jc w:val="center"/>
        <w:tblLook w:firstColumn="1" w:firstRow="1" w:lastColumn="0" w:lastRow="0" w:noHBand="0" w:noVBand="1" w:val="04A0"/>
      </w:tblPr>
      <w:tblGrid>
        <w:gridCol w:w="1499"/>
        <w:gridCol w:w="1499"/>
        <w:gridCol w:w="1499"/>
        <w:gridCol w:w="1499"/>
        <w:gridCol w:w="1499"/>
        <w:gridCol w:w="1499"/>
      </w:tblGrid>
      <w:tr>
        <w:tc>
          <w:tcPr>
            <w:tcW w:type="dxa" w:w="1984"/>
            <w:shd w:val="clear" w:color="auto" w:fill="1F497D"/>
          </w:tcPr>
          <w:p>
            <w:pPr>
              <w:jc w:val="center"/>
            </w:pPr>
            <w:r>
              <w:rPr>
                <w:b/>
                <w:color w:val="FFFFFF"/>
                <w:sz w:val="20"/>
              </w:rPr>
              <w:t>Model</w:t>
            </w:r>
          </w:p>
        </w:tc>
        <w:tc>
          <w:tcPr>
            <w:tcW w:type="dxa" w:w="1701"/>
            <w:shd w:val="clear" w:color="auto" w:fill="1F497D"/>
          </w:tcPr>
          <w:p>
            <w:pPr>
              <w:jc w:val="center"/>
            </w:pPr>
            <w:r>
              <w:rPr>
                <w:b/>
                <w:color w:val="FFFFFF"/>
                <w:sz w:val="20"/>
              </w:rPr>
              <w:t>MAE ($)</w:t>
            </w:r>
          </w:p>
        </w:tc>
        <w:tc>
          <w:tcPr>
            <w:tcW w:type="dxa" w:w="1701"/>
            <w:shd w:val="clear" w:color="auto" w:fill="1F497D"/>
          </w:tcPr>
          <w:p>
            <w:pPr>
              <w:jc w:val="center"/>
            </w:pPr>
            <w:r>
              <w:rPr>
                <w:b/>
                <w:color w:val="FFFFFF"/>
                <w:sz w:val="20"/>
              </w:rPr>
              <w:t>RMSE ($)</w:t>
            </w:r>
          </w:p>
        </w:tc>
        <w:tc>
          <w:tcPr>
            <w:tcW w:type="dxa" w:w="1417"/>
            <w:shd w:val="clear" w:color="auto" w:fill="1F497D"/>
          </w:tcPr>
          <w:p>
            <w:pPr>
              <w:jc w:val="center"/>
            </w:pPr>
            <w:r>
              <w:rPr>
                <w:b/>
                <w:color w:val="FFFFFF"/>
                <w:sz w:val="20"/>
              </w:rPr>
              <w:t>MAPE (%)</w:t>
            </w:r>
          </w:p>
        </w:tc>
        <w:tc>
          <w:tcPr>
            <w:tcW w:type="dxa" w:w="1134"/>
            <w:shd w:val="clear" w:color="auto" w:fill="1F497D"/>
          </w:tcPr>
          <w:p>
            <w:pPr>
              <w:jc w:val="center"/>
            </w:pPr>
            <w:r>
              <w:rPr>
                <w:b/>
                <w:color w:val="FFFFFF"/>
                <w:sz w:val="20"/>
              </w:rPr>
              <w:t>R²</w:t>
            </w:r>
          </w:p>
        </w:tc>
        <w:tc>
          <w:tcPr>
            <w:tcW w:type="dxa" w:w="1417"/>
            <w:shd w:val="clear" w:color="auto" w:fill="1F497D"/>
          </w:tcPr>
          <w:p>
            <w:pPr>
              <w:jc w:val="center"/>
            </w:pPr>
            <w:r>
              <w:rPr>
                <w:b/>
                <w:color w:val="FFFFFF"/>
                <w:sz w:val="20"/>
              </w:rPr>
              <w:t>Best Use</w:t>
            </w:r>
          </w:p>
        </w:tc>
      </w:tr>
      <w:tr>
        <w:tc>
          <w:tcPr>
            <w:tcW w:type="dxa" w:w="1984"/>
            <w:shd w:val="clear" w:color="auto" w:fill="FFFFFF"/>
          </w:tcPr>
          <w:p>
            <w:pPr>
              <w:jc w:val="center"/>
            </w:pPr>
            <w:r>
              <w:rPr>
                <w:sz w:val="20"/>
              </w:rPr>
              <w:t>Linear Regression</w:t>
            </w:r>
          </w:p>
        </w:tc>
        <w:tc>
          <w:tcPr>
            <w:tcW w:type="dxa" w:w="1701"/>
            <w:shd w:val="clear" w:color="auto" w:fill="FFFFFF"/>
          </w:tcPr>
          <w:p>
            <w:pPr>
              <w:jc w:val="center"/>
            </w:pPr>
            <w:r>
              <w:rPr>
                <w:sz w:val="20"/>
              </w:rPr>
              <w:t>3,242,042</w:t>
            </w:r>
          </w:p>
        </w:tc>
        <w:tc>
          <w:tcPr>
            <w:tcW w:type="dxa" w:w="1701"/>
            <w:shd w:val="clear" w:color="auto" w:fill="FFFFFF"/>
          </w:tcPr>
          <w:p>
            <w:pPr>
              <w:jc w:val="center"/>
            </w:pPr>
            <w:r>
              <w:rPr>
                <w:sz w:val="20"/>
              </w:rPr>
              <w:t>5,217,631</w:t>
            </w:r>
          </w:p>
        </w:tc>
        <w:tc>
          <w:tcPr>
            <w:tcW w:type="dxa" w:w="1417"/>
            <w:shd w:val="clear" w:color="auto" w:fill="FFFFFF"/>
          </w:tcPr>
          <w:p>
            <w:pPr>
              <w:jc w:val="center"/>
            </w:pPr>
            <w:r>
              <w:rPr>
                <w:sz w:val="20"/>
              </w:rPr>
              <w:t>6.17%</w:t>
            </w:r>
          </w:p>
        </w:tc>
        <w:tc>
          <w:tcPr>
            <w:tcW w:type="dxa" w:w="1134"/>
            <w:shd w:val="clear" w:color="auto" w:fill="FFFFFF"/>
          </w:tcPr>
          <w:p>
            <w:pPr>
              <w:jc w:val="center"/>
            </w:pPr>
            <w:r>
              <w:rPr>
                <w:sz w:val="20"/>
              </w:rPr>
              <w:t>0.1054</w:t>
            </w:r>
          </w:p>
        </w:tc>
        <w:tc>
          <w:tcPr>
            <w:tcW w:type="dxa" w:w="1417"/>
            <w:shd w:val="clear" w:color="auto" w:fill="FFFFFF"/>
          </w:tcPr>
          <w:p>
            <w:pPr>
              <w:jc w:val="center"/>
            </w:pPr>
            <w:r>
              <w:rPr>
                <w:sz w:val="20"/>
              </w:rPr>
              <w:t>Interpretable baseline; coefficient analysis</w:t>
            </w:r>
          </w:p>
        </w:tc>
      </w:tr>
      <w:tr>
        <w:tc>
          <w:tcPr>
            <w:tcW w:type="dxa" w:w="1984"/>
            <w:shd w:val="clear" w:color="auto" w:fill="EBF3FA"/>
          </w:tcPr>
          <w:p>
            <w:pPr>
              <w:jc w:val="center"/>
            </w:pPr>
            <w:r>
              <w:rPr>
                <w:sz w:val="20"/>
              </w:rPr>
              <w:t>Prophet + Regressors</w:t>
            </w:r>
          </w:p>
        </w:tc>
        <w:tc>
          <w:tcPr>
            <w:tcW w:type="dxa" w:w="1701"/>
            <w:shd w:val="clear" w:color="auto" w:fill="EBF3FA"/>
          </w:tcPr>
          <w:p>
            <w:pPr>
              <w:jc w:val="center"/>
            </w:pPr>
            <w:r>
              <w:rPr>
                <w:sz w:val="20"/>
              </w:rPr>
              <w:t>1,982,322</w:t>
            </w:r>
          </w:p>
        </w:tc>
        <w:tc>
          <w:tcPr>
            <w:tcW w:type="dxa" w:w="1701"/>
            <w:shd w:val="clear" w:color="auto" w:fill="EBF3FA"/>
          </w:tcPr>
          <w:p>
            <w:pPr>
              <w:jc w:val="center"/>
            </w:pPr>
            <w:r>
              <w:rPr>
                <w:sz w:val="20"/>
              </w:rPr>
              <w:t>3,398,326</w:t>
            </w:r>
          </w:p>
        </w:tc>
        <w:tc>
          <w:tcPr>
            <w:tcW w:type="dxa" w:w="1417"/>
            <w:shd w:val="clear" w:color="auto" w:fill="EBF3FA"/>
          </w:tcPr>
          <w:p>
            <w:pPr>
              <w:jc w:val="center"/>
            </w:pPr>
            <w:r>
              <w:rPr>
                <w:sz w:val="20"/>
              </w:rPr>
              <w:t>3.97%</w:t>
            </w:r>
          </w:p>
        </w:tc>
        <w:tc>
          <w:tcPr>
            <w:tcW w:type="dxa" w:w="1134"/>
            <w:shd w:val="clear" w:color="auto" w:fill="EBF3FA"/>
          </w:tcPr>
          <w:p>
            <w:pPr>
              <w:jc w:val="center"/>
            </w:pPr>
            <w:r>
              <w:rPr>
                <w:sz w:val="20"/>
              </w:rPr>
              <w:t>0.6076</w:t>
            </w:r>
          </w:p>
        </w:tc>
        <w:tc>
          <w:tcPr>
            <w:tcW w:type="dxa" w:w="1417"/>
            <w:shd w:val="clear" w:color="auto" w:fill="EBF3FA"/>
          </w:tcPr>
          <w:p>
            <w:pPr>
              <w:jc w:val="center"/>
            </w:pPr>
            <w:r>
              <w:rPr>
                <w:sz w:val="20"/>
              </w:rPr>
              <w:t>Primary forecast model; captures seasonality</w:t>
            </w:r>
          </w:p>
        </w:tc>
      </w:tr>
    </w:tbl>
    <w:p/>
    <w:p>
      <w:pPr>
        <w:spacing w:after="160"/>
      </w:pPr>
      <w:r>
        <w:rPr>
          <w:rFonts w:ascii="Calibri" w:hAnsi="Calibri"/>
          <w:sz w:val="22"/>
        </w:rPr>
        <w:t>Prophet outperforms Linear Regression on all four metrics. The MAPE improvement from 6.17% to 3.97% represents a 35.7% relative reduction in percentage error, while R² improves from 0.11 to 0.61 (5.8× improvement in explained variance). These results strongly favour the Prophet model for operational forecasting, while Linear Regression retains value for coefficient-level business intelligence.</w:t>
      </w:r>
    </w:p>
    <w:p>
      <w:r>
        <w:br w:type="page"/>
      </w:r>
    </w:p>
    <w:p>
      <w:pPr>
        <w:pStyle w:val="Heading1"/>
        <w:spacing w:before="320" w:after="120"/>
      </w:pPr>
      <w:r>
        <w:rPr>
          <w:b/>
          <w:color w:val="1F497D"/>
          <w:sz w:val="32"/>
        </w:rPr>
        <w:t>8.  Conclusion and Recommendations</w:t>
      </w:r>
    </w:p>
    <w:p>
      <w:pPr>
        <w:pStyle w:val="Heading2"/>
        <w:spacing w:before="200" w:after="80"/>
      </w:pPr>
      <w:r>
        <w:rPr>
          <w:b/>
          <w:color w:val="265E8E"/>
          <w:sz w:val="26"/>
        </w:rPr>
        <w:t>8.1.  Conclusion</w:t>
      </w:r>
    </w:p>
    <w:p>
      <w:pPr>
        <w:spacing w:after="160"/>
      </w:pPr>
      <w:r>
        <w:rPr>
          <w:rFonts w:ascii="Calibri" w:hAnsi="Calibri"/>
          <w:sz w:val="22"/>
        </w:rPr>
        <w:t>This study developed and evaluated two forecasting models on the Walmart Weekly Sales dataset: Multiple Linear Regression and Meta Prophet with exogenous regressors. The key findings are:</w:t>
      </w:r>
    </w:p>
    <w:p>
      <w:pPr>
        <w:pStyle w:val="ListBullet"/>
        <w:spacing w:after="60"/>
      </w:pPr>
      <w:r>
        <w:rPr>
          <w:rFonts w:ascii="Calibri" w:hAnsi="Calibri"/>
          <w:sz w:val="22"/>
        </w:rPr>
        <w:t>The dataset exhibits strong seasonal patterns – particularly a December peak (22.4% above mean) and a mid-summer trough – that dominate forecast variance and cannot be captured by a static regression model.</w:t>
      </w:r>
    </w:p>
    <w:p>
      <w:pPr>
        <w:pStyle w:val="ListBullet"/>
        <w:spacing w:after="60"/>
      </w:pPr>
      <w:r>
        <w:rPr>
          <w:rFonts w:ascii="Calibri" w:hAnsi="Calibri"/>
          <w:sz w:val="22"/>
        </w:rPr>
        <w:t>Prophet, by decomposing trend, seasonality, and regressor effects, achieves MAPE = 3.97% and R² = 0.61, significantly outperforming Linear Regression (MAPE = 6.17%, R² = 0.11).</w:t>
      </w:r>
    </w:p>
    <w:p>
      <w:pPr>
        <w:pStyle w:val="ListBullet"/>
        <w:spacing w:after="60"/>
      </w:pPr>
      <w:r>
        <w:rPr>
          <w:rFonts w:ascii="Calibri" w:hAnsi="Calibri"/>
          <w:sz w:val="22"/>
        </w:rPr>
        <w:t>The 2013 forecast projects a mean weekly sales of $41.3M, 11% below the 2010–2012 average, consistent with the observed declining trend and stable economic conditions.</w:t>
      </w:r>
    </w:p>
    <w:p>
      <w:pPr>
        <w:pStyle w:val="ListBullet"/>
        <w:spacing w:after="60"/>
      </w:pPr>
      <w:r>
        <w:rPr>
          <w:rFonts w:ascii="Calibri" w:hAnsi="Calibri"/>
          <w:sz w:val="22"/>
        </w:rPr>
        <w:t>Holiday weeks carry a 7.84% sales premium; temperature and fuel price are the most strongly correlated exogenous variables.</w:t>
      </w:r>
    </w:p>
    <w:p>
      <w:pPr>
        <w:spacing w:after="160"/>
      </w:pPr>
      <w:r>
        <w:rPr>
          <w:rFonts w:ascii="Calibri" w:hAnsi="Calibri"/>
          <w:sz w:val="22"/>
        </w:rPr>
        <w:t>For operational deployment, the Prophet model is recommended as the primary forecasting tool, with Linear Regression retained as an interpretability layer for stakeholder reporting. Forecast accuracy is expected to improve further with longer historical series and the addition of promotional calendar data.</w:t>
      </w:r>
    </w:p>
    <w:p>
      <w:pPr>
        <w:pStyle w:val="Heading2"/>
        <w:spacing w:before="200" w:after="80"/>
      </w:pPr>
      <w:r>
        <w:rPr>
          <w:b/>
          <w:color w:val="265E8E"/>
          <w:sz w:val="26"/>
        </w:rPr>
        <w:t>8.2.  Recommendations for Future Work</w:t>
      </w:r>
    </w:p>
    <w:p>
      <w:pPr>
        <w:pStyle w:val="ListBullet"/>
        <w:spacing w:after="60"/>
      </w:pPr>
      <w:r>
        <w:rPr>
          <w:rFonts w:ascii="Calibri" w:hAnsi="Calibri"/>
          <w:sz w:val="22"/>
        </w:rPr>
        <w:t>Extend the analysis with store-level forecasting to capture location-specific demand patterns not visible in the aggregate series.</w:t>
      </w:r>
    </w:p>
    <w:p>
      <w:pPr>
        <w:pStyle w:val="ListBullet"/>
        <w:spacing w:after="60"/>
      </w:pPr>
      <w:r>
        <w:rPr>
          <w:rFonts w:ascii="Calibri" w:hAnsi="Calibri"/>
          <w:sz w:val="22"/>
        </w:rPr>
        <w:t>Incorporate Gradient Boosting (XGBoost/LightGBM) with rich lag and calendar features as a third benchmark; literature suggests this may achieve MAPE &lt; 3% on similar datasets.</w:t>
      </w:r>
    </w:p>
    <w:p>
      <w:pPr>
        <w:pStyle w:val="ListBullet"/>
        <w:spacing w:after="60"/>
      </w:pPr>
      <w:r>
        <w:rPr>
          <w:rFonts w:ascii="Calibri" w:hAnsi="Calibri"/>
          <w:sz w:val="22"/>
        </w:rPr>
        <w:t>Evaluate LSTM-based models once more historical data (3+ years, 150+ weekly observations) is available to justify the increased model complexity.</w:t>
      </w:r>
    </w:p>
    <w:p>
      <w:pPr>
        <w:pStyle w:val="ListBullet"/>
        <w:spacing w:after="60"/>
      </w:pPr>
      <w:r>
        <w:rPr>
          <w:rFonts w:ascii="Calibri" w:hAnsi="Calibri"/>
          <w:sz w:val="22"/>
        </w:rPr>
        <w:t>Integrate promotional markdown data (available in the full Kaggle competition dataset) as a high-signal regressor.</w:t>
      </w:r>
    </w:p>
    <w:p>
      <w:pPr>
        <w:pStyle w:val="ListBullet"/>
        <w:spacing w:after="60"/>
      </w:pPr>
      <w:r>
        <w:rPr>
          <w:rFonts w:ascii="Calibri" w:hAnsi="Calibri"/>
          <w:sz w:val="22"/>
        </w:rPr>
        <w:t>Implement a rolling-origin cross-validation scheme to obtain unbiased out-of-sample performance estimates.</w:t>
      </w:r>
    </w:p>
    <w:p>
      <w:pPr>
        <w:pStyle w:val="ListBullet"/>
        <w:spacing w:after="60"/>
      </w:pPr>
      <w:r>
        <w:rPr>
          <w:rFonts w:ascii="Calibri" w:hAnsi="Calibri"/>
          <w:sz w:val="22"/>
        </w:rPr>
        <w:t>Deploy the Prophet model as a scheduled inference pipeline (weekly refresh) integrated with the supply chain planning system.</w:t>
      </w:r>
    </w:p>
    <w:p>
      <w:r>
        <w:br w:type="page"/>
      </w:r>
    </w:p>
    <w:p>
      <w:pPr>
        <w:pStyle w:val="Heading1"/>
        <w:spacing w:before="320" w:after="120"/>
      </w:pPr>
      <w:r>
        <w:rPr>
          <w:b/>
          <w:color w:val="1F497D"/>
          <w:sz w:val="32"/>
        </w:rPr>
        <w:t>9.  References</w:t>
      </w:r>
    </w:p>
    <w:p>
      <w:pPr>
        <w:spacing w:after="100"/>
        <w:ind w:left="720" w:hanging="720"/>
      </w:pPr>
      <w:r>
        <w:rPr>
          <w:rFonts w:ascii="Calibri" w:hAnsi="Calibri"/>
          <w:sz w:val="22"/>
        </w:rPr>
        <w:t>Ahmad, T., Chen, H., Shair, J., &amp; Xu, C. (2018). Utility industry transform by employing novel energy forecasting and management methods. Energy, 167, 1166–1178. https://doi.org/10.1016/j.energy.2018.10.151</w:t>
      </w:r>
    </w:p>
    <w:p>
      <w:pPr>
        <w:spacing w:after="100"/>
        <w:ind w:left="720" w:hanging="720"/>
      </w:pPr>
      <w:r>
        <w:rPr>
          <w:rFonts w:ascii="Calibri" w:hAnsi="Calibri"/>
          <w:sz w:val="22"/>
        </w:rPr>
        <w:t>Box, G. E. P., &amp; Jenkins, G. M. (1970). Time series analysis: Forecasting and control. Holden-Day.</w:t>
      </w:r>
    </w:p>
    <w:p>
      <w:pPr>
        <w:spacing w:after="100"/>
        <w:ind w:left="720" w:hanging="720"/>
      </w:pPr>
      <w:r>
        <w:rPr>
          <w:rFonts w:ascii="Calibri" w:hAnsi="Calibri"/>
          <w:sz w:val="22"/>
        </w:rPr>
        <w:t>Box, G. E. P., Jenkins, G. M., Reinsel, G. C., &amp; Ljung, G. M. (2015). Time series analysis: Forecasting and control (5th ed.). Wiley.</w:t>
      </w:r>
    </w:p>
    <w:p>
      <w:pPr>
        <w:spacing w:after="100"/>
        <w:ind w:left="720" w:hanging="720"/>
      </w:pPr>
      <w:r>
        <w:rPr>
          <w:rFonts w:ascii="Calibri" w:hAnsi="Calibri"/>
          <w:sz w:val="22"/>
        </w:rPr>
        <w:t>Breiman, L. (2001). Random forests. Machine Learning, 45(1), 5–32. https://doi.org/10.1023/A:1010933404324</w:t>
      </w:r>
    </w:p>
    <w:p>
      <w:pPr>
        <w:spacing w:after="100"/>
        <w:ind w:left="720" w:hanging="720"/>
      </w:pPr>
      <w:r>
        <w:rPr>
          <w:rFonts w:ascii="Calibri" w:hAnsi="Calibri"/>
          <w:sz w:val="22"/>
        </w:rPr>
        <w:t>Chen, B.-J., Chang, M.-W., &amp; Lin, C.-J. (2004). Load forecasting using support vector machines: A study on EUNITE competition 2001. IEEE Transactions on Power Systems, 19(4), 1821–1830. https://doi.org/10.1109/TPWRS.2004.835679</w:t>
      </w:r>
    </w:p>
    <w:p>
      <w:pPr>
        <w:spacing w:after="100"/>
        <w:ind w:left="720" w:hanging="720"/>
      </w:pPr>
      <w:r>
        <w:rPr>
          <w:rFonts w:ascii="Calibri" w:hAnsi="Calibri"/>
          <w:sz w:val="22"/>
        </w:rPr>
        <w:t>Cho, K., van Merrienboer, B., Gulcehre, C., Bahdanau, D., Bougares, F., Schwenk, H., &amp; Bengio, Y. (2014). Learning phrase representations using RNN encoder-decoder for statistical machine translation. arXiv:1406.1078. https://arxiv.org/abs/1406.1078</w:t>
      </w:r>
    </w:p>
    <w:p>
      <w:pPr>
        <w:spacing w:after="100"/>
        <w:ind w:left="720" w:hanging="720"/>
      </w:pPr>
      <w:r>
        <w:rPr>
          <w:rFonts w:ascii="Calibri" w:hAnsi="Calibri"/>
          <w:sz w:val="22"/>
        </w:rPr>
        <w:t>Fan, G.-F., Peng, L.-L., Hong, W.-C., &amp; Sun, F. (2019). Electric load forecasting by the SVR model with differential empirical mode decomposition and auto regression. Neurocomputing, 323, 173–185.</w:t>
      </w:r>
    </w:p>
    <w:p>
      <w:pPr>
        <w:spacing w:after="100"/>
        <w:ind w:left="720" w:hanging="720"/>
      </w:pPr>
      <w:r>
        <w:rPr>
          <w:rFonts w:ascii="Calibri" w:hAnsi="Calibri"/>
          <w:sz w:val="22"/>
        </w:rPr>
        <w:t>Friedman, J. H. (2001). Greedy function approximation: A gradient boosting machine. Annals of Statistics, 29(5), 1189–1232. https://doi.org/10.1214/aos/1013203451</w:t>
      </w:r>
    </w:p>
    <w:p>
      <w:pPr>
        <w:spacing w:after="100"/>
        <w:ind w:left="720" w:hanging="720"/>
      </w:pPr>
      <w:r>
        <w:rPr>
          <w:rFonts w:ascii="Calibri" w:hAnsi="Calibri"/>
          <w:sz w:val="22"/>
        </w:rPr>
        <w:t>Hochreiter, S. (1991). Untersuchungen zu dynamischen neuronalen netzen [Diploma thesis]. Technische Universität München.</w:t>
      </w:r>
    </w:p>
    <w:p>
      <w:pPr>
        <w:spacing w:after="100"/>
        <w:ind w:left="720" w:hanging="720"/>
      </w:pPr>
      <w:r>
        <w:rPr>
          <w:rFonts w:ascii="Calibri" w:hAnsi="Calibri"/>
          <w:sz w:val="22"/>
        </w:rPr>
        <w:t>Hochreiter, S., &amp; Schmidhuber, J. (1997). Long short-term memory. Neural Computation, 9(8), 1735–1780. https://doi.org/10.1162/neco.1997.9.8.1735</w:t>
      </w:r>
    </w:p>
    <w:p>
      <w:pPr>
        <w:spacing w:after="100"/>
        <w:ind w:left="720" w:hanging="720"/>
      </w:pPr>
      <w:r>
        <w:rPr>
          <w:rFonts w:ascii="Calibri" w:hAnsi="Calibri"/>
          <w:sz w:val="22"/>
        </w:rPr>
        <w:t>Hyndman, R. J., &amp; Athanasopoulos, G. (2021). Forecasting: Principles and practice (3rd ed.). OTexts. https://otexts.com/fpp3/</w:t>
      </w:r>
    </w:p>
    <w:p>
      <w:pPr>
        <w:spacing w:after="100"/>
        <w:ind w:left="720" w:hanging="720"/>
      </w:pPr>
      <w:r>
        <w:rPr>
          <w:rFonts w:ascii="Calibri" w:hAnsi="Calibri"/>
          <w:sz w:val="22"/>
        </w:rPr>
        <w:t>Kong, W., Dong, Z. Y., Jia, Y., Hill, D. J., Xu, Y., &amp; Zhang, Y. (2017). Short-term residential load forecasting based on LSTM recurrent neural network. IEEE Transactions on Smart Grid, 10(1), 841–851.</w:t>
      </w:r>
    </w:p>
    <w:p>
      <w:pPr>
        <w:spacing w:after="100"/>
        <w:ind w:left="720" w:hanging="720"/>
      </w:pPr>
      <w:r>
        <w:rPr>
          <w:rFonts w:ascii="Calibri" w:hAnsi="Calibri"/>
          <w:sz w:val="22"/>
        </w:rPr>
        <w:t>Lusis, P., Khalilpour, K. R., Andrew, L., &amp; Liebman, A. (2017). Short-term residential load forecasting: Impact of calendar effects and forecast granularity. Applied Energy, 205, 654–669.</w:t>
      </w:r>
    </w:p>
    <w:p>
      <w:pPr>
        <w:spacing w:after="100"/>
        <w:ind w:left="720" w:hanging="720"/>
      </w:pPr>
      <w:r>
        <w:rPr>
          <w:rFonts w:ascii="Calibri" w:hAnsi="Calibri"/>
          <w:sz w:val="22"/>
        </w:rPr>
        <w:t>Makridakis, S., Spiliotis, E., &amp; Assimakopoulos, V. (2018). The M4 competition: 100,000 time series and 61 forecasting methods. International Journal of Forecasting, 36(1), 54–74. https://doi.org/10.1016/j.ijforecast.2019.04.014</w:t>
      </w:r>
    </w:p>
    <w:p>
      <w:pPr>
        <w:spacing w:after="100"/>
        <w:ind w:left="720" w:hanging="720"/>
      </w:pPr>
      <w:r>
        <w:rPr>
          <w:rFonts w:ascii="Calibri" w:hAnsi="Calibri"/>
          <w:sz w:val="22"/>
        </w:rPr>
        <w:t>Marino, D. L., Amarasinghe, K., &amp; Manic, M. (2016). Building energy load forecasting using deep neural networks. In Proceedings of IEEE IECON 2016 (pp. 7046–7051). IEEE.</w:t>
      </w:r>
    </w:p>
    <w:p>
      <w:pPr>
        <w:spacing w:after="100"/>
        <w:ind w:left="720" w:hanging="720"/>
      </w:pPr>
      <w:r>
        <w:rPr>
          <w:rFonts w:ascii="Calibri" w:hAnsi="Calibri"/>
          <w:sz w:val="22"/>
        </w:rPr>
        <w:t>Taylor, S. J., &amp; Letham, B. (2018). Forecasting at scale. The American Statistician, 72(1), 37–45. https://doi.org/10.1080/00031305.2017.1380080</w:t>
      </w:r>
    </w:p>
    <w:p>
      <w:pPr>
        <w:spacing w:after="100"/>
        <w:ind w:left="720" w:hanging="720"/>
      </w:pPr>
      <w:r>
        <w:rPr>
          <w:rFonts w:ascii="Calibri" w:hAnsi="Calibri"/>
          <w:sz w:val="22"/>
        </w:rPr>
        <w:t>Taylor, J. W., &amp; McSharry, P. E. (2007). Short-term load forecasting methods: An evaluation based on European data. IEEE Transactions on Power Systems, 22(4), 2213–2219.</w:t>
      </w:r>
    </w:p>
    <w:p>
      <w:pPr>
        <w:spacing w:after="100"/>
        <w:ind w:left="720" w:hanging="720"/>
      </w:pPr>
      <w:r>
        <w:rPr>
          <w:rFonts w:ascii="Calibri" w:hAnsi="Calibri"/>
          <w:sz w:val="22"/>
        </w:rPr>
        <w:t>Tibshirani, R. (1996). Regression shrinkage and selection via the lasso. Journal of the Royal Statistical Society: Series B (Methodological), 58(1), 267–288.</w:t>
      </w:r>
    </w:p>
    <w:p>
      <w:pPr>
        <w:spacing w:after="100"/>
        <w:ind w:left="720" w:hanging="720"/>
      </w:pPr>
      <w:r>
        <w:rPr>
          <w:rFonts w:ascii="Calibri" w:hAnsi="Calibri"/>
          <w:sz w:val="22"/>
        </w:rPr>
        <w:t>Walmart. (2013). Walmart recruiting - store sales forecasting [Dataset]. Kaggle. https://www.kaggle.com/c/walmart-recruiting-store-sales-forecasting</w:t>
      </w:r>
    </w:p>
    <w:p>
      <w:pPr>
        <w:spacing w:after="100"/>
        <w:ind w:left="720" w:hanging="720"/>
      </w:pPr>
      <w:r>
        <w:rPr>
          <w:rFonts w:ascii="Calibri" w:hAnsi="Calibri"/>
          <w:sz w:val="22"/>
        </w:rPr>
        <w:t>Weron, R. (2014). Electricity price forecasting: A review of the state-of-the-art with a look into the future. International Journal of Forecasting, 30(4), 1030–1081.</w:t>
      </w:r>
    </w:p>
    <w:p>
      <w:pPr>
        <w:spacing w:after="100"/>
        <w:ind w:left="720" w:hanging="720"/>
      </w:pPr>
      <w:r>
        <w:rPr>
          <w:rFonts w:ascii="Calibri" w:hAnsi="Calibri"/>
          <w:sz w:val="22"/>
        </w:rPr>
        <w:t>Zhou, H., Zhang, S., Peng, J., Zhang, S., Li, J., Xiong, H., &amp; Zhang, W. (2021). Informer: Beyond efficient transformer for long sequence time-series forecasting. In Proceedings of AAAI 2021 (pp. 11106–11115).</w:t>
      </w:r>
    </w:p>
    <w:p>
      <w:r>
        <w:br w:type="page"/>
      </w:r>
    </w:p>
    <w:p>
      <w:pPr>
        <w:pStyle w:val="Heading1"/>
        <w:spacing w:before="320" w:after="120"/>
      </w:pPr>
      <w:r>
        <w:rPr>
          <w:b/>
          <w:color w:val="1F497D"/>
          <w:sz w:val="32"/>
        </w:rPr>
        <w:t>10.  Appendix I</w:t>
      </w:r>
    </w:p>
    <w:p>
      <w:pPr>
        <w:pStyle w:val="Heading2"/>
        <w:spacing w:before="200" w:after="80"/>
      </w:pPr>
      <w:r>
        <w:rPr>
          <w:b/>
          <w:color w:val="265E8E"/>
          <w:sz w:val="26"/>
        </w:rPr>
        <w:t>10.1.  Data Collection Contract (If Exists)</w:t>
      </w:r>
    </w:p>
    <w:p>
      <w:pPr>
        <w:spacing w:after="160"/>
      </w:pPr>
      <w:r>
        <w:rPr>
          <w:rFonts w:ascii="Calibri" w:hAnsi="Calibri"/>
          <w:sz w:val="22"/>
        </w:rPr>
        <w:t>Not applicable. The Walmart dataset is publicly available on Kaggle under the competition's data terms, which permit academic and research use. No data collection contract was required for this study.</w:t>
      </w:r>
    </w:p>
    <w:p>
      <w:pPr>
        <w:pStyle w:val="Heading2"/>
        <w:spacing w:before="200" w:after="80"/>
      </w:pPr>
      <w:r>
        <w:rPr>
          <w:b/>
          <w:color w:val="265E8E"/>
          <w:sz w:val="26"/>
        </w:rPr>
        <w:t>10.2.  Contract with External Company (If Exists)</w:t>
      </w:r>
    </w:p>
    <w:p>
      <w:pPr>
        <w:spacing w:after="160"/>
      </w:pPr>
      <w:r>
        <w:rPr>
          <w:rFonts w:ascii="Calibri" w:hAnsi="Calibri"/>
          <w:sz w:val="22"/>
        </w:rPr>
        <w:t>Not applicable. This research was conducted entirely within the MDA512 Data Science module without involvement of external commercial partners.</w:t>
      </w:r>
    </w:p>
    <w:p>
      <w:r>
        <w:br w:type="page"/>
      </w:r>
    </w:p>
    <w:p>
      <w:pPr>
        <w:pStyle w:val="Heading1"/>
        <w:spacing w:before="320" w:after="120"/>
      </w:pPr>
      <w:r>
        <w:rPr>
          <w:b/>
          <w:color w:val="1F497D"/>
          <w:sz w:val="32"/>
        </w:rPr>
        <w:t>11.  Appendix II – Code Snippets</w:t>
      </w:r>
    </w:p>
    <w:p>
      <w:pPr>
        <w:spacing w:after="160"/>
      </w:pPr>
      <w:r>
        <w:rPr>
          <w:rFonts w:ascii="Calibri" w:hAnsi="Calibri"/>
          <w:sz w:val="22"/>
        </w:rPr>
        <w:t>The complete annotated implementation is provided in MDA512_ASSIGNMENT_2.ipynb. Key pipeline stages are reproduced below.</w:t>
      </w:r>
    </w:p>
    <w:p>
      <w:r>
        <w:rPr>
          <w:b/>
          <w:sz w:val="22"/>
        </w:rPr>
        <w:t>Step 1 – Data Ingestion and Aggregation</w:t>
      </w:r>
    </w:p>
    <w:p>
      <w:pPr>
        <w:spacing w:after="80"/>
        <w:ind w:left="567"/>
        <w:shd w:val="clear" w:color="auto" w:fill="F2F2F2"/>
      </w:pPr>
      <w:r>
        <w:rPr>
          <w:rFonts w:ascii="Courier New" w:hAnsi="Courier New"/>
          <w:sz w:val="18"/>
        </w:rPr>
        <w:t>import pandas as pd, numpy as np</w:t>
        <w:br/>
        <w:t>df = pd.read_csv('Walmart.csv')</w:t>
        <w:br/>
        <w:t>df['Date'] = pd.to_datetime(df['Date'], format='%d-%m-%Y')</w:t>
        <w:br/>
        <w:t>df = df.sort_values('Date')</w:t>
        <w:br/>
        <w:t>df_total = df.groupby('Date').agg({</w:t>
        <w:br/>
        <w:t xml:space="preserve">    'Weekly_Sales': 'sum', 'Holiday_Flag': 'max',</w:t>
        <w:br/>
        <w:t xml:space="preserve">    'Temperature': 'mean', 'Fuel_Price': 'mean',</w:t>
        <w:br/>
        <w:t xml:space="preserve">    'CPI': 'mean', 'Unemployment': 'mean'</w:t>
        <w:br/>
        <w:t>}).reset_index()</w:t>
        <w:br/>
        <w:t># Result: 143 weekly observations, 0 missing values</w:t>
      </w:r>
    </w:p>
    <w:p>
      <w:r>
        <w:rPr>
          <w:b/>
          <w:sz w:val="22"/>
        </w:rPr>
        <w:t>Step 2 – Feature Scaling</w:t>
      </w:r>
    </w:p>
    <w:p>
      <w:pPr>
        <w:spacing w:after="80"/>
        <w:ind w:left="567"/>
        <w:shd w:val="clear" w:color="auto" w:fill="F2F2F2"/>
      </w:pPr>
      <w:r>
        <w:rPr>
          <w:rFonts w:ascii="Courier New" w:hAnsi="Courier New"/>
          <w:sz w:val="18"/>
        </w:rPr>
        <w:t>from sklearn.preprocessing import StandardScaler</w:t>
        <w:br/>
        <w:t>scaler = StandardScaler()</w:t>
        <w:br/>
        <w:t>cont_cols = ['Temperature', 'Fuel_Price', 'CPI', 'Unemployment']</w:t>
        <w:br/>
        <w:t>df_total[cont_cols] = scaler.fit_transform(df_total[cont_cols])</w:t>
      </w:r>
    </w:p>
    <w:p>
      <w:r>
        <w:rPr>
          <w:b/>
          <w:sz w:val="22"/>
        </w:rPr>
        <w:t>Step 3 – Multiple Linear Regression</w:t>
      </w:r>
    </w:p>
    <w:p>
      <w:pPr>
        <w:spacing w:after="80"/>
        <w:ind w:left="567"/>
        <w:shd w:val="clear" w:color="auto" w:fill="F2F2F2"/>
      </w:pPr>
      <w:r>
        <w:rPr>
          <w:rFonts w:ascii="Courier New" w:hAnsi="Courier New"/>
          <w:sz w:val="18"/>
        </w:rPr>
        <w:t>from sklearn.linear_model import LinearRegression</w:t>
        <w:br/>
        <w:t>from sklearn.model_selection import train_test_split</w:t>
        <w:br/>
        <w:t>from sklearn.metrics import mean_absolute_error, mean_squared_error, r2_score</w:t>
        <w:br/>
        <w:t>features = ['Holiday_Flag','Temperature','Fuel_Price','CPI','Unemployment']</w:t>
        <w:br/>
        <w:t>X = df_total[features]</w:t>
        <w:br/>
        <w:t>y = df_total['Weekly_Sales']</w:t>
        <w:br/>
        <w:t>X_train, X_test, y_train, y_test = train_test_split(</w:t>
        <w:br/>
        <w:t xml:space="preserve">    X, y, test_size=0.2, random_state=42)</w:t>
        <w:br/>
        <w:t>lr = LinearRegression().fit(X_train, y_train)</w:t>
        <w:br/>
        <w:t>y_pred = lr.predict(X_test)</w:t>
        <w:br/>
        <w:t># MAE=$3,242,042  RMSE=$5,217,631  MAPE=6.17%  R2=0.1054</w:t>
      </w:r>
    </w:p>
    <w:p>
      <w:r>
        <w:rPr>
          <w:b/>
          <w:sz w:val="22"/>
        </w:rPr>
        <w:t>Step 4 – Prophet Model with Exogenous Regressors</w:t>
      </w:r>
    </w:p>
    <w:p>
      <w:pPr>
        <w:spacing w:after="80"/>
        <w:ind w:left="567"/>
        <w:shd w:val="clear" w:color="auto" w:fill="F2F2F2"/>
      </w:pPr>
      <w:r>
        <w:rPr>
          <w:rFonts w:ascii="Courier New" w:hAnsi="Courier New"/>
          <w:sz w:val="18"/>
        </w:rPr>
        <w:t>from prophet import Prophet</w:t>
        <w:br/>
        <w:t>prophet_df = df_total.rename(columns={'Date':'ds','Weekly_Sales':'y'})</w:t>
        <w:br/>
        <w:t>model = Prophet(weekly_seasonality=True, yearly_seasonality=True)</w:t>
        <w:br/>
        <w:t>for col in ['Holiday_Flag','Temperature','Fuel_Price','CPI','Unemployment']:</w:t>
        <w:br/>
        <w:t xml:space="preserve">    model.add_regressor(col)</w:t>
        <w:br/>
        <w:t>model.fit(prophet_df)</w:t>
        <w:br/>
        <w:t>future = model.make_future_dataframe(periods=52, freq='W')</w:t>
        <w:br/>
        <w:t>for col in ['Holiday_Flag','Temperature','Fuel_Price','CPI','Unemployment']:</w:t>
        <w:br/>
        <w:t xml:space="preserve">    last = prophet_df[col].iloc[-1]</w:t>
        <w:br/>
        <w:t xml:space="preserve">    future[col] = prophet_df.set_index('ds').reindex(</w:t>
        <w:br/>
        <w:t xml:space="preserve">        future['ds'])[col].fillna(last).values</w:t>
        <w:br/>
        <w:t>forecast = model.predict(future)</w:t>
        <w:br/>
        <w:t># MAE=$1,982,322  RMSE=$3,398,326  MAPE=3.97%  R2=0.6076</w:t>
      </w:r>
    </w:p>
    <w:p>
      <w:r>
        <w:rPr>
          <w:b/>
          <w:sz w:val="22"/>
        </w:rPr>
        <w:t>Step 5 – Evaluation Metrics</w:t>
      </w:r>
    </w:p>
    <w:p>
      <w:pPr>
        <w:spacing w:after="80"/>
        <w:ind w:left="567"/>
        <w:shd w:val="clear" w:color="auto" w:fill="F2F2F2"/>
      </w:pPr>
      <w:r>
        <w:rPr>
          <w:rFonts w:ascii="Courier New" w:hAnsi="Courier New"/>
          <w:sz w:val="18"/>
        </w:rPr>
        <w:t>fv = forecast.set_index('ds').join(</w:t>
        <w:br/>
        <w:t xml:space="preserve">    prophet_df.set_index('ds'), rsuffix='_actual')</w:t>
        <w:br/>
        <w:t>fv = fv.dropna(subset=['y','yhat'])</w:t>
        <w:br/>
        <w:t>mae  = mean_absolute_error(fv['y'], fv['yhat'])</w:t>
        <w:br/>
        <w:t>rmse = np.sqrt(mean_squared_error(fv['y'], fv['yhat']))</w:t>
        <w:br/>
        <w:t>mape = np.mean(np.abs((fv['y']-fv['yhat'])/fv['y']))*100</w:t>
        <w:br/>
        <w:t>r2   = r2_score(fv['y'], fv['yhat'])</w:t>
        <w:br/>
        <w:t>print(f'MAE={mae:,.0f}  RMSE={rmse:,.0f}  MAPE={mape:.2f}%  R2={r2:.4f}')</w:t>
      </w:r>
    </w:p>
    <w:p>
      <w:r>
        <w:rPr>
          <w:b/>
          <w:sz w:val="22"/>
        </w:rPr>
        <w:t>Step 6 – 2013 Forecast Extraction</w:t>
      </w:r>
    </w:p>
    <w:p>
      <w:pPr>
        <w:spacing w:after="80"/>
        <w:ind w:left="567"/>
        <w:shd w:val="clear" w:color="auto" w:fill="F2F2F2"/>
      </w:pPr>
      <w:r>
        <w:rPr>
          <w:rFonts w:ascii="Courier New" w:hAnsi="Courier New"/>
          <w:sz w:val="18"/>
        </w:rPr>
        <w:t>f2013 = forecast[forecast['ds'].dt.year==2013][</w:t>
        <w:br/>
        <w:t xml:space="preserve">    ['ds','yhat','yhat_lower','yhat_upper']]</w:t>
        <w:br/>
        <w:t>print(f'Mean 2013 weekly forecast: ${f2013.yhat.mean():,.0f}')</w:t>
        <w:br/>
        <w:t>print(f'Range: ${f2013.yhat.min():,.0f} – ${f2013.yhat.max():,.0f}')</w:t>
        <w:br/>
        <w:t>model.plot(forecast); plt.title('Walmart Weekly Sales Forecast')</w:t>
        <w:br/>
        <w:t>model.plot_components(forecast)</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