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52B4D"/>
          <w:sz w:val="52"/>
        </w:rPr>
        <w:t>Supply Chain Emissions Forecasting Framework</w:t>
      </w:r>
    </w:p>
    <w:p>
      <w:pPr>
        <w:jc w:val="center"/>
      </w:pPr>
      <w:r>
        <w:rPr>
          <w:rFonts w:ascii="Aptos" w:hAnsi="Aptos"/>
          <w:color w:val="5D6571"/>
          <w:sz w:val="26"/>
        </w:rPr>
        <w:t>End-to-end methodology for supplier-level emissions forecasting, targets, benchmarks, risk, and dashboards</w:t>
      </w:r>
    </w:p>
    <w:p/>
    <w:p>
      <w:pPr>
        <w:pStyle w:val="ListBullet"/>
      </w:pPr>
      <w:r>
        <w:rPr>
          <w:rFonts w:ascii="Aptos" w:hAnsi="Aptos"/>
        </w:rPr>
        <w:t>Audience: ESG, Procurement, Sustainability, Data Science, Finance, and Audit teams</w:t>
      </w:r>
    </w:p>
    <w:p>
      <w:pPr>
        <w:pStyle w:val="ListBullet"/>
      </w:pPr>
      <w:r>
        <w:rPr>
          <w:rFonts w:ascii="Aptos" w:hAnsi="Aptos"/>
        </w:rPr>
        <w:t>Implementation: Python, Excel, and Qlik Sense</w:t>
      </w:r>
    </w:p>
    <w:p>
      <w:pPr>
        <w:pStyle w:val="ListBullet"/>
      </w:pPr>
      <w:r>
        <w:rPr>
          <w:rFonts w:ascii="Aptos" w:hAnsi="Aptos"/>
        </w:rPr>
        <w:t>Core design: direct historical/current emissions with validation controls</w:t>
      </w:r>
    </w:p>
    <w:p>
      <w:pPr>
        <w:pStyle w:val="ListBullet"/>
      </w:pPr>
      <w:r>
        <w:rPr>
          <w:rFonts w:ascii="Aptos" w:hAnsi="Aptos"/>
        </w:rPr>
        <w:t>Supplemental benchmarks: historical trend, spend-based emissions, and revenue-based emissions</w:t>
      </w:r>
    </w:p>
    <w:p>
      <w:r>
        <w:br w:type="page"/>
      </w:r>
    </w:p>
    <w:p>
      <w:pPr>
        <w:pStyle w:val="Heading1"/>
      </w:pPr>
      <w:r>
        <w:t>Table of Contents</w:t>
      </w:r>
    </w:p>
    <w:p>
      <w:pPr>
        <w:pStyle w:val="ListBullet"/>
      </w:pPr>
      <w:r>
        <w:t>1. Business Objective</w:t>
      </w:r>
    </w:p>
    <w:p>
      <w:pPr>
        <w:pStyle w:val="ListBullet"/>
      </w:pPr>
      <w:r>
        <w:t>2. Data Architecture</w:t>
      </w:r>
    </w:p>
    <w:p>
      <w:pPr>
        <w:pStyle w:val="ListBullet2"/>
      </w:pPr>
      <w:r>
        <w:rPr>
          <w:sz w:val="18"/>
        </w:rPr>
        <w:t>Core datasets</w:t>
      </w:r>
    </w:p>
    <w:p>
      <w:pPr>
        <w:pStyle w:val="ListBullet2"/>
      </w:pPr>
      <w:r>
        <w:rPr>
          <w:sz w:val="18"/>
        </w:rPr>
        <w:t>Recommended model flow</w:t>
      </w:r>
    </w:p>
    <w:p>
      <w:pPr>
        <w:pStyle w:val="ListBullet"/>
      </w:pPr>
      <w:r>
        <w:t>3. Source Data Design</w:t>
      </w:r>
    </w:p>
    <w:p>
      <w:pPr>
        <w:pStyle w:val="ListBullet2"/>
      </w:pPr>
      <w:r>
        <w:rPr>
          <w:sz w:val="18"/>
        </w:rPr>
        <w:t>Supporting calculated attributes</w:t>
      </w:r>
    </w:p>
    <w:p>
      <w:pPr>
        <w:pStyle w:val="ListBullet"/>
      </w:pPr>
      <w:r>
        <w:t>4. Total Emission Value Validation</w:t>
      </w:r>
    </w:p>
    <w:p>
      <w:pPr>
        <w:pStyle w:val="ListBullet2"/>
      </w:pPr>
      <w:r>
        <w:rPr>
          <w:sz w:val="18"/>
        </w:rPr>
        <w:t>Why the 6-level waterfall is not required here</w:t>
      </w:r>
    </w:p>
    <w:p>
      <w:pPr>
        <w:pStyle w:val="ListBullet2"/>
      </w:pPr>
      <w:r>
        <w:rPr>
          <w:sz w:val="18"/>
        </w:rPr>
        <w:t>Direct input logic</w:t>
      </w:r>
    </w:p>
    <w:p>
      <w:pPr>
        <w:pStyle w:val="ListBullet2"/>
      </w:pPr>
      <w:r>
        <w:rPr>
          <w:sz w:val="18"/>
        </w:rPr>
        <w:t>Supplemental benchmark calculations</w:t>
      </w:r>
    </w:p>
    <w:p>
      <w:pPr>
        <w:pStyle w:val="ListBullet2"/>
      </w:pPr>
      <w:r>
        <w:rPr>
          <w:sz w:val="18"/>
        </w:rPr>
        <w:t>Required validation flags</w:t>
      </w:r>
    </w:p>
    <w:p>
      <w:pPr>
        <w:pStyle w:val="ListBullet"/>
      </w:pPr>
      <w:r>
        <w:t>5. Forecasting Methodology</w:t>
      </w:r>
    </w:p>
    <w:p>
      <w:pPr>
        <w:pStyle w:val="ListBullet2"/>
      </w:pPr>
      <w:r>
        <w:rPr>
          <w:sz w:val="18"/>
        </w:rPr>
        <w:t>Forecast selection hierarchy</w:t>
      </w:r>
    </w:p>
    <w:p>
      <w:pPr>
        <w:pStyle w:val="ListBullet2"/>
      </w:pPr>
      <w:r>
        <w:rPr>
          <w:sz w:val="18"/>
        </w:rPr>
        <w:t>5.1 Supplier Target Pathway</w:t>
      </w:r>
    </w:p>
    <w:p>
      <w:pPr>
        <w:pStyle w:val="ListBullet2"/>
      </w:pPr>
      <w:r>
        <w:rPr>
          <w:sz w:val="18"/>
        </w:rPr>
        <w:t>5.2 Industry Haircut Pathway</w:t>
      </w:r>
    </w:p>
    <w:p>
      <w:pPr>
        <w:pStyle w:val="ListBullet2"/>
      </w:pPr>
      <w:r>
        <w:rPr>
          <w:sz w:val="18"/>
        </w:rPr>
        <w:t>5.3 Historical Trend Pathway</w:t>
      </w:r>
    </w:p>
    <w:p>
      <w:pPr>
        <w:pStyle w:val="ListBullet2"/>
      </w:pPr>
      <w:r>
        <w:rPr>
          <w:sz w:val="18"/>
        </w:rPr>
        <w:t>5.4 Spend-Based and Revenue-Based Emissions Benchmarks</w:t>
      </w:r>
    </w:p>
    <w:p>
      <w:pPr>
        <w:pStyle w:val="ListBullet"/>
      </w:pPr>
      <w:r>
        <w:t>6. Required Forecast Parameters</w:t>
      </w:r>
    </w:p>
    <w:p>
      <w:pPr>
        <w:pStyle w:val="ListBullet"/>
      </w:pPr>
      <w:r>
        <w:t>7. Mathematical Formula Library</w:t>
      </w:r>
    </w:p>
    <w:p>
      <w:pPr>
        <w:pStyle w:val="ListBullet"/>
      </w:pPr>
      <w:r>
        <w:t>8. Excel Formula Library</w:t>
      </w:r>
    </w:p>
    <w:p>
      <w:pPr>
        <w:pStyle w:val="ListBullet"/>
      </w:pPr>
      <w:r>
        <w:t>9. Python Implementation</w:t>
      </w:r>
    </w:p>
    <w:p>
      <w:pPr>
        <w:pStyle w:val="ListBullet"/>
      </w:pPr>
      <w:r>
        <w:t>10. Sample Data Design</w:t>
      </w:r>
    </w:p>
    <w:p>
      <w:pPr>
        <w:pStyle w:val="ListBullet"/>
      </w:pPr>
      <w:r>
        <w:t>11. Final Output Dataset</w:t>
      </w:r>
    </w:p>
    <w:p>
      <w:pPr>
        <w:pStyle w:val="ListBullet"/>
      </w:pPr>
      <w:r>
        <w:t>12. Qlik Sense Dashboard Scope</w:t>
      </w:r>
    </w:p>
    <w:p>
      <w:pPr>
        <w:pStyle w:val="ListBullet2"/>
      </w:pPr>
      <w:r>
        <w:rPr>
          <w:sz w:val="18"/>
        </w:rPr>
        <w:t>12.1 Landing Page</w:t>
      </w:r>
    </w:p>
    <w:p>
      <w:pPr>
        <w:pStyle w:val="ListBullet2"/>
      </w:pPr>
      <w:r>
        <w:rPr>
          <w:sz w:val="18"/>
        </w:rPr>
        <w:t>12.2 Executive Summary</w:t>
      </w:r>
    </w:p>
    <w:p>
      <w:pPr>
        <w:pStyle w:val="ListBullet2"/>
      </w:pPr>
      <w:r>
        <w:rPr>
          <w:sz w:val="18"/>
        </w:rPr>
        <w:t>12.3 Supplier Emissions Trend</w:t>
      </w:r>
    </w:p>
    <w:p>
      <w:pPr>
        <w:pStyle w:val="ListBullet2"/>
      </w:pPr>
      <w:r>
        <w:rPr>
          <w:sz w:val="18"/>
        </w:rPr>
        <w:t>12.4 Industry Benchmark</w:t>
      </w:r>
    </w:p>
    <w:p>
      <w:pPr>
        <w:pStyle w:val="ListBullet2"/>
      </w:pPr>
      <w:r>
        <w:rPr>
          <w:sz w:val="18"/>
        </w:rPr>
        <w:t>12.5 Gap-to-Target Analysis</w:t>
      </w:r>
    </w:p>
    <w:p>
      <w:pPr>
        <w:pStyle w:val="ListBullet2"/>
      </w:pPr>
      <w:r>
        <w:rPr>
          <w:sz w:val="18"/>
        </w:rPr>
        <w:t>12.6 Glide Path Analysis</w:t>
      </w:r>
    </w:p>
    <w:p>
      <w:pPr>
        <w:pStyle w:val="ListBullet2"/>
      </w:pPr>
      <w:r>
        <w:rPr>
          <w:sz w:val="18"/>
        </w:rPr>
        <w:t>12.7 Forecast Method Coverage</w:t>
      </w:r>
    </w:p>
    <w:p>
      <w:pPr>
        <w:pStyle w:val="ListBullet2"/>
      </w:pPr>
      <w:r>
        <w:rPr>
          <w:sz w:val="18"/>
        </w:rPr>
        <w:t>12.8 Data Quality Page</w:t>
      </w:r>
    </w:p>
    <w:p>
      <w:pPr>
        <w:pStyle w:val="ListBullet2"/>
      </w:pPr>
      <w:r>
        <w:rPr>
          <w:sz w:val="18"/>
        </w:rPr>
        <w:t>12.9 Supplier Risk Heatmap</w:t>
      </w:r>
    </w:p>
    <w:p>
      <w:pPr>
        <w:pStyle w:val="ListBullet2"/>
      </w:pPr>
      <w:r>
        <w:rPr>
          <w:sz w:val="18"/>
        </w:rPr>
        <w:t>12.10 Scenario Analysis</w:t>
      </w:r>
    </w:p>
    <w:p>
      <w:pPr>
        <w:pStyle w:val="ListBullet"/>
      </w:pPr>
      <w:r>
        <w:t>13. Validation Checks</w:t>
      </w:r>
    </w:p>
    <w:p>
      <w:pPr>
        <w:pStyle w:val="ListBullet"/>
      </w:pPr>
      <w:r>
        <w:t>14. Advantages, Drawbacks, Assumptions, and Risks</w:t>
      </w:r>
    </w:p>
    <w:p>
      <w:pPr>
        <w:pStyle w:val="ListBullet2"/>
      </w:pPr>
      <w:r>
        <w:rPr>
          <w:sz w:val="18"/>
        </w:rPr>
        <w:t>Advantages</w:t>
      </w:r>
    </w:p>
    <w:p>
      <w:pPr>
        <w:pStyle w:val="ListBullet2"/>
      </w:pPr>
      <w:r>
        <w:rPr>
          <w:sz w:val="18"/>
        </w:rPr>
        <w:t>Drawbacks</w:t>
      </w:r>
    </w:p>
    <w:p>
      <w:pPr>
        <w:pStyle w:val="ListBullet2"/>
      </w:pPr>
      <w:r>
        <w:rPr>
          <w:sz w:val="18"/>
        </w:rPr>
        <w:t>Key assumptions</w:t>
      </w:r>
    </w:p>
    <w:p>
      <w:pPr>
        <w:pStyle w:val="ListBullet2"/>
      </w:pPr>
      <w:r>
        <w:rPr>
          <w:sz w:val="18"/>
        </w:rPr>
        <w:t>Risks</w:t>
      </w:r>
    </w:p>
    <w:p>
      <w:pPr>
        <w:pStyle w:val="ListBullet"/>
      </w:pPr>
      <w:r>
        <w:t>15. Future Enhancements</w:t>
      </w:r>
    </w:p>
    <w:p>
      <w:r>
        <w:br w:type="page"/>
      </w:r>
    </w:p>
    <w:p>
      <w:pPr>
        <w:pStyle w:val="Heading1"/>
      </w:pPr>
      <w:r>
        <w:t>Supply Chain Emissions Forecasting Framework</w:t>
      </w:r>
    </w:p>
    <w:p>
      <w:pPr>
        <w:pStyle w:val="Heading1"/>
      </w:pPr>
      <w:r>
        <w:t>1. Business Objective</w:t>
      </w:r>
    </w:p>
    <w:p>
      <w:r>
        <w:t>The objective is to forecast supplier-level greenhouse gas emissions from historical years to future target years using a transparent, auditable, and scalable mathematical model. The framework supports:</w:t>
      </w:r>
    </w:p>
    <w:p>
      <w:pPr>
        <w:pStyle w:val="ListBullet"/>
      </w:pPr>
      <w:r>
        <w:t>Supplier-specific decarbonization targets when supplier target data exists.</w:t>
      </w:r>
    </w:p>
    <w:p>
      <w:pPr>
        <w:pStyle w:val="ListBullet"/>
      </w:pPr>
      <w:r>
        <w:t>Industry-level target pathways when supplier-specific targets are unavailable.</w:t>
      </w:r>
    </w:p>
    <w:p>
      <w:pPr>
        <w:pStyle w:val="ListBullet"/>
      </w:pPr>
      <w:r>
        <w:t>Historical trend forecasting when neither supplier nor industry targets are sufficient.</w:t>
      </w:r>
    </w:p>
    <w:p>
      <w:pPr>
        <w:pStyle w:val="ListBullet"/>
      </w:pPr>
      <w:r>
        <w:t>Python execution, Excel implementation, and Qlik Sense dashboarding.</w:t>
      </w:r>
    </w:p>
    <w:p>
      <w:r>
        <w:t>The model is designed for ESG, Procurement, Sustainability, Data Science, Finance, and Audit teams. Because historical and current emissions are available for all suppliers, the model uses supplied emissions directly and focuses on validation checks, confidence scores, and forecast-method transparency.</w:t>
      </w:r>
    </w:p>
    <w:p>
      <w:pPr>
        <w:pStyle w:val="Heading1"/>
      </w:pPr>
      <w:r>
        <w:t>2. Data Architecture</w:t>
      </w:r>
    </w:p>
    <w:p>
      <w:pPr>
        <w:pStyle w:val="Heading2"/>
      </w:pPr>
      <w:r>
        <w:t>Core datasets</w:t>
      </w:r>
    </w:p>
    <w:p>
      <w:pPr>
        <w:pStyle w:val="ListNumber"/>
      </w:pPr>
      <w:r>
        <w:t>Supplier Master: one row per supplier with supplier identity and segmentation.</w:t>
      </w:r>
    </w:p>
    <w:p>
      <w:pPr>
        <w:pStyle w:val="ListNumber"/>
      </w:pPr>
      <w:r>
        <w:t>Historical Emissions: supplier-year emissions, activity, scope, and factor data.</w:t>
      </w:r>
    </w:p>
    <w:p>
      <w:pPr>
        <w:pStyle w:val="ListNumber"/>
      </w:pPr>
      <w:r>
        <w:t>Supplier Targets: supplier-specific baseline, target year, and target reduction details.</w:t>
      </w:r>
    </w:p>
    <w:p>
      <w:pPr>
        <w:pStyle w:val="ListNumber"/>
      </w:pPr>
      <w:r>
        <w:t>Industry Haircut Pathway: industry reduction assumptions and benchmark factors.</w:t>
      </w:r>
    </w:p>
    <w:p>
      <w:pPr>
        <w:pStyle w:val="ListNumber"/>
      </w:pPr>
      <w:r>
        <w:t>Forecast Output: supplier-year forecast results by forecast year.</w:t>
      </w:r>
    </w:p>
    <w:p>
      <w:pPr>
        <w:pStyle w:val="ListNumber"/>
      </w:pPr>
      <w:r>
        <w:t>Data Dictionary: source and output metadata for governance.</w:t>
      </w:r>
    </w:p>
    <w:p>
      <w:pPr>
        <w:pStyle w:val="ListNumber"/>
      </w:pPr>
      <w:r>
        <w:t>Formula Dictionary: Excel formula library for implementation.</w:t>
      </w:r>
    </w:p>
    <w:p>
      <w:pPr>
        <w:pStyle w:val="Heading2"/>
      </w:pPr>
      <w:r>
        <w:t>Recommended model flow</w:t>
      </w:r>
    </w:p>
    <w:p>
      <w:pPr>
        <w:pStyle w:val="NoSpacing"/>
      </w:pPr>
      <w:r>
        <w:rPr>
          <w:rFonts w:ascii="Courier New" w:hAnsi="Courier New"/>
          <w:sz w:val="17"/>
        </w:rPr>
        <w:t>Supplier Master</w:t>
        <w:br/>
      </w:r>
      <w:r>
        <w:rPr>
          <w:rFonts w:ascii="Courier New" w:hAnsi="Courier New"/>
          <w:sz w:val="17"/>
        </w:rPr>
        <w:t xml:space="preserve">        |</w:t>
        <w:br/>
      </w:r>
      <w:r>
        <w:rPr>
          <w:rFonts w:ascii="Courier New" w:hAnsi="Courier New"/>
          <w:sz w:val="17"/>
        </w:rPr>
        <w:t>Historical Emissions + Supplier Targets + Industry Haircut Pathway</w:t>
        <w:br/>
      </w:r>
      <w:r>
        <w:rPr>
          <w:rFonts w:ascii="Courier New" w:hAnsi="Courier New"/>
          <w:sz w:val="17"/>
        </w:rPr>
        <w:t xml:space="preserve">        |</w:t>
        <w:br/>
      </w:r>
      <w:r>
        <w:rPr>
          <w:rFonts w:ascii="Courier New" w:hAnsi="Courier New"/>
          <w:sz w:val="17"/>
        </w:rPr>
        <w:t>Direct Emissions Validation</w:t>
        <w:br/>
      </w:r>
      <w:r>
        <w:rPr>
          <w:rFonts w:ascii="Courier New" w:hAnsi="Courier New"/>
          <w:sz w:val="17"/>
        </w:rPr>
        <w:t xml:space="preserve">        |</w:t>
        <w:br/>
      </w:r>
      <w:r>
        <w:rPr>
          <w:rFonts w:ascii="Courier New" w:hAnsi="Courier New"/>
          <w:sz w:val="17"/>
        </w:rPr>
        <w:t>Forecast Method Selection</w:t>
        <w:br/>
      </w:r>
      <w:r>
        <w:rPr>
          <w:rFonts w:ascii="Courier New" w:hAnsi="Courier New"/>
          <w:sz w:val="17"/>
        </w:rPr>
        <w:t xml:space="preserve">        |</w:t>
        <w:br/>
      </w:r>
      <w:r>
        <w:rPr>
          <w:rFonts w:ascii="Courier New" w:hAnsi="Courier New"/>
          <w:sz w:val="17"/>
        </w:rPr>
        <w:t>Supplier Target / Industry Haircut / Historical Trend Forecast</w:t>
        <w:br/>
      </w:r>
      <w:r>
        <w:rPr>
          <w:rFonts w:ascii="Courier New" w:hAnsi="Courier New"/>
          <w:sz w:val="17"/>
        </w:rPr>
        <w:t xml:space="preserve">        |</w:t>
        <w:br/>
      </w:r>
      <w:r>
        <w:rPr>
          <w:rFonts w:ascii="Courier New" w:hAnsi="Courier New"/>
          <w:sz w:val="17"/>
        </w:rPr>
        <w:t>Glide Path, Gap-to-Target, Risk, Confidence</w:t>
        <w:br/>
      </w:r>
      <w:r>
        <w:rPr>
          <w:rFonts w:ascii="Courier New" w:hAnsi="Courier New"/>
          <w:sz w:val="17"/>
        </w:rPr>
        <w:t xml:space="preserve">        |</w:t>
        <w:br/>
      </w:r>
      <w:r>
        <w:rPr>
          <w:rFonts w:ascii="Courier New" w:hAnsi="Courier New"/>
          <w:sz w:val="17"/>
        </w:rPr>
        <w:t>CSV, Excel, Qlik Sense Dashboard</w:t>
      </w:r>
    </w:p>
    <w:p>
      <w:pPr>
        <w:pStyle w:val="Heading1"/>
      </w:pPr>
      <w:r>
        <w:t>3. Source Data Design</w:t>
      </w:r>
    </w:p>
    <w:tbl>
      <w:tblPr>
        <w:tblStyle w:val="TableGrid"/>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c>
          <w:tcPr>
            <w:tcW w:type="dxa" w:w="1782"/>
          </w:tcPr>
          <w:p>
            <w:r>
              <w:rPr>
                <w:rFonts w:ascii="Aptos" w:hAnsi="Aptos"/>
                <w:b/>
                <w:color w:val="152B4D"/>
                <w:sz w:val="16"/>
              </w:rPr>
              <w:t>Attribute name</w:t>
            </w:r>
          </w:p>
        </w:tc>
        <w:tc>
          <w:tcPr>
            <w:tcW w:type="dxa" w:w="1782"/>
          </w:tcPr>
          <w:p>
            <w:r>
              <w:rPr>
                <w:rFonts w:ascii="Aptos" w:hAnsi="Aptos"/>
                <w:b/>
                <w:color w:val="152B4D"/>
                <w:sz w:val="16"/>
              </w:rPr>
              <w:t>Description</w:t>
            </w:r>
          </w:p>
        </w:tc>
        <w:tc>
          <w:tcPr>
            <w:tcW w:type="dxa" w:w="1782"/>
          </w:tcPr>
          <w:p>
            <w:r>
              <w:rPr>
                <w:rFonts w:ascii="Aptos" w:hAnsi="Aptos"/>
                <w:b/>
                <w:color w:val="152B4D"/>
                <w:sz w:val="16"/>
              </w:rPr>
              <w:t>Data type</w:t>
            </w:r>
          </w:p>
        </w:tc>
        <w:tc>
          <w:tcPr>
            <w:tcW w:type="dxa" w:w="1782"/>
          </w:tcPr>
          <w:p>
            <w:r>
              <w:rPr>
                <w:rFonts w:ascii="Aptos" w:hAnsi="Aptos"/>
                <w:b/>
                <w:color w:val="152B4D"/>
                <w:sz w:val="16"/>
              </w:rPr>
              <w:t>Source system</w:t>
            </w:r>
          </w:p>
        </w:tc>
        <w:tc>
          <w:tcPr>
            <w:tcW w:type="dxa" w:w="1782"/>
          </w:tcPr>
          <w:p>
            <w:r>
              <w:rPr>
                <w:rFonts w:ascii="Aptos" w:hAnsi="Aptos"/>
                <w:b/>
                <w:color w:val="152B4D"/>
                <w:sz w:val="16"/>
              </w:rPr>
              <w:t>Mandatory / optional</w:t>
            </w:r>
          </w:p>
        </w:tc>
        <w:tc>
          <w:tcPr>
            <w:tcW w:type="dxa" w:w="1782"/>
          </w:tcPr>
          <w:p>
            <w:r>
              <w:rPr>
                <w:rFonts w:ascii="Aptos" w:hAnsi="Aptos"/>
                <w:b/>
                <w:color w:val="152B4D"/>
                <w:sz w:val="16"/>
              </w:rPr>
              <w:t>Business purpose</w:t>
            </w:r>
          </w:p>
        </w:tc>
        <w:tc>
          <w:tcPr>
            <w:tcW w:type="dxa" w:w="1782"/>
          </w:tcPr>
          <w:p>
            <w:r>
              <w:rPr>
                <w:rFonts w:ascii="Aptos" w:hAnsi="Aptos"/>
                <w:b/>
                <w:color w:val="152B4D"/>
                <w:sz w:val="16"/>
              </w:rPr>
              <w:t>Model impact</w:t>
            </w:r>
          </w:p>
        </w:tc>
        <w:tc>
          <w:tcPr>
            <w:tcW w:type="dxa" w:w="1782"/>
          </w:tcPr>
          <w:p>
            <w:r>
              <w:rPr>
                <w:rFonts w:ascii="Aptos" w:hAnsi="Aptos"/>
                <w:b/>
                <w:color w:val="152B4D"/>
                <w:sz w:val="16"/>
              </w:rPr>
              <w:t>Example value</w:t>
            </w:r>
          </w:p>
        </w:tc>
      </w:tr>
      <w:tr>
        <w:tc>
          <w:tcPr>
            <w:tcW w:type="dxa" w:w="1782"/>
          </w:tcPr>
          <w:p>
            <w:r>
              <w:rPr>
                <w:rFonts w:ascii="Aptos" w:hAnsi="Aptos"/>
                <w:sz w:val="16"/>
              </w:rPr>
              <w:t>Supplier_ID</w:t>
            </w:r>
          </w:p>
        </w:tc>
        <w:tc>
          <w:tcPr>
            <w:tcW w:type="dxa" w:w="1782"/>
          </w:tcPr>
          <w:p>
            <w:r>
              <w:rPr>
                <w:rFonts w:ascii="Aptos" w:hAnsi="Aptos"/>
                <w:sz w:val="16"/>
              </w:rPr>
              <w:t>Unique supplier identifier</w:t>
            </w:r>
          </w:p>
        </w:tc>
        <w:tc>
          <w:tcPr>
            <w:tcW w:type="dxa" w:w="1782"/>
          </w:tcPr>
          <w:p>
            <w:r>
              <w:rPr>
                <w:rFonts w:ascii="Aptos" w:hAnsi="Aptos"/>
                <w:sz w:val="16"/>
              </w:rPr>
              <w:t>String</w:t>
            </w:r>
          </w:p>
        </w:tc>
        <w:tc>
          <w:tcPr>
            <w:tcW w:type="dxa" w:w="1782"/>
          </w:tcPr>
          <w:p>
            <w:r>
              <w:rPr>
                <w:rFonts w:ascii="Aptos" w:hAnsi="Aptos"/>
                <w:sz w:val="16"/>
              </w:rPr>
              <w:t>ERP / Supplier master</w:t>
            </w:r>
          </w:p>
        </w:tc>
        <w:tc>
          <w:tcPr>
            <w:tcW w:type="dxa" w:w="1782"/>
          </w:tcPr>
          <w:p>
            <w:r>
              <w:rPr>
                <w:rFonts w:ascii="Aptos" w:hAnsi="Aptos"/>
                <w:sz w:val="16"/>
              </w:rPr>
              <w:t>Mandatory</w:t>
            </w:r>
          </w:p>
        </w:tc>
        <w:tc>
          <w:tcPr>
            <w:tcW w:type="dxa" w:w="1782"/>
          </w:tcPr>
          <w:p>
            <w:r>
              <w:rPr>
                <w:rFonts w:ascii="Aptos" w:hAnsi="Aptos"/>
                <w:sz w:val="16"/>
              </w:rPr>
              <w:t>Stable join key</w:t>
            </w:r>
          </w:p>
        </w:tc>
        <w:tc>
          <w:tcPr>
            <w:tcW w:type="dxa" w:w="1782"/>
          </w:tcPr>
          <w:p>
            <w:r>
              <w:rPr>
                <w:rFonts w:ascii="Aptos" w:hAnsi="Aptos"/>
                <w:sz w:val="16"/>
              </w:rPr>
              <w:t>Groups supplier history and forecasts</w:t>
            </w:r>
          </w:p>
        </w:tc>
        <w:tc>
          <w:tcPr>
            <w:tcW w:type="dxa" w:w="1782"/>
          </w:tcPr>
          <w:p>
            <w:r>
              <w:rPr>
                <w:rFonts w:ascii="Aptos" w:hAnsi="Aptos"/>
                <w:sz w:val="16"/>
              </w:rPr>
              <w:t>SUP-0001</w:t>
            </w:r>
          </w:p>
        </w:tc>
      </w:tr>
      <w:tr>
        <w:tc>
          <w:tcPr>
            <w:tcW w:type="dxa" w:w="1782"/>
          </w:tcPr>
          <w:p>
            <w:r>
              <w:rPr>
                <w:rFonts w:ascii="Aptos" w:hAnsi="Aptos"/>
                <w:sz w:val="16"/>
              </w:rPr>
              <w:t>Supplier_Name</w:t>
            </w:r>
          </w:p>
        </w:tc>
        <w:tc>
          <w:tcPr>
            <w:tcW w:type="dxa" w:w="1782"/>
          </w:tcPr>
          <w:p>
            <w:r>
              <w:rPr>
                <w:rFonts w:ascii="Aptos" w:hAnsi="Aptos"/>
                <w:sz w:val="16"/>
              </w:rPr>
              <w:t>Supplier legal or reporting name</w:t>
            </w:r>
          </w:p>
        </w:tc>
        <w:tc>
          <w:tcPr>
            <w:tcW w:type="dxa" w:w="1782"/>
          </w:tcPr>
          <w:p>
            <w:r>
              <w:rPr>
                <w:rFonts w:ascii="Aptos" w:hAnsi="Aptos"/>
                <w:sz w:val="16"/>
              </w:rPr>
              <w:t>String</w:t>
            </w:r>
          </w:p>
        </w:tc>
        <w:tc>
          <w:tcPr>
            <w:tcW w:type="dxa" w:w="1782"/>
          </w:tcPr>
          <w:p>
            <w:r>
              <w:rPr>
                <w:rFonts w:ascii="Aptos" w:hAnsi="Aptos"/>
                <w:sz w:val="16"/>
              </w:rPr>
              <w:t>ERP / Supplier master</w:t>
            </w:r>
          </w:p>
        </w:tc>
        <w:tc>
          <w:tcPr>
            <w:tcW w:type="dxa" w:w="1782"/>
          </w:tcPr>
          <w:p>
            <w:r>
              <w:rPr>
                <w:rFonts w:ascii="Aptos" w:hAnsi="Aptos"/>
                <w:sz w:val="16"/>
              </w:rPr>
              <w:t>Mandatory</w:t>
            </w:r>
          </w:p>
        </w:tc>
        <w:tc>
          <w:tcPr>
            <w:tcW w:type="dxa" w:w="1782"/>
          </w:tcPr>
          <w:p>
            <w:r>
              <w:rPr>
                <w:rFonts w:ascii="Aptos" w:hAnsi="Aptos"/>
                <w:sz w:val="16"/>
              </w:rPr>
              <w:t>Reporting label</w:t>
            </w:r>
          </w:p>
        </w:tc>
        <w:tc>
          <w:tcPr>
            <w:tcW w:type="dxa" w:w="1782"/>
          </w:tcPr>
          <w:p>
            <w:r>
              <w:rPr>
                <w:rFonts w:ascii="Aptos" w:hAnsi="Aptos"/>
                <w:sz w:val="16"/>
              </w:rPr>
              <w:t>Used in output and dashboards</w:t>
            </w:r>
          </w:p>
        </w:tc>
        <w:tc>
          <w:tcPr>
            <w:tcW w:type="dxa" w:w="1782"/>
          </w:tcPr>
          <w:p>
            <w:r>
              <w:rPr>
                <w:rFonts w:ascii="Aptos" w:hAnsi="Aptos"/>
                <w:sz w:val="16"/>
              </w:rPr>
              <w:t>Electronics Supplier 001</w:t>
            </w:r>
          </w:p>
        </w:tc>
      </w:tr>
      <w:tr>
        <w:tc>
          <w:tcPr>
            <w:tcW w:type="dxa" w:w="1782"/>
          </w:tcPr>
          <w:p>
            <w:r>
              <w:rPr>
                <w:rFonts w:ascii="Aptos" w:hAnsi="Aptos"/>
                <w:sz w:val="16"/>
              </w:rPr>
              <w:t>Supplier_Industry</w:t>
            </w:r>
          </w:p>
        </w:tc>
        <w:tc>
          <w:tcPr>
            <w:tcW w:type="dxa" w:w="1782"/>
          </w:tcPr>
          <w:p>
            <w:r>
              <w:rPr>
                <w:rFonts w:ascii="Aptos" w:hAnsi="Aptos"/>
                <w:sz w:val="16"/>
              </w:rPr>
              <w:t>Industry classification</w:t>
            </w:r>
          </w:p>
        </w:tc>
        <w:tc>
          <w:tcPr>
            <w:tcW w:type="dxa" w:w="1782"/>
          </w:tcPr>
          <w:p>
            <w:r>
              <w:rPr>
                <w:rFonts w:ascii="Aptos" w:hAnsi="Aptos"/>
                <w:sz w:val="16"/>
              </w:rPr>
              <w:t>String</w:t>
            </w:r>
          </w:p>
        </w:tc>
        <w:tc>
          <w:tcPr>
            <w:tcW w:type="dxa" w:w="1782"/>
          </w:tcPr>
          <w:p>
            <w:r>
              <w:rPr>
                <w:rFonts w:ascii="Aptos" w:hAnsi="Aptos"/>
                <w:sz w:val="16"/>
              </w:rPr>
              <w:t>Supplier master / taxonomy</w:t>
            </w:r>
          </w:p>
        </w:tc>
        <w:tc>
          <w:tcPr>
            <w:tcW w:type="dxa" w:w="1782"/>
          </w:tcPr>
          <w:p>
            <w:r>
              <w:rPr>
                <w:rFonts w:ascii="Aptos" w:hAnsi="Aptos"/>
                <w:sz w:val="16"/>
              </w:rPr>
              <w:t>Mandatory</w:t>
            </w:r>
          </w:p>
        </w:tc>
        <w:tc>
          <w:tcPr>
            <w:tcW w:type="dxa" w:w="1782"/>
          </w:tcPr>
          <w:p>
            <w:r>
              <w:rPr>
                <w:rFonts w:ascii="Aptos" w:hAnsi="Aptos"/>
                <w:sz w:val="16"/>
              </w:rPr>
              <w:t>Benchmarking and industry targets</w:t>
            </w:r>
          </w:p>
        </w:tc>
        <w:tc>
          <w:tcPr>
            <w:tcW w:type="dxa" w:w="1782"/>
          </w:tcPr>
          <w:p>
            <w:r>
              <w:rPr>
                <w:rFonts w:ascii="Aptos" w:hAnsi="Aptos"/>
                <w:sz w:val="16"/>
              </w:rPr>
              <w:t>Drives industry haircut and factors</w:t>
            </w:r>
          </w:p>
        </w:tc>
        <w:tc>
          <w:tcPr>
            <w:tcW w:type="dxa" w:w="1782"/>
          </w:tcPr>
          <w:p>
            <w:r>
              <w:rPr>
                <w:rFonts w:ascii="Aptos" w:hAnsi="Aptos"/>
                <w:sz w:val="16"/>
              </w:rPr>
              <w:t>Electronics</w:t>
            </w:r>
          </w:p>
        </w:tc>
      </w:tr>
      <w:tr>
        <w:tc>
          <w:tcPr>
            <w:tcW w:type="dxa" w:w="1782"/>
          </w:tcPr>
          <w:p>
            <w:r>
              <w:rPr>
                <w:rFonts w:ascii="Aptos" w:hAnsi="Aptos"/>
                <w:sz w:val="16"/>
              </w:rPr>
              <w:t>Supplier_Country</w:t>
            </w:r>
          </w:p>
        </w:tc>
        <w:tc>
          <w:tcPr>
            <w:tcW w:type="dxa" w:w="1782"/>
          </w:tcPr>
          <w:p>
            <w:r>
              <w:rPr>
                <w:rFonts w:ascii="Aptos" w:hAnsi="Aptos"/>
                <w:sz w:val="16"/>
              </w:rPr>
              <w:t>Supplier primary country</w:t>
            </w:r>
          </w:p>
        </w:tc>
        <w:tc>
          <w:tcPr>
            <w:tcW w:type="dxa" w:w="1782"/>
          </w:tcPr>
          <w:p>
            <w:r>
              <w:rPr>
                <w:rFonts w:ascii="Aptos" w:hAnsi="Aptos"/>
                <w:sz w:val="16"/>
              </w:rPr>
              <w:t>String</w:t>
            </w:r>
          </w:p>
        </w:tc>
        <w:tc>
          <w:tcPr>
            <w:tcW w:type="dxa" w:w="1782"/>
          </w:tcPr>
          <w:p>
            <w:r>
              <w:rPr>
                <w:rFonts w:ascii="Aptos" w:hAnsi="Aptos"/>
                <w:sz w:val="16"/>
              </w:rPr>
              <w:t>Supplier master</w:t>
            </w:r>
          </w:p>
        </w:tc>
        <w:tc>
          <w:tcPr>
            <w:tcW w:type="dxa" w:w="1782"/>
          </w:tcPr>
          <w:p>
            <w:r>
              <w:rPr>
                <w:rFonts w:ascii="Aptos" w:hAnsi="Aptos"/>
                <w:sz w:val="16"/>
              </w:rPr>
              <w:t>Optional</w:t>
            </w:r>
          </w:p>
        </w:tc>
        <w:tc>
          <w:tcPr>
            <w:tcW w:type="dxa" w:w="1782"/>
          </w:tcPr>
          <w:p>
            <w:r>
              <w:rPr>
                <w:rFonts w:ascii="Aptos" w:hAnsi="Aptos"/>
                <w:sz w:val="16"/>
              </w:rPr>
              <w:t>Geographic segmentation</w:t>
            </w:r>
          </w:p>
        </w:tc>
        <w:tc>
          <w:tcPr>
            <w:tcW w:type="dxa" w:w="1782"/>
          </w:tcPr>
          <w:p>
            <w:r>
              <w:rPr>
                <w:rFonts w:ascii="Aptos" w:hAnsi="Aptos"/>
                <w:sz w:val="16"/>
              </w:rPr>
              <w:t>Dashboard filter and future regional factors</w:t>
            </w:r>
          </w:p>
        </w:tc>
        <w:tc>
          <w:tcPr>
            <w:tcW w:type="dxa" w:w="1782"/>
          </w:tcPr>
          <w:p>
            <w:r>
              <w:rPr>
                <w:rFonts w:ascii="Aptos" w:hAnsi="Aptos"/>
                <w:sz w:val="16"/>
              </w:rPr>
              <w:t>DE</w:t>
            </w:r>
          </w:p>
        </w:tc>
      </w:tr>
      <w:tr>
        <w:tc>
          <w:tcPr>
            <w:tcW w:type="dxa" w:w="1782"/>
          </w:tcPr>
          <w:p>
            <w:r>
              <w:rPr>
                <w:rFonts w:ascii="Aptos" w:hAnsi="Aptos"/>
                <w:sz w:val="16"/>
              </w:rPr>
              <w:t>Supplier_Status</w:t>
            </w:r>
          </w:p>
        </w:tc>
        <w:tc>
          <w:tcPr>
            <w:tcW w:type="dxa" w:w="1782"/>
          </w:tcPr>
          <w:p>
            <w:r>
              <w:rPr>
                <w:rFonts w:ascii="Aptos" w:hAnsi="Aptos"/>
                <w:sz w:val="16"/>
              </w:rPr>
              <w:t>Supplier relationship status</w:t>
            </w:r>
          </w:p>
        </w:tc>
        <w:tc>
          <w:tcPr>
            <w:tcW w:type="dxa" w:w="1782"/>
          </w:tcPr>
          <w:p>
            <w:r>
              <w:rPr>
                <w:rFonts w:ascii="Aptos" w:hAnsi="Aptos"/>
                <w:sz w:val="16"/>
              </w:rPr>
              <w:t>String</w:t>
            </w:r>
          </w:p>
        </w:tc>
        <w:tc>
          <w:tcPr>
            <w:tcW w:type="dxa" w:w="1782"/>
          </w:tcPr>
          <w:p>
            <w:r>
              <w:rPr>
                <w:rFonts w:ascii="Aptos" w:hAnsi="Aptos"/>
                <w:sz w:val="16"/>
              </w:rPr>
              <w:t>Procurement</w:t>
            </w:r>
          </w:p>
        </w:tc>
        <w:tc>
          <w:tcPr>
            <w:tcW w:type="dxa" w:w="1782"/>
          </w:tcPr>
          <w:p>
            <w:r>
              <w:rPr>
                <w:rFonts w:ascii="Aptos" w:hAnsi="Aptos"/>
                <w:sz w:val="16"/>
              </w:rPr>
              <w:t>Optional</w:t>
            </w:r>
          </w:p>
        </w:tc>
        <w:tc>
          <w:tcPr>
            <w:tcW w:type="dxa" w:w="1782"/>
          </w:tcPr>
          <w:p>
            <w:r>
              <w:rPr>
                <w:rFonts w:ascii="Aptos" w:hAnsi="Aptos"/>
                <w:sz w:val="16"/>
              </w:rPr>
              <w:t>Supplier governance</w:t>
            </w:r>
          </w:p>
        </w:tc>
        <w:tc>
          <w:tcPr>
            <w:tcW w:type="dxa" w:w="1782"/>
          </w:tcPr>
          <w:p>
            <w:r>
              <w:rPr>
                <w:rFonts w:ascii="Aptos" w:hAnsi="Aptos"/>
                <w:sz w:val="16"/>
              </w:rPr>
              <w:t>Risk segmentation</w:t>
            </w:r>
          </w:p>
        </w:tc>
        <w:tc>
          <w:tcPr>
            <w:tcW w:type="dxa" w:w="1782"/>
          </w:tcPr>
          <w:p>
            <w:r>
              <w:rPr>
                <w:rFonts w:ascii="Aptos" w:hAnsi="Aptos"/>
                <w:sz w:val="16"/>
              </w:rPr>
              <w:t>Strategic</w:t>
            </w:r>
          </w:p>
        </w:tc>
      </w:tr>
      <w:tr>
        <w:tc>
          <w:tcPr>
            <w:tcW w:type="dxa" w:w="1782"/>
          </w:tcPr>
          <w:p>
            <w:r>
              <w:rPr>
                <w:rFonts w:ascii="Aptos" w:hAnsi="Aptos"/>
                <w:sz w:val="16"/>
              </w:rPr>
              <w:t>Preferred_Supplier_Flag</w:t>
            </w:r>
          </w:p>
        </w:tc>
        <w:tc>
          <w:tcPr>
            <w:tcW w:type="dxa" w:w="1782"/>
          </w:tcPr>
          <w:p>
            <w:r>
              <w:rPr>
                <w:rFonts w:ascii="Aptos" w:hAnsi="Aptos"/>
                <w:sz w:val="16"/>
              </w:rPr>
              <w:t>Preferred supplier indicator</w:t>
            </w:r>
          </w:p>
        </w:tc>
        <w:tc>
          <w:tcPr>
            <w:tcW w:type="dxa" w:w="1782"/>
          </w:tcPr>
          <w:p>
            <w:r>
              <w:rPr>
                <w:rFonts w:ascii="Aptos" w:hAnsi="Aptos"/>
                <w:sz w:val="16"/>
              </w:rPr>
              <w:t>Boolean</w:t>
            </w:r>
          </w:p>
        </w:tc>
        <w:tc>
          <w:tcPr>
            <w:tcW w:type="dxa" w:w="1782"/>
          </w:tcPr>
          <w:p>
            <w:r>
              <w:rPr>
                <w:rFonts w:ascii="Aptos" w:hAnsi="Aptos"/>
                <w:sz w:val="16"/>
              </w:rPr>
              <w:t>Procurement</w:t>
            </w:r>
          </w:p>
        </w:tc>
        <w:tc>
          <w:tcPr>
            <w:tcW w:type="dxa" w:w="1782"/>
          </w:tcPr>
          <w:p>
            <w:r>
              <w:rPr>
                <w:rFonts w:ascii="Aptos" w:hAnsi="Aptos"/>
                <w:sz w:val="16"/>
              </w:rPr>
              <w:t>Optional</w:t>
            </w:r>
          </w:p>
        </w:tc>
        <w:tc>
          <w:tcPr>
            <w:tcW w:type="dxa" w:w="1782"/>
          </w:tcPr>
          <w:p>
            <w:r>
              <w:rPr>
                <w:rFonts w:ascii="Aptos" w:hAnsi="Aptos"/>
                <w:sz w:val="16"/>
              </w:rPr>
              <w:t>Procurement prioritization</w:t>
            </w:r>
          </w:p>
        </w:tc>
        <w:tc>
          <w:tcPr>
            <w:tcW w:type="dxa" w:w="1782"/>
          </w:tcPr>
          <w:p>
            <w:r>
              <w:rPr>
                <w:rFonts w:ascii="Aptos" w:hAnsi="Aptos"/>
                <w:sz w:val="16"/>
              </w:rPr>
              <w:t>Risk prioritization and filters</w:t>
            </w:r>
          </w:p>
        </w:tc>
        <w:tc>
          <w:tcPr>
            <w:tcW w:type="dxa" w:w="1782"/>
          </w:tcPr>
          <w:p>
            <w:r>
              <w:rPr>
                <w:rFonts w:ascii="Aptos" w:hAnsi="Aptos"/>
                <w:sz w:val="16"/>
              </w:rPr>
              <w:t>TRUE</w:t>
            </w:r>
          </w:p>
        </w:tc>
      </w:tr>
      <w:tr>
        <w:tc>
          <w:tcPr>
            <w:tcW w:type="dxa" w:w="1782"/>
          </w:tcPr>
          <w:p>
            <w:r>
              <w:rPr>
                <w:rFonts w:ascii="Aptos" w:hAnsi="Aptos"/>
                <w:sz w:val="16"/>
              </w:rPr>
              <w:t>Supplier_Year</w:t>
            </w:r>
          </w:p>
        </w:tc>
        <w:tc>
          <w:tcPr>
            <w:tcW w:type="dxa" w:w="1782"/>
          </w:tcPr>
          <w:p>
            <w:r>
              <w:rPr>
                <w:rFonts w:ascii="Aptos" w:hAnsi="Aptos"/>
                <w:sz w:val="16"/>
              </w:rPr>
              <w:t>Historical reporting year</w:t>
            </w:r>
          </w:p>
        </w:tc>
        <w:tc>
          <w:tcPr>
            <w:tcW w:type="dxa" w:w="1782"/>
          </w:tcPr>
          <w:p>
            <w:r>
              <w:rPr>
                <w:rFonts w:ascii="Aptos" w:hAnsi="Aptos"/>
                <w:sz w:val="16"/>
              </w:rPr>
              <w:t>Integer</w:t>
            </w:r>
          </w:p>
        </w:tc>
        <w:tc>
          <w:tcPr>
            <w:tcW w:type="dxa" w:w="1782"/>
          </w:tcPr>
          <w:p>
            <w:r>
              <w:rPr>
                <w:rFonts w:ascii="Aptos" w:hAnsi="Aptos"/>
                <w:sz w:val="16"/>
              </w:rPr>
              <w:t>ESG platform / data lake</w:t>
            </w:r>
          </w:p>
        </w:tc>
        <w:tc>
          <w:tcPr>
            <w:tcW w:type="dxa" w:w="1782"/>
          </w:tcPr>
          <w:p>
            <w:r>
              <w:rPr>
                <w:rFonts w:ascii="Aptos" w:hAnsi="Aptos"/>
                <w:sz w:val="16"/>
              </w:rPr>
              <w:t>Mandatory</w:t>
            </w:r>
          </w:p>
        </w:tc>
        <w:tc>
          <w:tcPr>
            <w:tcW w:type="dxa" w:w="1782"/>
          </w:tcPr>
          <w:p>
            <w:r>
              <w:rPr>
                <w:rFonts w:ascii="Aptos" w:hAnsi="Aptos"/>
                <w:sz w:val="16"/>
              </w:rPr>
              <w:t>Time-series anchor</w:t>
            </w:r>
          </w:p>
        </w:tc>
        <w:tc>
          <w:tcPr>
            <w:tcW w:type="dxa" w:w="1782"/>
          </w:tcPr>
          <w:p>
            <w:r>
              <w:rPr>
                <w:rFonts w:ascii="Aptos" w:hAnsi="Aptos"/>
                <w:sz w:val="16"/>
              </w:rPr>
              <w:t>Historical trend and latest-year selection</w:t>
            </w:r>
          </w:p>
        </w:tc>
        <w:tc>
          <w:tcPr>
            <w:tcW w:type="dxa" w:w="1782"/>
          </w:tcPr>
          <w:p>
            <w:r>
              <w:rPr>
                <w:rFonts w:ascii="Aptos" w:hAnsi="Aptos"/>
                <w:sz w:val="16"/>
              </w:rPr>
              <w:t>2024</w:t>
            </w:r>
          </w:p>
        </w:tc>
      </w:tr>
      <w:tr>
        <w:tc>
          <w:tcPr>
            <w:tcW w:type="dxa" w:w="1782"/>
          </w:tcPr>
          <w:p>
            <w:r>
              <w:rPr>
                <w:rFonts w:ascii="Aptos" w:hAnsi="Aptos"/>
                <w:sz w:val="16"/>
              </w:rPr>
              <w:t>Gross_Spend</w:t>
            </w:r>
          </w:p>
        </w:tc>
        <w:tc>
          <w:tcPr>
            <w:tcW w:type="dxa" w:w="1782"/>
          </w:tcPr>
          <w:p>
            <w:r>
              <w:rPr>
                <w:rFonts w:ascii="Aptos" w:hAnsi="Aptos"/>
                <w:sz w:val="16"/>
              </w:rPr>
              <w:t>Annual spend with supplier</w:t>
            </w:r>
          </w:p>
        </w:tc>
        <w:tc>
          <w:tcPr>
            <w:tcW w:type="dxa" w:w="1782"/>
          </w:tcPr>
          <w:p>
            <w:r>
              <w:rPr>
                <w:rFonts w:ascii="Aptos" w:hAnsi="Aptos"/>
                <w:sz w:val="16"/>
              </w:rPr>
              <w:t>Decimal</w:t>
            </w:r>
          </w:p>
        </w:tc>
        <w:tc>
          <w:tcPr>
            <w:tcW w:type="dxa" w:w="1782"/>
          </w:tcPr>
          <w:p>
            <w:r>
              <w:rPr>
                <w:rFonts w:ascii="Aptos" w:hAnsi="Aptos"/>
                <w:sz w:val="16"/>
              </w:rPr>
              <w:t>ERP / AP / Procurement</w:t>
            </w:r>
          </w:p>
        </w:tc>
        <w:tc>
          <w:tcPr>
            <w:tcW w:type="dxa" w:w="1782"/>
          </w:tcPr>
          <w:p>
            <w:r>
              <w:rPr>
                <w:rFonts w:ascii="Aptos" w:hAnsi="Aptos"/>
                <w:sz w:val="16"/>
              </w:rPr>
              <w:t>Optional</w:t>
            </w:r>
          </w:p>
        </w:tc>
        <w:tc>
          <w:tcPr>
            <w:tcW w:type="dxa" w:w="1782"/>
          </w:tcPr>
          <w:p>
            <w:r>
              <w:rPr>
                <w:rFonts w:ascii="Aptos" w:hAnsi="Aptos"/>
                <w:sz w:val="16"/>
              </w:rPr>
              <w:t>Emissions intensity and growth analysis</w:t>
            </w:r>
          </w:p>
        </w:tc>
        <w:tc>
          <w:tcPr>
            <w:tcW w:type="dxa" w:w="1782"/>
          </w:tcPr>
          <w:p>
            <w:r>
              <w:rPr>
                <w:rFonts w:ascii="Aptos" w:hAnsi="Aptos"/>
                <w:sz w:val="16"/>
              </w:rPr>
              <w:t>Denominator for intensity and growth</w:t>
            </w:r>
          </w:p>
        </w:tc>
        <w:tc>
          <w:tcPr>
            <w:tcW w:type="dxa" w:w="1782"/>
          </w:tcPr>
          <w:p>
            <w:r>
              <w:rPr>
                <w:rFonts w:ascii="Aptos" w:hAnsi="Aptos"/>
                <w:sz w:val="16"/>
              </w:rPr>
              <w:t>2500000</w:t>
            </w:r>
          </w:p>
        </w:tc>
      </w:tr>
      <w:tr>
        <w:tc>
          <w:tcPr>
            <w:tcW w:type="dxa" w:w="1782"/>
          </w:tcPr>
          <w:p>
            <w:r>
              <w:rPr>
                <w:rFonts w:ascii="Aptos" w:hAnsi="Aptos"/>
                <w:sz w:val="16"/>
              </w:rPr>
              <w:t>Revenue</w:t>
            </w:r>
          </w:p>
        </w:tc>
        <w:tc>
          <w:tcPr>
            <w:tcW w:type="dxa" w:w="1782"/>
          </w:tcPr>
          <w:p>
            <w:r>
              <w:rPr>
                <w:rFonts w:ascii="Aptos" w:hAnsi="Aptos"/>
                <w:sz w:val="16"/>
              </w:rPr>
              <w:t>Supplier revenue or attributable revenue</w:t>
            </w:r>
          </w:p>
        </w:tc>
        <w:tc>
          <w:tcPr>
            <w:tcW w:type="dxa" w:w="1782"/>
          </w:tcPr>
          <w:p>
            <w:r>
              <w:rPr>
                <w:rFonts w:ascii="Aptos" w:hAnsi="Aptos"/>
                <w:sz w:val="16"/>
              </w:rPr>
              <w:t>Decimal</w:t>
            </w:r>
          </w:p>
        </w:tc>
        <w:tc>
          <w:tcPr>
            <w:tcW w:type="dxa" w:w="1782"/>
          </w:tcPr>
          <w:p>
            <w:r>
              <w:rPr>
                <w:rFonts w:ascii="Aptos" w:hAnsi="Aptos"/>
                <w:sz w:val="16"/>
              </w:rPr>
              <w:t>Supplier survey / Finance</w:t>
            </w:r>
          </w:p>
        </w:tc>
        <w:tc>
          <w:tcPr>
            <w:tcW w:type="dxa" w:w="1782"/>
          </w:tcPr>
          <w:p>
            <w:r>
              <w:rPr>
                <w:rFonts w:ascii="Aptos" w:hAnsi="Aptos"/>
                <w:sz w:val="16"/>
              </w:rPr>
              <w:t>Optional</w:t>
            </w:r>
          </w:p>
        </w:tc>
        <w:tc>
          <w:tcPr>
            <w:tcW w:type="dxa" w:w="1782"/>
          </w:tcPr>
          <w:p>
            <w:r>
              <w:rPr>
                <w:rFonts w:ascii="Aptos" w:hAnsi="Aptos"/>
                <w:sz w:val="16"/>
              </w:rPr>
              <w:t>Financial context and intensity analysis</w:t>
            </w:r>
          </w:p>
        </w:tc>
        <w:tc>
          <w:tcPr>
            <w:tcW w:type="dxa" w:w="1782"/>
          </w:tcPr>
          <w:p>
            <w:r>
              <w:rPr>
                <w:rFonts w:ascii="Aptos" w:hAnsi="Aptos"/>
                <w:sz w:val="16"/>
              </w:rPr>
              <w:t>Optional denominator and dashboard filter</w:t>
            </w:r>
          </w:p>
        </w:tc>
        <w:tc>
          <w:tcPr>
            <w:tcW w:type="dxa" w:w="1782"/>
          </w:tcPr>
          <w:p>
            <w:r>
              <w:rPr>
                <w:rFonts w:ascii="Aptos" w:hAnsi="Aptos"/>
                <w:sz w:val="16"/>
              </w:rPr>
              <w:t>12000000</w:t>
            </w:r>
          </w:p>
        </w:tc>
      </w:tr>
      <w:tr>
        <w:tc>
          <w:tcPr>
            <w:tcW w:type="dxa" w:w="1782"/>
          </w:tcPr>
          <w:p>
            <w:r>
              <w:rPr>
                <w:rFonts w:ascii="Aptos" w:hAnsi="Aptos"/>
                <w:sz w:val="16"/>
              </w:rPr>
              <w:t>Reported_Emissions</w:t>
            </w:r>
          </w:p>
        </w:tc>
        <w:tc>
          <w:tcPr>
            <w:tcW w:type="dxa" w:w="1782"/>
          </w:tcPr>
          <w:p>
            <w:r>
              <w:rPr>
                <w:rFonts w:ascii="Aptos" w:hAnsi="Aptos"/>
                <w:sz w:val="16"/>
              </w:rPr>
              <w:t>Supplier reported total emissions</w:t>
            </w:r>
          </w:p>
        </w:tc>
        <w:tc>
          <w:tcPr>
            <w:tcW w:type="dxa" w:w="1782"/>
          </w:tcPr>
          <w:p>
            <w:r>
              <w:rPr>
                <w:rFonts w:ascii="Aptos" w:hAnsi="Aptos"/>
                <w:sz w:val="16"/>
              </w:rPr>
              <w:t>Decimal</w:t>
            </w:r>
          </w:p>
        </w:tc>
        <w:tc>
          <w:tcPr>
            <w:tcW w:type="dxa" w:w="1782"/>
          </w:tcPr>
          <w:p>
            <w:r>
              <w:rPr>
                <w:rFonts w:ascii="Aptos" w:hAnsi="Aptos"/>
                <w:sz w:val="16"/>
              </w:rPr>
              <w:t>CDP / supplier portal / ESG report</w:t>
            </w:r>
          </w:p>
        </w:tc>
        <w:tc>
          <w:tcPr>
            <w:tcW w:type="dxa" w:w="1782"/>
          </w:tcPr>
          <w:p>
            <w:r>
              <w:rPr>
                <w:rFonts w:ascii="Aptos" w:hAnsi="Aptos"/>
                <w:sz w:val="16"/>
              </w:rPr>
              <w:t>Mandatory</w:t>
            </w:r>
          </w:p>
        </w:tc>
        <w:tc>
          <w:tcPr>
            <w:tcW w:type="dxa" w:w="1782"/>
          </w:tcPr>
          <w:p>
            <w:r>
              <w:rPr>
                <w:rFonts w:ascii="Aptos" w:hAnsi="Aptos"/>
                <w:sz w:val="16"/>
              </w:rPr>
              <w:t>Historical/current emissions input</w:t>
            </w:r>
          </w:p>
        </w:tc>
        <w:tc>
          <w:tcPr>
            <w:tcW w:type="dxa" w:w="1782"/>
          </w:tcPr>
          <w:p>
            <w:r>
              <w:rPr>
                <w:rFonts w:ascii="Aptos" w:hAnsi="Aptos"/>
                <w:sz w:val="16"/>
              </w:rPr>
              <w:t>Core model input</w:t>
            </w:r>
          </w:p>
        </w:tc>
        <w:tc>
          <w:tcPr>
            <w:tcW w:type="dxa" w:w="1782"/>
          </w:tcPr>
          <w:p>
            <w:r>
              <w:rPr>
                <w:rFonts w:ascii="Aptos" w:hAnsi="Aptos"/>
                <w:sz w:val="16"/>
              </w:rPr>
              <w:t>1850.75</w:t>
            </w:r>
          </w:p>
        </w:tc>
      </w:tr>
      <w:tr>
        <w:tc>
          <w:tcPr>
            <w:tcW w:type="dxa" w:w="1782"/>
          </w:tcPr>
          <w:p>
            <w:r>
              <w:rPr>
                <w:rFonts w:ascii="Aptos" w:hAnsi="Aptos"/>
                <w:sz w:val="16"/>
              </w:rPr>
              <w:t>Total_Emission_Value</w:t>
            </w:r>
          </w:p>
        </w:tc>
        <w:tc>
          <w:tcPr>
            <w:tcW w:type="dxa" w:w="1782"/>
          </w:tcPr>
          <w:p>
            <w:r>
              <w:rPr>
                <w:rFonts w:ascii="Aptos" w:hAnsi="Aptos"/>
                <w:sz w:val="16"/>
              </w:rPr>
              <w:t>Validated supplier total emissions</w:t>
            </w:r>
          </w:p>
        </w:tc>
        <w:tc>
          <w:tcPr>
            <w:tcW w:type="dxa" w:w="1782"/>
          </w:tcPr>
          <w:p>
            <w:r>
              <w:rPr>
                <w:rFonts w:ascii="Aptos" w:hAnsi="Aptos"/>
                <w:sz w:val="16"/>
              </w:rPr>
              <w:t>Decimal</w:t>
            </w:r>
          </w:p>
        </w:tc>
        <w:tc>
          <w:tcPr>
            <w:tcW w:type="dxa" w:w="1782"/>
          </w:tcPr>
          <w:p>
            <w:r>
              <w:rPr>
                <w:rFonts w:ascii="Aptos" w:hAnsi="Aptos"/>
                <w:sz w:val="16"/>
              </w:rPr>
              <w:t>ESG data lake / supplier report</w:t>
            </w:r>
          </w:p>
        </w:tc>
        <w:tc>
          <w:tcPr>
            <w:tcW w:type="dxa" w:w="1782"/>
          </w:tcPr>
          <w:p>
            <w:r>
              <w:rPr>
                <w:rFonts w:ascii="Aptos" w:hAnsi="Aptos"/>
                <w:sz w:val="16"/>
              </w:rPr>
              <w:t>Mandatory</w:t>
            </w:r>
          </w:p>
        </w:tc>
        <w:tc>
          <w:tcPr>
            <w:tcW w:type="dxa" w:w="1782"/>
          </w:tcPr>
          <w:p>
            <w:r>
              <w:rPr>
                <w:rFonts w:ascii="Aptos" w:hAnsi="Aptos"/>
                <w:sz w:val="16"/>
              </w:rPr>
              <w:t>Forecast baseline and history</w:t>
            </w:r>
          </w:p>
        </w:tc>
        <w:tc>
          <w:tcPr>
            <w:tcW w:type="dxa" w:w="1782"/>
          </w:tcPr>
          <w:p>
            <w:r>
              <w:rPr>
                <w:rFonts w:ascii="Aptos" w:hAnsi="Aptos"/>
                <w:sz w:val="16"/>
              </w:rPr>
              <w:t>Drives all forecasts</w:t>
            </w:r>
          </w:p>
        </w:tc>
        <w:tc>
          <w:tcPr>
            <w:tcW w:type="dxa" w:w="1782"/>
          </w:tcPr>
          <w:p>
            <w:r>
              <w:rPr>
                <w:rFonts w:ascii="Aptos" w:hAnsi="Aptos"/>
                <w:sz w:val="16"/>
              </w:rPr>
              <w:t>1850.75</w:t>
            </w:r>
          </w:p>
        </w:tc>
      </w:tr>
      <w:tr>
        <w:tc>
          <w:tcPr>
            <w:tcW w:type="dxa" w:w="1782"/>
          </w:tcPr>
          <w:p>
            <w:r>
              <w:rPr>
                <w:rFonts w:ascii="Aptos" w:hAnsi="Aptos"/>
                <w:sz w:val="16"/>
              </w:rPr>
              <w:t>Scope1_Emission</w:t>
            </w:r>
          </w:p>
        </w:tc>
        <w:tc>
          <w:tcPr>
            <w:tcW w:type="dxa" w:w="1782"/>
          </w:tcPr>
          <w:p>
            <w:r>
              <w:rPr>
                <w:rFonts w:ascii="Aptos" w:hAnsi="Aptos"/>
                <w:sz w:val="16"/>
              </w:rPr>
              <w:t>Direct supplier emissions</w:t>
            </w:r>
          </w:p>
        </w:tc>
        <w:tc>
          <w:tcPr>
            <w:tcW w:type="dxa" w:w="1782"/>
          </w:tcPr>
          <w:p>
            <w:r>
              <w:rPr>
                <w:rFonts w:ascii="Aptos" w:hAnsi="Aptos"/>
                <w:sz w:val="16"/>
              </w:rPr>
              <w:t>Decimal</w:t>
            </w:r>
          </w:p>
        </w:tc>
        <w:tc>
          <w:tcPr>
            <w:tcW w:type="dxa" w:w="1782"/>
          </w:tcPr>
          <w:p>
            <w:r>
              <w:rPr>
                <w:rFonts w:ascii="Aptos" w:hAnsi="Aptos"/>
                <w:sz w:val="16"/>
              </w:rPr>
              <w:t>Supplier ESG report</w:t>
            </w:r>
          </w:p>
        </w:tc>
        <w:tc>
          <w:tcPr>
            <w:tcW w:type="dxa" w:w="1782"/>
          </w:tcPr>
          <w:p>
            <w:r>
              <w:rPr>
                <w:rFonts w:ascii="Aptos" w:hAnsi="Aptos"/>
                <w:sz w:val="16"/>
              </w:rPr>
              <w:t>Optional</w:t>
            </w:r>
          </w:p>
        </w:tc>
        <w:tc>
          <w:tcPr>
            <w:tcW w:type="dxa" w:w="1782"/>
          </w:tcPr>
          <w:p>
            <w:r>
              <w:rPr>
                <w:rFonts w:ascii="Aptos" w:hAnsi="Aptos"/>
                <w:sz w:val="16"/>
              </w:rPr>
              <w:t>Scope-level breakdown</w:t>
            </w:r>
          </w:p>
        </w:tc>
        <w:tc>
          <w:tcPr>
            <w:tcW w:type="dxa" w:w="1782"/>
          </w:tcPr>
          <w:p>
            <w:r>
              <w:rPr>
                <w:rFonts w:ascii="Aptos" w:hAnsi="Aptos"/>
                <w:sz w:val="16"/>
              </w:rPr>
              <w:t>Dashboard segmentation</w:t>
            </w:r>
          </w:p>
        </w:tc>
        <w:tc>
          <w:tcPr>
            <w:tcW w:type="dxa" w:w="1782"/>
          </w:tcPr>
          <w:p>
            <w:r>
              <w:rPr>
                <w:rFonts w:ascii="Aptos" w:hAnsi="Aptos"/>
                <w:sz w:val="16"/>
              </w:rPr>
              <w:t>120.5</w:t>
            </w:r>
          </w:p>
        </w:tc>
      </w:tr>
      <w:tr>
        <w:tc>
          <w:tcPr>
            <w:tcW w:type="dxa" w:w="1782"/>
          </w:tcPr>
          <w:p>
            <w:r>
              <w:rPr>
                <w:rFonts w:ascii="Aptos" w:hAnsi="Aptos"/>
                <w:sz w:val="16"/>
              </w:rPr>
              <w:t>Scope2_Emission</w:t>
            </w:r>
          </w:p>
        </w:tc>
        <w:tc>
          <w:tcPr>
            <w:tcW w:type="dxa" w:w="1782"/>
          </w:tcPr>
          <w:p>
            <w:r>
              <w:rPr>
                <w:rFonts w:ascii="Aptos" w:hAnsi="Aptos"/>
                <w:sz w:val="16"/>
              </w:rPr>
              <w:t>Purchased energy emissions</w:t>
            </w:r>
          </w:p>
        </w:tc>
        <w:tc>
          <w:tcPr>
            <w:tcW w:type="dxa" w:w="1782"/>
          </w:tcPr>
          <w:p>
            <w:r>
              <w:rPr>
                <w:rFonts w:ascii="Aptos" w:hAnsi="Aptos"/>
                <w:sz w:val="16"/>
              </w:rPr>
              <w:t>Decimal</w:t>
            </w:r>
          </w:p>
        </w:tc>
        <w:tc>
          <w:tcPr>
            <w:tcW w:type="dxa" w:w="1782"/>
          </w:tcPr>
          <w:p>
            <w:r>
              <w:rPr>
                <w:rFonts w:ascii="Aptos" w:hAnsi="Aptos"/>
                <w:sz w:val="16"/>
              </w:rPr>
              <w:t>Supplier ESG report</w:t>
            </w:r>
          </w:p>
        </w:tc>
        <w:tc>
          <w:tcPr>
            <w:tcW w:type="dxa" w:w="1782"/>
          </w:tcPr>
          <w:p>
            <w:r>
              <w:rPr>
                <w:rFonts w:ascii="Aptos" w:hAnsi="Aptos"/>
                <w:sz w:val="16"/>
              </w:rPr>
              <w:t>Optional</w:t>
            </w:r>
          </w:p>
        </w:tc>
        <w:tc>
          <w:tcPr>
            <w:tcW w:type="dxa" w:w="1782"/>
          </w:tcPr>
          <w:p>
            <w:r>
              <w:rPr>
                <w:rFonts w:ascii="Aptos" w:hAnsi="Aptos"/>
                <w:sz w:val="16"/>
              </w:rPr>
              <w:t>Scope-level breakdown</w:t>
            </w:r>
          </w:p>
        </w:tc>
        <w:tc>
          <w:tcPr>
            <w:tcW w:type="dxa" w:w="1782"/>
          </w:tcPr>
          <w:p>
            <w:r>
              <w:rPr>
                <w:rFonts w:ascii="Aptos" w:hAnsi="Aptos"/>
                <w:sz w:val="16"/>
              </w:rPr>
              <w:t>Dashboard segmentation</w:t>
            </w:r>
          </w:p>
        </w:tc>
        <w:tc>
          <w:tcPr>
            <w:tcW w:type="dxa" w:w="1782"/>
          </w:tcPr>
          <w:p>
            <w:r>
              <w:rPr>
                <w:rFonts w:ascii="Aptos" w:hAnsi="Aptos"/>
                <w:sz w:val="16"/>
              </w:rPr>
              <w:t>80.2</w:t>
            </w:r>
          </w:p>
        </w:tc>
      </w:tr>
      <w:tr>
        <w:tc>
          <w:tcPr>
            <w:tcW w:type="dxa" w:w="1782"/>
          </w:tcPr>
          <w:p>
            <w:r>
              <w:rPr>
                <w:rFonts w:ascii="Aptos" w:hAnsi="Aptos"/>
                <w:sz w:val="16"/>
              </w:rPr>
              <w:t>Scope3_Emission</w:t>
            </w:r>
          </w:p>
        </w:tc>
        <w:tc>
          <w:tcPr>
            <w:tcW w:type="dxa" w:w="1782"/>
          </w:tcPr>
          <w:p>
            <w:r>
              <w:rPr>
                <w:rFonts w:ascii="Aptos" w:hAnsi="Aptos"/>
                <w:sz w:val="16"/>
              </w:rPr>
              <w:t>Supplier value-chain emissions</w:t>
            </w:r>
          </w:p>
        </w:tc>
        <w:tc>
          <w:tcPr>
            <w:tcW w:type="dxa" w:w="1782"/>
          </w:tcPr>
          <w:p>
            <w:r>
              <w:rPr>
                <w:rFonts w:ascii="Aptos" w:hAnsi="Aptos"/>
                <w:sz w:val="16"/>
              </w:rPr>
              <w:t>Decimal</w:t>
            </w:r>
          </w:p>
        </w:tc>
        <w:tc>
          <w:tcPr>
            <w:tcW w:type="dxa" w:w="1782"/>
          </w:tcPr>
          <w:p>
            <w:r>
              <w:rPr>
                <w:rFonts w:ascii="Aptos" w:hAnsi="Aptos"/>
                <w:sz w:val="16"/>
              </w:rPr>
              <w:t>Supplier ESG report</w:t>
            </w:r>
          </w:p>
        </w:tc>
        <w:tc>
          <w:tcPr>
            <w:tcW w:type="dxa" w:w="1782"/>
          </w:tcPr>
          <w:p>
            <w:r>
              <w:rPr>
                <w:rFonts w:ascii="Aptos" w:hAnsi="Aptos"/>
                <w:sz w:val="16"/>
              </w:rPr>
              <w:t>Optional</w:t>
            </w:r>
          </w:p>
        </w:tc>
        <w:tc>
          <w:tcPr>
            <w:tcW w:type="dxa" w:w="1782"/>
          </w:tcPr>
          <w:p>
            <w:r>
              <w:rPr>
                <w:rFonts w:ascii="Aptos" w:hAnsi="Aptos"/>
                <w:sz w:val="16"/>
              </w:rPr>
              <w:t>Scope-level breakdown</w:t>
            </w:r>
          </w:p>
        </w:tc>
        <w:tc>
          <w:tcPr>
            <w:tcW w:type="dxa" w:w="1782"/>
          </w:tcPr>
          <w:p>
            <w:r>
              <w:rPr>
                <w:rFonts w:ascii="Aptos" w:hAnsi="Aptos"/>
                <w:sz w:val="16"/>
              </w:rPr>
              <w:t>Dashboard segmentation</w:t>
            </w:r>
          </w:p>
        </w:tc>
        <w:tc>
          <w:tcPr>
            <w:tcW w:type="dxa" w:w="1782"/>
          </w:tcPr>
          <w:p>
            <w:r>
              <w:rPr>
                <w:rFonts w:ascii="Aptos" w:hAnsi="Aptos"/>
                <w:sz w:val="16"/>
              </w:rPr>
              <w:t>1650.1</w:t>
            </w:r>
          </w:p>
        </w:tc>
      </w:tr>
      <w:tr>
        <w:tc>
          <w:tcPr>
            <w:tcW w:type="dxa" w:w="1782"/>
          </w:tcPr>
          <w:p>
            <w:r>
              <w:rPr>
                <w:rFonts w:ascii="Aptos" w:hAnsi="Aptos"/>
                <w:sz w:val="16"/>
              </w:rPr>
              <w:t>Baseline_Year</w:t>
            </w:r>
          </w:p>
        </w:tc>
        <w:tc>
          <w:tcPr>
            <w:tcW w:type="dxa" w:w="1782"/>
          </w:tcPr>
          <w:p>
            <w:r>
              <w:rPr>
                <w:rFonts w:ascii="Aptos" w:hAnsi="Aptos"/>
                <w:sz w:val="16"/>
              </w:rPr>
              <w:t>Supplier target baseline year</w:t>
            </w:r>
          </w:p>
        </w:tc>
        <w:tc>
          <w:tcPr>
            <w:tcW w:type="dxa" w:w="1782"/>
          </w:tcPr>
          <w:p>
            <w:r>
              <w:rPr>
                <w:rFonts w:ascii="Aptos" w:hAnsi="Aptos"/>
                <w:sz w:val="16"/>
              </w:rPr>
              <w:t>Integer</w:t>
            </w:r>
          </w:p>
        </w:tc>
        <w:tc>
          <w:tcPr>
            <w:tcW w:type="dxa" w:w="1782"/>
          </w:tcPr>
          <w:p>
            <w:r>
              <w:rPr>
                <w:rFonts w:ascii="Aptos" w:hAnsi="Aptos"/>
                <w:sz w:val="16"/>
              </w:rPr>
              <w:t>Supplier target table</w:t>
            </w:r>
          </w:p>
        </w:tc>
        <w:tc>
          <w:tcPr>
            <w:tcW w:type="dxa" w:w="1782"/>
          </w:tcPr>
          <w:p>
            <w:r>
              <w:rPr>
                <w:rFonts w:ascii="Aptos" w:hAnsi="Aptos"/>
                <w:sz w:val="16"/>
              </w:rPr>
              <w:t>Optional</w:t>
            </w:r>
          </w:p>
        </w:tc>
        <w:tc>
          <w:tcPr>
            <w:tcW w:type="dxa" w:w="1782"/>
          </w:tcPr>
          <w:p>
            <w:r>
              <w:rPr>
                <w:rFonts w:ascii="Aptos" w:hAnsi="Aptos"/>
                <w:sz w:val="16"/>
              </w:rPr>
              <w:t>Target pathway start</w:t>
            </w:r>
          </w:p>
        </w:tc>
        <w:tc>
          <w:tcPr>
            <w:tcW w:type="dxa" w:w="1782"/>
          </w:tcPr>
          <w:p>
            <w:r>
              <w:rPr>
                <w:rFonts w:ascii="Aptos" w:hAnsi="Aptos"/>
                <w:sz w:val="16"/>
              </w:rPr>
              <w:t>Defines baseline emission</w:t>
            </w:r>
          </w:p>
        </w:tc>
        <w:tc>
          <w:tcPr>
            <w:tcW w:type="dxa" w:w="1782"/>
          </w:tcPr>
          <w:p>
            <w:r>
              <w:rPr>
                <w:rFonts w:ascii="Aptos" w:hAnsi="Aptos"/>
                <w:sz w:val="16"/>
              </w:rPr>
              <w:t>2020</w:t>
            </w:r>
          </w:p>
        </w:tc>
      </w:tr>
      <w:tr>
        <w:tc>
          <w:tcPr>
            <w:tcW w:type="dxa" w:w="1782"/>
          </w:tcPr>
          <w:p>
            <w:r>
              <w:rPr>
                <w:rFonts w:ascii="Aptos" w:hAnsi="Aptos"/>
                <w:sz w:val="16"/>
              </w:rPr>
              <w:t>Target_Year</w:t>
            </w:r>
          </w:p>
        </w:tc>
        <w:tc>
          <w:tcPr>
            <w:tcW w:type="dxa" w:w="1782"/>
          </w:tcPr>
          <w:p>
            <w:r>
              <w:rPr>
                <w:rFonts w:ascii="Aptos" w:hAnsi="Aptos"/>
                <w:sz w:val="16"/>
              </w:rPr>
              <w:t>Supplier target endpoint year</w:t>
            </w:r>
          </w:p>
        </w:tc>
        <w:tc>
          <w:tcPr>
            <w:tcW w:type="dxa" w:w="1782"/>
          </w:tcPr>
          <w:p>
            <w:r>
              <w:rPr>
                <w:rFonts w:ascii="Aptos" w:hAnsi="Aptos"/>
                <w:sz w:val="16"/>
              </w:rPr>
              <w:t>Integer</w:t>
            </w:r>
          </w:p>
        </w:tc>
        <w:tc>
          <w:tcPr>
            <w:tcW w:type="dxa" w:w="1782"/>
          </w:tcPr>
          <w:p>
            <w:r>
              <w:rPr>
                <w:rFonts w:ascii="Aptos" w:hAnsi="Aptos"/>
                <w:sz w:val="16"/>
              </w:rPr>
              <w:t>Supplier target table</w:t>
            </w:r>
          </w:p>
        </w:tc>
        <w:tc>
          <w:tcPr>
            <w:tcW w:type="dxa" w:w="1782"/>
          </w:tcPr>
          <w:p>
            <w:r>
              <w:rPr>
                <w:rFonts w:ascii="Aptos" w:hAnsi="Aptos"/>
                <w:sz w:val="16"/>
              </w:rPr>
              <w:t>Optional</w:t>
            </w:r>
          </w:p>
        </w:tc>
        <w:tc>
          <w:tcPr>
            <w:tcW w:type="dxa" w:w="1782"/>
          </w:tcPr>
          <w:p>
            <w:r>
              <w:rPr>
                <w:rFonts w:ascii="Aptos" w:hAnsi="Aptos"/>
                <w:sz w:val="16"/>
              </w:rPr>
              <w:t>Target pathway endpoint</w:t>
            </w:r>
          </w:p>
        </w:tc>
        <w:tc>
          <w:tcPr>
            <w:tcW w:type="dxa" w:w="1782"/>
          </w:tcPr>
          <w:p>
            <w:r>
              <w:rPr>
                <w:rFonts w:ascii="Aptos" w:hAnsi="Aptos"/>
                <w:sz w:val="16"/>
              </w:rPr>
              <w:t>Defines target horizon</w:t>
            </w:r>
          </w:p>
        </w:tc>
        <w:tc>
          <w:tcPr>
            <w:tcW w:type="dxa" w:w="1782"/>
          </w:tcPr>
          <w:p>
            <w:r>
              <w:rPr>
                <w:rFonts w:ascii="Aptos" w:hAnsi="Aptos"/>
                <w:sz w:val="16"/>
              </w:rPr>
              <w:t>2030</w:t>
            </w:r>
          </w:p>
        </w:tc>
      </w:tr>
      <w:tr>
        <w:tc>
          <w:tcPr>
            <w:tcW w:type="dxa" w:w="1782"/>
          </w:tcPr>
          <w:p>
            <w:r>
              <w:rPr>
                <w:rFonts w:ascii="Aptos" w:hAnsi="Aptos"/>
                <w:sz w:val="16"/>
              </w:rPr>
              <w:t>Target_Reduction_Percentage</w:t>
            </w:r>
          </w:p>
        </w:tc>
        <w:tc>
          <w:tcPr>
            <w:tcW w:type="dxa" w:w="1782"/>
          </w:tcPr>
          <w:p>
            <w:r>
              <w:rPr>
                <w:rFonts w:ascii="Aptos" w:hAnsi="Aptos"/>
                <w:sz w:val="16"/>
              </w:rPr>
              <w:t>Supplier target reduction from baseline</w:t>
            </w:r>
          </w:p>
        </w:tc>
        <w:tc>
          <w:tcPr>
            <w:tcW w:type="dxa" w:w="1782"/>
          </w:tcPr>
          <w:p>
            <w:r>
              <w:rPr>
                <w:rFonts w:ascii="Aptos" w:hAnsi="Aptos"/>
                <w:sz w:val="16"/>
              </w:rPr>
              <w:t>Decimal</w:t>
            </w:r>
          </w:p>
        </w:tc>
        <w:tc>
          <w:tcPr>
            <w:tcW w:type="dxa" w:w="1782"/>
          </w:tcPr>
          <w:p>
            <w:r>
              <w:rPr>
                <w:rFonts w:ascii="Aptos" w:hAnsi="Aptos"/>
                <w:sz w:val="16"/>
              </w:rPr>
              <w:t>Supplier target table</w:t>
            </w:r>
          </w:p>
        </w:tc>
        <w:tc>
          <w:tcPr>
            <w:tcW w:type="dxa" w:w="1782"/>
          </w:tcPr>
          <w:p>
            <w:r>
              <w:rPr>
                <w:rFonts w:ascii="Aptos" w:hAnsi="Aptos"/>
                <w:sz w:val="16"/>
              </w:rPr>
              <w:t>Optional</w:t>
            </w:r>
          </w:p>
        </w:tc>
        <w:tc>
          <w:tcPr>
            <w:tcW w:type="dxa" w:w="1782"/>
          </w:tcPr>
          <w:p>
            <w:r>
              <w:rPr>
                <w:rFonts w:ascii="Aptos" w:hAnsi="Aptos"/>
                <w:sz w:val="16"/>
              </w:rPr>
              <w:t>Supplier-specific decarbonization goal</w:t>
            </w:r>
          </w:p>
        </w:tc>
        <w:tc>
          <w:tcPr>
            <w:tcW w:type="dxa" w:w="1782"/>
          </w:tcPr>
          <w:p>
            <w:r>
              <w:rPr>
                <w:rFonts w:ascii="Aptos" w:hAnsi="Aptos"/>
                <w:sz w:val="16"/>
              </w:rPr>
              <w:t>Target emission calculation</w:t>
            </w:r>
          </w:p>
        </w:tc>
        <w:tc>
          <w:tcPr>
            <w:tcW w:type="dxa" w:w="1782"/>
          </w:tcPr>
          <w:p>
            <w:r>
              <w:rPr>
                <w:rFonts w:ascii="Aptos" w:hAnsi="Aptos"/>
                <w:sz w:val="16"/>
              </w:rPr>
              <w:t>0.42</w:t>
            </w:r>
          </w:p>
        </w:tc>
      </w:tr>
      <w:tr>
        <w:tc>
          <w:tcPr>
            <w:tcW w:type="dxa" w:w="1782"/>
          </w:tcPr>
          <w:p>
            <w:r>
              <w:rPr>
                <w:rFonts w:ascii="Aptos" w:hAnsi="Aptos"/>
                <w:sz w:val="16"/>
              </w:rPr>
              <w:t>Interim_Target_Reduction_Percentage</w:t>
            </w:r>
          </w:p>
        </w:tc>
        <w:tc>
          <w:tcPr>
            <w:tcW w:type="dxa" w:w="1782"/>
          </w:tcPr>
          <w:p>
            <w:r>
              <w:rPr>
                <w:rFonts w:ascii="Aptos" w:hAnsi="Aptos"/>
                <w:sz w:val="16"/>
              </w:rPr>
              <w:t>Supplier interim reduction goal</w:t>
            </w:r>
          </w:p>
        </w:tc>
        <w:tc>
          <w:tcPr>
            <w:tcW w:type="dxa" w:w="1782"/>
          </w:tcPr>
          <w:p>
            <w:r>
              <w:rPr>
                <w:rFonts w:ascii="Aptos" w:hAnsi="Aptos"/>
                <w:sz w:val="16"/>
              </w:rPr>
              <w:t>Decimal</w:t>
            </w:r>
          </w:p>
        </w:tc>
        <w:tc>
          <w:tcPr>
            <w:tcW w:type="dxa" w:w="1782"/>
          </w:tcPr>
          <w:p>
            <w:r>
              <w:rPr>
                <w:rFonts w:ascii="Aptos" w:hAnsi="Aptos"/>
                <w:sz w:val="16"/>
              </w:rPr>
              <w:t>Supplier target table</w:t>
            </w:r>
          </w:p>
        </w:tc>
        <w:tc>
          <w:tcPr>
            <w:tcW w:type="dxa" w:w="1782"/>
          </w:tcPr>
          <w:p>
            <w:r>
              <w:rPr>
                <w:rFonts w:ascii="Aptos" w:hAnsi="Aptos"/>
                <w:sz w:val="16"/>
              </w:rPr>
              <w:t>Optional</w:t>
            </w:r>
          </w:p>
        </w:tc>
        <w:tc>
          <w:tcPr>
            <w:tcW w:type="dxa" w:w="1782"/>
          </w:tcPr>
          <w:p>
            <w:r>
              <w:rPr>
                <w:rFonts w:ascii="Aptos" w:hAnsi="Aptos"/>
                <w:sz w:val="16"/>
              </w:rPr>
              <w:t>Midpoint governance</w:t>
            </w:r>
          </w:p>
        </w:tc>
        <w:tc>
          <w:tcPr>
            <w:tcW w:type="dxa" w:w="1782"/>
          </w:tcPr>
          <w:p>
            <w:r>
              <w:rPr>
                <w:rFonts w:ascii="Aptos" w:hAnsi="Aptos"/>
                <w:sz w:val="16"/>
              </w:rPr>
              <w:t>Optional interim milestone tracking</w:t>
            </w:r>
          </w:p>
        </w:tc>
        <w:tc>
          <w:tcPr>
            <w:tcW w:type="dxa" w:w="1782"/>
          </w:tcPr>
          <w:p>
            <w:r>
              <w:rPr>
                <w:rFonts w:ascii="Aptos" w:hAnsi="Aptos"/>
                <w:sz w:val="16"/>
              </w:rPr>
              <w:t>0.21</w:t>
            </w:r>
          </w:p>
        </w:tc>
      </w:tr>
      <w:tr>
        <w:tc>
          <w:tcPr>
            <w:tcW w:type="dxa" w:w="1782"/>
          </w:tcPr>
          <w:p>
            <w:r>
              <w:rPr>
                <w:rFonts w:ascii="Aptos" w:hAnsi="Aptos"/>
                <w:sz w:val="16"/>
              </w:rPr>
              <w:t>Target_Type</w:t>
            </w:r>
          </w:p>
        </w:tc>
        <w:tc>
          <w:tcPr>
            <w:tcW w:type="dxa" w:w="1782"/>
          </w:tcPr>
          <w:p>
            <w:r>
              <w:rPr>
                <w:rFonts w:ascii="Aptos" w:hAnsi="Aptos"/>
                <w:sz w:val="16"/>
              </w:rPr>
              <w:t>Absolute or intensity target</w:t>
            </w:r>
          </w:p>
        </w:tc>
        <w:tc>
          <w:tcPr>
            <w:tcW w:type="dxa" w:w="1782"/>
          </w:tcPr>
          <w:p>
            <w:r>
              <w:rPr>
                <w:rFonts w:ascii="Aptos" w:hAnsi="Aptos"/>
                <w:sz w:val="16"/>
              </w:rPr>
              <w:t>String</w:t>
            </w:r>
          </w:p>
        </w:tc>
        <w:tc>
          <w:tcPr>
            <w:tcW w:type="dxa" w:w="1782"/>
          </w:tcPr>
          <w:p>
            <w:r>
              <w:rPr>
                <w:rFonts w:ascii="Aptos" w:hAnsi="Aptos"/>
                <w:sz w:val="16"/>
              </w:rPr>
              <w:t>Supplier target table</w:t>
            </w:r>
          </w:p>
        </w:tc>
        <w:tc>
          <w:tcPr>
            <w:tcW w:type="dxa" w:w="1782"/>
          </w:tcPr>
          <w:p>
            <w:r>
              <w:rPr>
                <w:rFonts w:ascii="Aptos" w:hAnsi="Aptos"/>
                <w:sz w:val="16"/>
              </w:rPr>
              <w:t>Optional</w:t>
            </w:r>
          </w:p>
        </w:tc>
        <w:tc>
          <w:tcPr>
            <w:tcW w:type="dxa" w:w="1782"/>
          </w:tcPr>
          <w:p>
            <w:r>
              <w:rPr>
                <w:rFonts w:ascii="Aptos" w:hAnsi="Aptos"/>
                <w:sz w:val="16"/>
              </w:rPr>
              <w:t>Target interpretation</w:t>
            </w:r>
          </w:p>
        </w:tc>
        <w:tc>
          <w:tcPr>
            <w:tcW w:type="dxa" w:w="1782"/>
          </w:tcPr>
          <w:p>
            <w:r>
              <w:rPr>
                <w:rFonts w:ascii="Aptos" w:hAnsi="Aptos"/>
                <w:sz w:val="16"/>
              </w:rPr>
              <w:t>Can switch formula basis</w:t>
            </w:r>
          </w:p>
        </w:tc>
        <w:tc>
          <w:tcPr>
            <w:tcW w:type="dxa" w:w="1782"/>
          </w:tcPr>
          <w:p>
            <w:r>
              <w:rPr>
                <w:rFonts w:ascii="Aptos" w:hAnsi="Aptos"/>
                <w:sz w:val="16"/>
              </w:rPr>
              <w:t>Absolute</w:t>
            </w:r>
          </w:p>
        </w:tc>
      </w:tr>
      <w:tr>
        <w:tc>
          <w:tcPr>
            <w:tcW w:type="dxa" w:w="1782"/>
          </w:tcPr>
          <w:p>
            <w:r>
              <w:rPr>
                <w:rFonts w:ascii="Aptos" w:hAnsi="Aptos"/>
                <w:sz w:val="16"/>
              </w:rPr>
              <w:t>Target_Source</w:t>
            </w:r>
          </w:p>
        </w:tc>
        <w:tc>
          <w:tcPr>
            <w:tcW w:type="dxa" w:w="1782"/>
          </w:tcPr>
          <w:p>
            <w:r>
              <w:rPr>
                <w:rFonts w:ascii="Aptos" w:hAnsi="Aptos"/>
                <w:sz w:val="16"/>
              </w:rPr>
              <w:t>Evidence source for supplier target</w:t>
            </w:r>
          </w:p>
        </w:tc>
        <w:tc>
          <w:tcPr>
            <w:tcW w:type="dxa" w:w="1782"/>
          </w:tcPr>
          <w:p>
            <w:r>
              <w:rPr>
                <w:rFonts w:ascii="Aptos" w:hAnsi="Aptos"/>
                <w:sz w:val="16"/>
              </w:rPr>
              <w:t>String</w:t>
            </w:r>
          </w:p>
        </w:tc>
        <w:tc>
          <w:tcPr>
            <w:tcW w:type="dxa" w:w="1782"/>
          </w:tcPr>
          <w:p>
            <w:r>
              <w:rPr>
                <w:rFonts w:ascii="Aptos" w:hAnsi="Aptos"/>
                <w:sz w:val="16"/>
              </w:rPr>
              <w:t>SBTi / CDP / survey / contract</w:t>
            </w:r>
          </w:p>
        </w:tc>
        <w:tc>
          <w:tcPr>
            <w:tcW w:type="dxa" w:w="1782"/>
          </w:tcPr>
          <w:p>
            <w:r>
              <w:rPr>
                <w:rFonts w:ascii="Aptos" w:hAnsi="Aptos"/>
                <w:sz w:val="16"/>
              </w:rPr>
              <w:t>Optional</w:t>
            </w:r>
          </w:p>
        </w:tc>
        <w:tc>
          <w:tcPr>
            <w:tcW w:type="dxa" w:w="1782"/>
          </w:tcPr>
          <w:p>
            <w:r>
              <w:rPr>
                <w:rFonts w:ascii="Aptos" w:hAnsi="Aptos"/>
                <w:sz w:val="16"/>
              </w:rPr>
              <w:t>Auditability</w:t>
            </w:r>
          </w:p>
        </w:tc>
        <w:tc>
          <w:tcPr>
            <w:tcW w:type="dxa" w:w="1782"/>
          </w:tcPr>
          <w:p>
            <w:r>
              <w:rPr>
                <w:rFonts w:ascii="Aptos" w:hAnsi="Aptos"/>
                <w:sz w:val="16"/>
              </w:rPr>
              <w:t>Confidence adjustment</w:t>
            </w:r>
          </w:p>
        </w:tc>
        <w:tc>
          <w:tcPr>
            <w:tcW w:type="dxa" w:w="1782"/>
          </w:tcPr>
          <w:p>
            <w:r>
              <w:rPr>
                <w:rFonts w:ascii="Aptos" w:hAnsi="Aptos"/>
                <w:sz w:val="16"/>
              </w:rPr>
              <w:t>SBTi</w:t>
            </w:r>
          </w:p>
        </w:tc>
      </w:tr>
      <w:tr>
        <w:tc>
          <w:tcPr>
            <w:tcW w:type="dxa" w:w="1782"/>
          </w:tcPr>
          <w:p>
            <w:r>
              <w:rPr>
                <w:rFonts w:ascii="Aptos" w:hAnsi="Aptos"/>
                <w:sz w:val="16"/>
              </w:rPr>
              <w:t>Industry_Baseline_Year</w:t>
            </w:r>
          </w:p>
        </w:tc>
        <w:tc>
          <w:tcPr>
            <w:tcW w:type="dxa" w:w="1782"/>
          </w:tcPr>
          <w:p>
            <w:r>
              <w:rPr>
                <w:rFonts w:ascii="Aptos" w:hAnsi="Aptos"/>
                <w:sz w:val="16"/>
              </w:rPr>
              <w:t>Industry baseline year</w:t>
            </w:r>
          </w:p>
        </w:tc>
        <w:tc>
          <w:tcPr>
            <w:tcW w:type="dxa" w:w="1782"/>
          </w:tcPr>
          <w:p>
            <w:r>
              <w:rPr>
                <w:rFonts w:ascii="Aptos" w:hAnsi="Aptos"/>
                <w:sz w:val="16"/>
              </w:rPr>
              <w:t>Integer</w:t>
            </w:r>
          </w:p>
        </w:tc>
        <w:tc>
          <w:tcPr>
            <w:tcW w:type="dxa" w:w="1782"/>
          </w:tcPr>
          <w:p>
            <w:r>
              <w:rPr>
                <w:rFonts w:ascii="Aptos" w:hAnsi="Aptos"/>
                <w:sz w:val="16"/>
              </w:rPr>
              <w:t>Industry benchmark table</w:t>
            </w:r>
          </w:p>
        </w:tc>
        <w:tc>
          <w:tcPr>
            <w:tcW w:type="dxa" w:w="1782"/>
          </w:tcPr>
          <w:p>
            <w:r>
              <w:rPr>
                <w:rFonts w:ascii="Aptos" w:hAnsi="Aptos"/>
                <w:sz w:val="16"/>
              </w:rPr>
              <w:t>Optional</w:t>
            </w:r>
          </w:p>
        </w:tc>
        <w:tc>
          <w:tcPr>
            <w:tcW w:type="dxa" w:w="1782"/>
          </w:tcPr>
          <w:p>
            <w:r>
              <w:rPr>
                <w:rFonts w:ascii="Aptos" w:hAnsi="Aptos"/>
                <w:sz w:val="16"/>
              </w:rPr>
              <w:t>Industry target pathway anchor</w:t>
            </w:r>
          </w:p>
        </w:tc>
        <w:tc>
          <w:tcPr>
            <w:tcW w:type="dxa" w:w="1782"/>
          </w:tcPr>
          <w:p>
            <w:r>
              <w:rPr>
                <w:rFonts w:ascii="Aptos" w:hAnsi="Aptos"/>
                <w:sz w:val="16"/>
              </w:rPr>
              <w:t>Industry haircut pathway</w:t>
            </w:r>
          </w:p>
        </w:tc>
        <w:tc>
          <w:tcPr>
            <w:tcW w:type="dxa" w:w="1782"/>
          </w:tcPr>
          <w:p>
            <w:r>
              <w:rPr>
                <w:rFonts w:ascii="Aptos" w:hAnsi="Aptos"/>
                <w:sz w:val="16"/>
              </w:rPr>
              <w:t>2019</w:t>
            </w:r>
          </w:p>
        </w:tc>
      </w:tr>
      <w:tr>
        <w:tc>
          <w:tcPr>
            <w:tcW w:type="dxa" w:w="1782"/>
          </w:tcPr>
          <w:p>
            <w:r>
              <w:rPr>
                <w:rFonts w:ascii="Aptos" w:hAnsi="Aptos"/>
                <w:sz w:val="16"/>
              </w:rPr>
              <w:t>Industry_Target_Year</w:t>
            </w:r>
          </w:p>
        </w:tc>
        <w:tc>
          <w:tcPr>
            <w:tcW w:type="dxa" w:w="1782"/>
          </w:tcPr>
          <w:p>
            <w:r>
              <w:rPr>
                <w:rFonts w:ascii="Aptos" w:hAnsi="Aptos"/>
                <w:sz w:val="16"/>
              </w:rPr>
              <w:t>Industry target year</w:t>
            </w:r>
          </w:p>
        </w:tc>
        <w:tc>
          <w:tcPr>
            <w:tcW w:type="dxa" w:w="1782"/>
          </w:tcPr>
          <w:p>
            <w:r>
              <w:rPr>
                <w:rFonts w:ascii="Aptos" w:hAnsi="Aptos"/>
                <w:sz w:val="16"/>
              </w:rPr>
              <w:t>Integer</w:t>
            </w:r>
          </w:p>
        </w:tc>
        <w:tc>
          <w:tcPr>
            <w:tcW w:type="dxa" w:w="1782"/>
          </w:tcPr>
          <w:p>
            <w:r>
              <w:rPr>
                <w:rFonts w:ascii="Aptos" w:hAnsi="Aptos"/>
                <w:sz w:val="16"/>
              </w:rPr>
              <w:t>Industry benchmark table</w:t>
            </w:r>
          </w:p>
        </w:tc>
        <w:tc>
          <w:tcPr>
            <w:tcW w:type="dxa" w:w="1782"/>
          </w:tcPr>
          <w:p>
            <w:r>
              <w:rPr>
                <w:rFonts w:ascii="Aptos" w:hAnsi="Aptos"/>
                <w:sz w:val="16"/>
              </w:rPr>
              <w:t>Optional</w:t>
            </w:r>
          </w:p>
        </w:tc>
        <w:tc>
          <w:tcPr>
            <w:tcW w:type="dxa" w:w="1782"/>
          </w:tcPr>
          <w:p>
            <w:r>
              <w:rPr>
                <w:rFonts w:ascii="Aptos" w:hAnsi="Aptos"/>
                <w:sz w:val="16"/>
              </w:rPr>
              <w:t>Industry target pathway endpoint</w:t>
            </w:r>
          </w:p>
        </w:tc>
        <w:tc>
          <w:tcPr>
            <w:tcW w:type="dxa" w:w="1782"/>
          </w:tcPr>
          <w:p>
            <w:r>
              <w:rPr>
                <w:rFonts w:ascii="Aptos" w:hAnsi="Aptos"/>
                <w:sz w:val="16"/>
              </w:rPr>
              <w:t>Industry haircut pathway</w:t>
            </w:r>
          </w:p>
        </w:tc>
        <w:tc>
          <w:tcPr>
            <w:tcW w:type="dxa" w:w="1782"/>
          </w:tcPr>
          <w:p>
            <w:r>
              <w:rPr>
                <w:rFonts w:ascii="Aptos" w:hAnsi="Aptos"/>
                <w:sz w:val="16"/>
              </w:rPr>
              <w:t>2035</w:t>
            </w:r>
          </w:p>
        </w:tc>
      </w:tr>
      <w:tr>
        <w:tc>
          <w:tcPr>
            <w:tcW w:type="dxa" w:w="1782"/>
          </w:tcPr>
          <w:p>
            <w:r>
              <w:rPr>
                <w:rFonts w:ascii="Aptos" w:hAnsi="Aptos"/>
                <w:sz w:val="16"/>
              </w:rPr>
              <w:t>Industry_Reduction_Percentage</w:t>
            </w:r>
          </w:p>
        </w:tc>
        <w:tc>
          <w:tcPr>
            <w:tcW w:type="dxa" w:w="1782"/>
          </w:tcPr>
          <w:p>
            <w:r>
              <w:rPr>
                <w:rFonts w:ascii="Aptos" w:hAnsi="Aptos"/>
                <w:sz w:val="16"/>
              </w:rPr>
              <w:t>Industry target reduction haircut</w:t>
            </w:r>
          </w:p>
        </w:tc>
        <w:tc>
          <w:tcPr>
            <w:tcW w:type="dxa" w:w="1782"/>
          </w:tcPr>
          <w:p>
            <w:r>
              <w:rPr>
                <w:rFonts w:ascii="Aptos" w:hAnsi="Aptos"/>
                <w:sz w:val="16"/>
              </w:rPr>
              <w:t>Decimal</w:t>
            </w:r>
          </w:p>
        </w:tc>
        <w:tc>
          <w:tcPr>
            <w:tcW w:type="dxa" w:w="1782"/>
          </w:tcPr>
          <w:p>
            <w:r>
              <w:rPr>
                <w:rFonts w:ascii="Aptos" w:hAnsi="Aptos"/>
                <w:sz w:val="16"/>
              </w:rPr>
              <w:t>Benchmark / pathway scenario</w:t>
            </w:r>
          </w:p>
        </w:tc>
        <w:tc>
          <w:tcPr>
            <w:tcW w:type="dxa" w:w="1782"/>
          </w:tcPr>
          <w:p>
            <w:r>
              <w:rPr>
                <w:rFonts w:ascii="Aptos" w:hAnsi="Aptos"/>
                <w:sz w:val="16"/>
              </w:rPr>
              <w:t>Optional</w:t>
            </w:r>
          </w:p>
        </w:tc>
        <w:tc>
          <w:tcPr>
            <w:tcW w:type="dxa" w:w="1782"/>
          </w:tcPr>
          <w:p>
            <w:r>
              <w:rPr>
                <w:rFonts w:ascii="Aptos" w:hAnsi="Aptos"/>
                <w:sz w:val="16"/>
              </w:rPr>
              <w:t>Industry decarbonization assumption</w:t>
            </w:r>
          </w:p>
        </w:tc>
        <w:tc>
          <w:tcPr>
            <w:tcW w:type="dxa" w:w="1782"/>
          </w:tcPr>
          <w:p>
            <w:r>
              <w:rPr>
                <w:rFonts w:ascii="Aptos" w:hAnsi="Aptos"/>
                <w:sz w:val="16"/>
              </w:rPr>
              <w:t>Used when supplier target missing</w:t>
            </w:r>
          </w:p>
        </w:tc>
        <w:tc>
          <w:tcPr>
            <w:tcW w:type="dxa" w:w="1782"/>
          </w:tcPr>
          <w:p>
            <w:r>
              <w:rPr>
                <w:rFonts w:ascii="Aptos" w:hAnsi="Aptos"/>
                <w:sz w:val="16"/>
              </w:rPr>
              <w:t>0.35</w:t>
            </w:r>
          </w:p>
        </w:tc>
      </w:tr>
      <w:tr>
        <w:tc>
          <w:tcPr>
            <w:tcW w:type="dxa" w:w="1782"/>
          </w:tcPr>
          <w:p>
            <w:r>
              <w:rPr>
                <w:rFonts w:ascii="Aptos" w:hAnsi="Aptos"/>
                <w:sz w:val="16"/>
              </w:rPr>
              <w:t>Industry_Emission_Factor</w:t>
            </w:r>
          </w:p>
        </w:tc>
        <w:tc>
          <w:tcPr>
            <w:tcW w:type="dxa" w:w="1782"/>
          </w:tcPr>
          <w:p>
            <w:r>
              <w:rPr>
                <w:rFonts w:ascii="Aptos" w:hAnsi="Aptos"/>
                <w:sz w:val="16"/>
              </w:rPr>
              <w:t>Average emissions factor for industry</w:t>
            </w:r>
          </w:p>
        </w:tc>
        <w:tc>
          <w:tcPr>
            <w:tcW w:type="dxa" w:w="1782"/>
          </w:tcPr>
          <w:p>
            <w:r>
              <w:rPr>
                <w:rFonts w:ascii="Aptos" w:hAnsi="Aptos"/>
                <w:sz w:val="16"/>
              </w:rPr>
              <w:t>Decimal</w:t>
            </w:r>
          </w:p>
        </w:tc>
        <w:tc>
          <w:tcPr>
            <w:tcW w:type="dxa" w:w="1782"/>
          </w:tcPr>
          <w:p>
            <w:r>
              <w:rPr>
                <w:rFonts w:ascii="Aptos" w:hAnsi="Aptos"/>
                <w:sz w:val="16"/>
              </w:rPr>
              <w:t>LCA / EEIO / benchmark</w:t>
            </w:r>
          </w:p>
        </w:tc>
        <w:tc>
          <w:tcPr>
            <w:tcW w:type="dxa" w:w="1782"/>
          </w:tcPr>
          <w:p>
            <w:r>
              <w:rPr>
                <w:rFonts w:ascii="Aptos" w:hAnsi="Aptos"/>
                <w:sz w:val="16"/>
              </w:rPr>
              <w:t>Optional</w:t>
            </w:r>
          </w:p>
        </w:tc>
        <w:tc>
          <w:tcPr>
            <w:tcW w:type="dxa" w:w="1782"/>
          </w:tcPr>
          <w:p>
            <w:r>
              <w:rPr>
                <w:rFonts w:ascii="Aptos" w:hAnsi="Aptos"/>
                <w:sz w:val="16"/>
              </w:rPr>
              <w:t>Benchmarking context</w:t>
            </w:r>
          </w:p>
        </w:tc>
        <w:tc>
          <w:tcPr>
            <w:tcW w:type="dxa" w:w="1782"/>
          </w:tcPr>
          <w:p>
            <w:r>
              <w:rPr>
                <w:rFonts w:ascii="Aptos" w:hAnsi="Aptos"/>
                <w:sz w:val="16"/>
              </w:rPr>
              <w:t>Not required for emissions calculation when actual emissions exist</w:t>
            </w:r>
          </w:p>
        </w:tc>
        <w:tc>
          <w:tcPr>
            <w:tcW w:type="dxa" w:w="1782"/>
          </w:tcPr>
          <w:p>
            <w:r>
              <w:rPr>
                <w:rFonts w:ascii="Aptos" w:hAnsi="Aptos"/>
                <w:sz w:val="16"/>
              </w:rPr>
              <w:t>420.5</w:t>
            </w:r>
          </w:p>
        </w:tc>
      </w:tr>
      <w:tr>
        <w:tc>
          <w:tcPr>
            <w:tcW w:type="dxa" w:w="1782"/>
          </w:tcPr>
          <w:p>
            <w:r>
              <w:rPr>
                <w:rFonts w:ascii="Aptos" w:hAnsi="Aptos"/>
                <w:sz w:val="16"/>
              </w:rPr>
              <w:t>Spend_Based_Emission_Factor</w:t>
            </w:r>
          </w:p>
        </w:tc>
        <w:tc>
          <w:tcPr>
            <w:tcW w:type="dxa" w:w="1782"/>
          </w:tcPr>
          <w:p>
            <w:r>
              <w:rPr>
                <w:rFonts w:ascii="Aptos" w:hAnsi="Aptos"/>
                <w:sz w:val="16"/>
              </w:rPr>
              <w:t>Emissions per currency unit of spend</w:t>
            </w:r>
          </w:p>
        </w:tc>
        <w:tc>
          <w:tcPr>
            <w:tcW w:type="dxa" w:w="1782"/>
          </w:tcPr>
          <w:p>
            <w:r>
              <w:rPr>
                <w:rFonts w:ascii="Aptos" w:hAnsi="Aptos"/>
                <w:sz w:val="16"/>
              </w:rPr>
              <w:t>Decimal</w:t>
            </w:r>
          </w:p>
        </w:tc>
        <w:tc>
          <w:tcPr>
            <w:tcW w:type="dxa" w:w="1782"/>
          </w:tcPr>
          <w:p>
            <w:r>
              <w:rPr>
                <w:rFonts w:ascii="Aptos" w:hAnsi="Aptos"/>
                <w:sz w:val="16"/>
              </w:rPr>
              <w:t>EEIO / factor database</w:t>
            </w:r>
          </w:p>
        </w:tc>
        <w:tc>
          <w:tcPr>
            <w:tcW w:type="dxa" w:w="1782"/>
          </w:tcPr>
          <w:p>
            <w:r>
              <w:rPr>
                <w:rFonts w:ascii="Aptos" w:hAnsi="Aptos"/>
                <w:sz w:val="16"/>
              </w:rPr>
              <w:t>Optional</w:t>
            </w:r>
          </w:p>
        </w:tc>
        <w:tc>
          <w:tcPr>
            <w:tcW w:type="dxa" w:w="1782"/>
          </w:tcPr>
          <w:p>
            <w:r>
              <w:rPr>
                <w:rFonts w:ascii="Aptos" w:hAnsi="Aptos"/>
                <w:sz w:val="16"/>
              </w:rPr>
              <w:t>Benchmarking context</w:t>
            </w:r>
          </w:p>
        </w:tc>
        <w:tc>
          <w:tcPr>
            <w:tcW w:type="dxa" w:w="1782"/>
          </w:tcPr>
          <w:p>
            <w:r>
              <w:rPr>
                <w:rFonts w:ascii="Aptos" w:hAnsi="Aptos"/>
                <w:sz w:val="16"/>
              </w:rPr>
              <w:t>Not required when actual emissions exist</w:t>
            </w:r>
          </w:p>
        </w:tc>
        <w:tc>
          <w:tcPr>
            <w:tcW w:type="dxa" w:w="1782"/>
          </w:tcPr>
          <w:p>
            <w:r>
              <w:rPr>
                <w:rFonts w:ascii="Aptos" w:hAnsi="Aptos"/>
                <w:sz w:val="16"/>
              </w:rPr>
              <w:t>0.00045</w:t>
            </w:r>
          </w:p>
        </w:tc>
      </w:tr>
      <w:tr>
        <w:tc>
          <w:tcPr>
            <w:tcW w:type="dxa" w:w="1782"/>
          </w:tcPr>
          <w:p>
            <w:r>
              <w:rPr>
                <w:rFonts w:ascii="Aptos" w:hAnsi="Aptos"/>
                <w:sz w:val="16"/>
              </w:rPr>
              <w:t>Revenue_Based_Emission_Intensity</w:t>
            </w:r>
          </w:p>
        </w:tc>
        <w:tc>
          <w:tcPr>
            <w:tcW w:type="dxa" w:w="1782"/>
          </w:tcPr>
          <w:p>
            <w:r>
              <w:rPr>
                <w:rFonts w:ascii="Aptos" w:hAnsi="Aptos"/>
                <w:sz w:val="16"/>
              </w:rPr>
              <w:t>Emissions per currency unit of revenue</w:t>
            </w:r>
          </w:p>
        </w:tc>
        <w:tc>
          <w:tcPr>
            <w:tcW w:type="dxa" w:w="1782"/>
          </w:tcPr>
          <w:p>
            <w:r>
              <w:rPr>
                <w:rFonts w:ascii="Aptos" w:hAnsi="Aptos"/>
                <w:sz w:val="16"/>
              </w:rPr>
              <w:t>Decimal</w:t>
            </w:r>
          </w:p>
        </w:tc>
        <w:tc>
          <w:tcPr>
            <w:tcW w:type="dxa" w:w="1782"/>
          </w:tcPr>
          <w:p>
            <w:r>
              <w:rPr>
                <w:rFonts w:ascii="Aptos" w:hAnsi="Aptos"/>
                <w:sz w:val="16"/>
              </w:rPr>
              <w:t>Industry benchmark / ESG data</w:t>
            </w:r>
          </w:p>
        </w:tc>
        <w:tc>
          <w:tcPr>
            <w:tcW w:type="dxa" w:w="1782"/>
          </w:tcPr>
          <w:p>
            <w:r>
              <w:rPr>
                <w:rFonts w:ascii="Aptos" w:hAnsi="Aptos"/>
                <w:sz w:val="16"/>
              </w:rPr>
              <w:t>Optional</w:t>
            </w:r>
          </w:p>
        </w:tc>
        <w:tc>
          <w:tcPr>
            <w:tcW w:type="dxa" w:w="1782"/>
          </w:tcPr>
          <w:p>
            <w:r>
              <w:rPr>
                <w:rFonts w:ascii="Aptos" w:hAnsi="Aptos"/>
                <w:sz w:val="16"/>
              </w:rPr>
              <w:t>Benchmarking context</w:t>
            </w:r>
          </w:p>
        </w:tc>
        <w:tc>
          <w:tcPr>
            <w:tcW w:type="dxa" w:w="1782"/>
          </w:tcPr>
          <w:p>
            <w:r>
              <w:rPr>
                <w:rFonts w:ascii="Aptos" w:hAnsi="Aptos"/>
                <w:sz w:val="16"/>
              </w:rPr>
              <w:t>Not required when actual emissions exist</w:t>
            </w:r>
          </w:p>
        </w:tc>
        <w:tc>
          <w:tcPr>
            <w:tcW w:type="dxa" w:w="1782"/>
          </w:tcPr>
          <w:p>
            <w:r>
              <w:rPr>
                <w:rFonts w:ascii="Aptos" w:hAnsi="Aptos"/>
                <w:sz w:val="16"/>
              </w:rPr>
              <w:t>0.00021</w:t>
            </w:r>
          </w:p>
        </w:tc>
      </w:tr>
    </w:tbl>
    <w:p/>
    <w:p>
      <w:pPr>
        <w:pStyle w:val="Heading2"/>
      </w:pPr>
      <w:r>
        <w:t>Supporting calculated attributes</w:t>
      </w:r>
    </w:p>
    <w:tbl>
      <w:tblPr>
        <w:tblStyle w:val="TableGrid"/>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c>
          <w:tcPr>
            <w:tcW w:type="dxa" w:w="1782"/>
          </w:tcPr>
          <w:p>
            <w:r>
              <w:rPr>
                <w:rFonts w:ascii="Aptos" w:hAnsi="Aptos"/>
                <w:b/>
                <w:color w:val="152B4D"/>
                <w:sz w:val="16"/>
              </w:rPr>
              <w:t>Attribute name</w:t>
            </w:r>
          </w:p>
        </w:tc>
        <w:tc>
          <w:tcPr>
            <w:tcW w:type="dxa" w:w="1782"/>
          </w:tcPr>
          <w:p>
            <w:r>
              <w:rPr>
                <w:rFonts w:ascii="Aptos" w:hAnsi="Aptos"/>
                <w:b/>
                <w:color w:val="152B4D"/>
                <w:sz w:val="16"/>
              </w:rPr>
              <w:t>Description</w:t>
            </w:r>
          </w:p>
        </w:tc>
        <w:tc>
          <w:tcPr>
            <w:tcW w:type="dxa" w:w="1782"/>
          </w:tcPr>
          <w:p>
            <w:r>
              <w:rPr>
                <w:rFonts w:ascii="Aptos" w:hAnsi="Aptos"/>
                <w:b/>
                <w:color w:val="152B4D"/>
                <w:sz w:val="16"/>
              </w:rPr>
              <w:t>Data type</w:t>
            </w:r>
          </w:p>
        </w:tc>
        <w:tc>
          <w:tcPr>
            <w:tcW w:type="dxa" w:w="1782"/>
          </w:tcPr>
          <w:p>
            <w:r>
              <w:rPr>
                <w:rFonts w:ascii="Aptos" w:hAnsi="Aptos"/>
                <w:b/>
                <w:color w:val="152B4D"/>
                <w:sz w:val="16"/>
              </w:rPr>
              <w:t>Source system</w:t>
            </w:r>
          </w:p>
        </w:tc>
        <w:tc>
          <w:tcPr>
            <w:tcW w:type="dxa" w:w="1782"/>
          </w:tcPr>
          <w:p>
            <w:r>
              <w:rPr>
                <w:rFonts w:ascii="Aptos" w:hAnsi="Aptos"/>
                <w:b/>
                <w:color w:val="152B4D"/>
                <w:sz w:val="16"/>
              </w:rPr>
              <w:t>Mandatory / optional</w:t>
            </w:r>
          </w:p>
        </w:tc>
        <w:tc>
          <w:tcPr>
            <w:tcW w:type="dxa" w:w="1782"/>
          </w:tcPr>
          <w:p>
            <w:r>
              <w:rPr>
                <w:rFonts w:ascii="Aptos" w:hAnsi="Aptos"/>
                <w:b/>
                <w:color w:val="152B4D"/>
                <w:sz w:val="16"/>
              </w:rPr>
              <w:t>Business purpose</w:t>
            </w:r>
          </w:p>
        </w:tc>
        <w:tc>
          <w:tcPr>
            <w:tcW w:type="dxa" w:w="1782"/>
          </w:tcPr>
          <w:p>
            <w:r>
              <w:rPr>
                <w:rFonts w:ascii="Aptos" w:hAnsi="Aptos"/>
                <w:b/>
                <w:color w:val="152B4D"/>
                <w:sz w:val="16"/>
              </w:rPr>
              <w:t>Model impact</w:t>
            </w:r>
          </w:p>
        </w:tc>
        <w:tc>
          <w:tcPr>
            <w:tcW w:type="dxa" w:w="1782"/>
          </w:tcPr>
          <w:p>
            <w:r>
              <w:rPr>
                <w:rFonts w:ascii="Aptos" w:hAnsi="Aptos"/>
                <w:b/>
                <w:color w:val="152B4D"/>
                <w:sz w:val="16"/>
              </w:rPr>
              <w:t>Example value</w:t>
            </w:r>
          </w:p>
        </w:tc>
      </w:tr>
      <w:tr>
        <w:tc>
          <w:tcPr>
            <w:tcW w:type="dxa" w:w="1782"/>
          </w:tcPr>
          <w:p>
            <w:r>
              <w:rPr>
                <w:rFonts w:ascii="Aptos" w:hAnsi="Aptos"/>
                <w:sz w:val="16"/>
              </w:rPr>
              <w:t>Total_Emission_Value</w:t>
            </w:r>
          </w:p>
        </w:tc>
        <w:tc>
          <w:tcPr>
            <w:tcW w:type="dxa" w:w="1782"/>
          </w:tcPr>
          <w:p>
            <w:r>
              <w:rPr>
                <w:rFonts w:ascii="Aptos" w:hAnsi="Aptos"/>
                <w:sz w:val="16"/>
              </w:rPr>
              <w:t>Validated total emissions value</w:t>
            </w:r>
          </w:p>
        </w:tc>
        <w:tc>
          <w:tcPr>
            <w:tcW w:type="dxa" w:w="1782"/>
          </w:tcPr>
          <w:p>
            <w:r>
              <w:rPr>
                <w:rFonts w:ascii="Aptos" w:hAnsi="Aptos"/>
                <w:sz w:val="16"/>
              </w:rPr>
              <w:t>Decimal</w:t>
            </w:r>
          </w:p>
        </w:tc>
        <w:tc>
          <w:tcPr>
            <w:tcW w:type="dxa" w:w="1782"/>
          </w:tcPr>
          <w:p>
            <w:r>
              <w:rPr>
                <w:rFonts w:ascii="Aptos" w:hAnsi="Aptos"/>
                <w:sz w:val="16"/>
              </w:rPr>
              <w:t>Source / validation step</w:t>
            </w:r>
          </w:p>
        </w:tc>
        <w:tc>
          <w:tcPr>
            <w:tcW w:type="dxa" w:w="1782"/>
          </w:tcPr>
          <w:p>
            <w:r>
              <w:rPr>
                <w:rFonts w:ascii="Aptos" w:hAnsi="Aptos"/>
                <w:sz w:val="16"/>
              </w:rPr>
              <w:t>Mandatory output</w:t>
            </w:r>
          </w:p>
        </w:tc>
        <w:tc>
          <w:tcPr>
            <w:tcW w:type="dxa" w:w="1782"/>
          </w:tcPr>
          <w:p>
            <w:r>
              <w:rPr>
                <w:rFonts w:ascii="Aptos" w:hAnsi="Aptos"/>
                <w:sz w:val="16"/>
              </w:rPr>
              <w:t>Forecast model input</w:t>
            </w:r>
          </w:p>
        </w:tc>
        <w:tc>
          <w:tcPr>
            <w:tcW w:type="dxa" w:w="1782"/>
          </w:tcPr>
          <w:p>
            <w:r>
              <w:rPr>
                <w:rFonts w:ascii="Aptos" w:hAnsi="Aptos"/>
                <w:sz w:val="16"/>
              </w:rPr>
              <w:t>Drives all emissions forecasts</w:t>
            </w:r>
          </w:p>
        </w:tc>
        <w:tc>
          <w:tcPr>
            <w:tcW w:type="dxa" w:w="1782"/>
          </w:tcPr>
          <w:p>
            <w:r>
              <w:rPr>
                <w:rFonts w:ascii="Aptos" w:hAnsi="Aptos"/>
                <w:sz w:val="16"/>
              </w:rPr>
              <w:t>1500.42</w:t>
            </w:r>
          </w:p>
        </w:tc>
      </w:tr>
      <w:tr>
        <w:tc>
          <w:tcPr>
            <w:tcW w:type="dxa" w:w="1782"/>
          </w:tcPr>
          <w:p>
            <w:r>
              <w:rPr>
                <w:rFonts w:ascii="Aptos" w:hAnsi="Aptos"/>
                <w:sz w:val="16"/>
              </w:rPr>
              <w:t>Emission_Source_Flag</w:t>
            </w:r>
          </w:p>
        </w:tc>
        <w:tc>
          <w:tcPr>
            <w:tcW w:type="dxa" w:w="1782"/>
          </w:tcPr>
          <w:p>
            <w:r>
              <w:rPr>
                <w:rFonts w:ascii="Aptos" w:hAnsi="Aptos"/>
                <w:sz w:val="16"/>
              </w:rPr>
              <w:t>Source used for total emissions</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Audit trail</w:t>
            </w:r>
          </w:p>
        </w:tc>
        <w:tc>
          <w:tcPr>
            <w:tcW w:type="dxa" w:w="1782"/>
          </w:tcPr>
          <w:p>
            <w:r>
              <w:rPr>
                <w:rFonts w:ascii="Aptos" w:hAnsi="Aptos"/>
                <w:sz w:val="16"/>
              </w:rPr>
              <w:t>Confirms direct emissions input</w:t>
            </w:r>
          </w:p>
        </w:tc>
        <w:tc>
          <w:tcPr>
            <w:tcW w:type="dxa" w:w="1782"/>
          </w:tcPr>
          <w:p>
            <w:r>
              <w:rPr>
                <w:rFonts w:ascii="Aptos" w:hAnsi="Aptos"/>
                <w:sz w:val="16"/>
              </w:rPr>
              <w:t>Provided Total Emissions</w:t>
            </w:r>
          </w:p>
        </w:tc>
      </w:tr>
      <w:tr>
        <w:tc>
          <w:tcPr>
            <w:tcW w:type="dxa" w:w="1782"/>
          </w:tcPr>
          <w:p>
            <w:r>
              <w:rPr>
                <w:rFonts w:ascii="Aptos" w:hAnsi="Aptos"/>
                <w:sz w:val="16"/>
              </w:rPr>
              <w:t>Emissions_Data_Available_Flag</w:t>
            </w:r>
          </w:p>
        </w:tc>
        <w:tc>
          <w:tcPr>
            <w:tcW w:type="dxa" w:w="1782"/>
          </w:tcPr>
          <w:p>
            <w:r>
              <w:rPr>
                <w:rFonts w:ascii="Aptos" w:hAnsi="Aptos"/>
                <w:sz w:val="16"/>
              </w:rPr>
              <w:t>Confirms emissions are available</w:t>
            </w:r>
          </w:p>
        </w:tc>
        <w:tc>
          <w:tcPr>
            <w:tcW w:type="dxa" w:w="1782"/>
          </w:tcPr>
          <w:p>
            <w:r>
              <w:rPr>
                <w:rFonts w:ascii="Aptos" w:hAnsi="Aptos"/>
                <w:sz w:val="16"/>
              </w:rPr>
              <w:t>Boolean</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Completeness control</w:t>
            </w:r>
          </w:p>
        </w:tc>
        <w:tc>
          <w:tcPr>
            <w:tcW w:type="dxa" w:w="1782"/>
          </w:tcPr>
          <w:p>
            <w:r>
              <w:rPr>
                <w:rFonts w:ascii="Aptos" w:hAnsi="Aptos"/>
                <w:sz w:val="16"/>
              </w:rPr>
              <w:t>Excludes incomplete records</w:t>
            </w:r>
          </w:p>
        </w:tc>
        <w:tc>
          <w:tcPr>
            <w:tcW w:type="dxa" w:w="1782"/>
          </w:tcPr>
          <w:p>
            <w:r>
              <w:rPr>
                <w:rFonts w:ascii="Aptos" w:hAnsi="Aptos"/>
                <w:sz w:val="16"/>
              </w:rPr>
              <w:t>TRUE</w:t>
            </w:r>
          </w:p>
        </w:tc>
      </w:tr>
      <w:tr>
        <w:tc>
          <w:tcPr>
            <w:tcW w:type="dxa" w:w="1782"/>
          </w:tcPr>
          <w:p>
            <w:r>
              <w:rPr>
                <w:rFonts w:ascii="Aptos" w:hAnsi="Aptos"/>
                <w:sz w:val="16"/>
              </w:rPr>
              <w:t>Data_Quality_Flag</w:t>
            </w:r>
          </w:p>
        </w:tc>
        <w:tc>
          <w:tcPr>
            <w:tcW w:type="dxa" w:w="1782"/>
          </w:tcPr>
          <w:p>
            <w:r>
              <w:rPr>
                <w:rFonts w:ascii="Aptos" w:hAnsi="Aptos"/>
                <w:sz w:val="16"/>
              </w:rPr>
              <w:t>High / Missing / Review</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Governance and filtering</w:t>
            </w:r>
          </w:p>
        </w:tc>
        <w:tc>
          <w:tcPr>
            <w:tcW w:type="dxa" w:w="1782"/>
          </w:tcPr>
          <w:p>
            <w:r>
              <w:rPr>
                <w:rFonts w:ascii="Aptos" w:hAnsi="Aptos"/>
                <w:sz w:val="16"/>
              </w:rPr>
              <w:t>Risk and confidence</w:t>
            </w:r>
          </w:p>
        </w:tc>
        <w:tc>
          <w:tcPr>
            <w:tcW w:type="dxa" w:w="1782"/>
          </w:tcPr>
          <w:p>
            <w:r>
              <w:rPr>
                <w:rFonts w:ascii="Aptos" w:hAnsi="Aptos"/>
                <w:sz w:val="16"/>
              </w:rPr>
              <w:t>High</w:t>
            </w:r>
          </w:p>
        </w:tc>
      </w:tr>
      <w:tr>
        <w:tc>
          <w:tcPr>
            <w:tcW w:type="dxa" w:w="1782"/>
          </w:tcPr>
          <w:p>
            <w:r>
              <w:rPr>
                <w:rFonts w:ascii="Aptos" w:hAnsi="Aptos"/>
                <w:sz w:val="16"/>
              </w:rPr>
              <w:t>Missing_Parameter_Flag</w:t>
            </w:r>
          </w:p>
        </w:tc>
        <w:tc>
          <w:tcPr>
            <w:tcW w:type="dxa" w:w="1782"/>
          </w:tcPr>
          <w:p>
            <w:r>
              <w:rPr>
                <w:rFonts w:ascii="Aptos" w:hAnsi="Aptos"/>
                <w:sz w:val="16"/>
              </w:rPr>
              <w:t>Missing inputs that affected calculation</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Data remediation</w:t>
            </w:r>
          </w:p>
        </w:tc>
        <w:tc>
          <w:tcPr>
            <w:tcW w:type="dxa" w:w="1782"/>
          </w:tcPr>
          <w:p>
            <w:r>
              <w:rPr>
                <w:rFonts w:ascii="Aptos" w:hAnsi="Aptos"/>
                <w:sz w:val="16"/>
              </w:rPr>
              <w:t>Data quality dashboard</w:t>
            </w:r>
          </w:p>
        </w:tc>
        <w:tc>
          <w:tcPr>
            <w:tcW w:type="dxa" w:w="1782"/>
          </w:tcPr>
          <w:p>
            <w:r>
              <w:rPr>
                <w:rFonts w:ascii="Aptos" w:hAnsi="Aptos"/>
                <w:sz w:val="16"/>
              </w:rPr>
              <w:t>None</w:t>
            </w:r>
          </w:p>
        </w:tc>
      </w:tr>
      <w:tr>
        <w:tc>
          <w:tcPr>
            <w:tcW w:type="dxa" w:w="1782"/>
          </w:tcPr>
          <w:p>
            <w:r>
              <w:rPr>
                <w:rFonts w:ascii="Aptos" w:hAnsi="Aptos"/>
                <w:sz w:val="16"/>
              </w:rPr>
              <w:t>Confidence_Score</w:t>
            </w:r>
          </w:p>
        </w:tc>
        <w:tc>
          <w:tcPr>
            <w:tcW w:type="dxa" w:w="1782"/>
          </w:tcPr>
          <w:p>
            <w:r>
              <w:rPr>
                <w:rFonts w:ascii="Aptos" w:hAnsi="Aptos"/>
                <w:sz w:val="16"/>
              </w:rPr>
              <w:t>Forecast confidence score from 0 to 1</w:t>
            </w:r>
          </w:p>
        </w:tc>
        <w:tc>
          <w:tcPr>
            <w:tcW w:type="dxa" w:w="1782"/>
          </w:tcPr>
          <w:p>
            <w:r>
              <w:rPr>
                <w:rFonts w:ascii="Aptos" w:hAnsi="Aptos"/>
                <w:sz w:val="16"/>
              </w:rPr>
              <w:t>Decimal</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Forecast reliability</w:t>
            </w:r>
          </w:p>
        </w:tc>
        <w:tc>
          <w:tcPr>
            <w:tcW w:type="dxa" w:w="1782"/>
          </w:tcPr>
          <w:p>
            <w:r>
              <w:rPr>
                <w:rFonts w:ascii="Aptos" w:hAnsi="Aptos"/>
                <w:sz w:val="16"/>
              </w:rPr>
              <w:t>Risk scoring</w:t>
            </w:r>
          </w:p>
        </w:tc>
        <w:tc>
          <w:tcPr>
            <w:tcW w:type="dxa" w:w="1782"/>
          </w:tcPr>
          <w:p>
            <w:r>
              <w:rPr>
                <w:rFonts w:ascii="Aptos" w:hAnsi="Aptos"/>
                <w:sz w:val="16"/>
              </w:rPr>
              <w:t>0.82</w:t>
            </w:r>
          </w:p>
        </w:tc>
      </w:tr>
      <w:tr>
        <w:tc>
          <w:tcPr>
            <w:tcW w:type="dxa" w:w="1782"/>
          </w:tcPr>
          <w:p>
            <w:r>
              <w:rPr>
                <w:rFonts w:ascii="Aptos" w:hAnsi="Aptos"/>
                <w:sz w:val="16"/>
              </w:rPr>
              <w:t>Validation_Flag</w:t>
            </w:r>
          </w:p>
        </w:tc>
        <w:tc>
          <w:tcPr>
            <w:tcW w:type="dxa" w:w="1782"/>
          </w:tcPr>
          <w:p>
            <w:r>
              <w:rPr>
                <w:rFonts w:ascii="Aptos" w:hAnsi="Aptos"/>
                <w:sz w:val="16"/>
              </w:rPr>
              <w:t>Validity result</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Audit exception handling</w:t>
            </w:r>
          </w:p>
        </w:tc>
        <w:tc>
          <w:tcPr>
            <w:tcW w:type="dxa" w:w="1782"/>
          </w:tcPr>
          <w:p>
            <w:r>
              <w:rPr>
                <w:rFonts w:ascii="Aptos" w:hAnsi="Aptos"/>
                <w:sz w:val="16"/>
              </w:rPr>
              <w:t>Excludes or flags anomalies</w:t>
            </w:r>
          </w:p>
        </w:tc>
        <w:tc>
          <w:tcPr>
            <w:tcW w:type="dxa" w:w="1782"/>
          </w:tcPr>
          <w:p>
            <w:r>
              <w:rPr>
                <w:rFonts w:ascii="Aptos" w:hAnsi="Aptos"/>
                <w:sz w:val="16"/>
              </w:rPr>
              <w:t>Valid</w:t>
            </w:r>
          </w:p>
        </w:tc>
      </w:tr>
      <w:tr>
        <w:tc>
          <w:tcPr>
            <w:tcW w:type="dxa" w:w="1782"/>
          </w:tcPr>
          <w:p>
            <w:r>
              <w:rPr>
                <w:rFonts w:ascii="Aptos" w:hAnsi="Aptos"/>
                <w:sz w:val="16"/>
              </w:rPr>
              <w:t>Forecast_Method_Flag</w:t>
            </w:r>
          </w:p>
        </w:tc>
        <w:tc>
          <w:tcPr>
            <w:tcW w:type="dxa" w:w="1782"/>
          </w:tcPr>
          <w:p>
            <w:r>
              <w:rPr>
                <w:rFonts w:ascii="Aptos" w:hAnsi="Aptos"/>
                <w:sz w:val="16"/>
              </w:rPr>
              <w:t>Selected forecast method</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Method transparency</w:t>
            </w:r>
          </w:p>
        </w:tc>
        <w:tc>
          <w:tcPr>
            <w:tcW w:type="dxa" w:w="1782"/>
          </w:tcPr>
          <w:p>
            <w:r>
              <w:rPr>
                <w:rFonts w:ascii="Aptos" w:hAnsi="Aptos"/>
                <w:sz w:val="16"/>
              </w:rPr>
              <w:t>Explains forecast pathway</w:t>
            </w:r>
          </w:p>
        </w:tc>
        <w:tc>
          <w:tcPr>
            <w:tcW w:type="dxa" w:w="1782"/>
          </w:tcPr>
          <w:p>
            <w:r>
              <w:rPr>
                <w:rFonts w:ascii="Aptos" w:hAnsi="Aptos"/>
                <w:sz w:val="16"/>
              </w:rPr>
              <w:t>Supplier Target Pathway</w:t>
            </w:r>
          </w:p>
        </w:tc>
      </w:tr>
      <w:tr>
        <w:tc>
          <w:tcPr>
            <w:tcW w:type="dxa" w:w="1782"/>
          </w:tcPr>
          <w:p>
            <w:r>
              <w:rPr>
                <w:rFonts w:ascii="Aptos" w:hAnsi="Aptos"/>
                <w:sz w:val="16"/>
              </w:rPr>
              <w:t>Supplier_Risk_Category</w:t>
            </w:r>
          </w:p>
        </w:tc>
        <w:tc>
          <w:tcPr>
            <w:tcW w:type="dxa" w:w="1782"/>
          </w:tcPr>
          <w:p>
            <w:r>
              <w:rPr>
                <w:rFonts w:ascii="Aptos" w:hAnsi="Aptos"/>
                <w:sz w:val="16"/>
              </w:rPr>
              <w:t>Low / Medium / High / Critical</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Supplier intervention priority</w:t>
            </w:r>
          </w:p>
        </w:tc>
        <w:tc>
          <w:tcPr>
            <w:tcW w:type="dxa" w:w="1782"/>
          </w:tcPr>
          <w:p>
            <w:r>
              <w:rPr>
                <w:rFonts w:ascii="Aptos" w:hAnsi="Aptos"/>
                <w:sz w:val="16"/>
              </w:rPr>
              <w:t>Dashboard risk heatmap</w:t>
            </w:r>
          </w:p>
        </w:tc>
        <w:tc>
          <w:tcPr>
            <w:tcW w:type="dxa" w:w="1782"/>
          </w:tcPr>
          <w:p>
            <w:r>
              <w:rPr>
                <w:rFonts w:ascii="Aptos" w:hAnsi="Aptos"/>
                <w:sz w:val="16"/>
              </w:rPr>
              <w:t>High</w:t>
            </w:r>
          </w:p>
        </w:tc>
      </w:tr>
      <w:tr>
        <w:tc>
          <w:tcPr>
            <w:tcW w:type="dxa" w:w="1782"/>
          </w:tcPr>
          <w:p>
            <w:r>
              <w:rPr>
                <w:rFonts w:ascii="Aptos" w:hAnsi="Aptos"/>
                <w:sz w:val="16"/>
              </w:rPr>
              <w:t>Target_Achievement_Status</w:t>
            </w:r>
          </w:p>
        </w:tc>
        <w:tc>
          <w:tcPr>
            <w:tcW w:type="dxa" w:w="1782"/>
          </w:tcPr>
          <w:p>
            <w:r>
              <w:rPr>
                <w:rFonts w:ascii="Aptos" w:hAnsi="Aptos"/>
                <w:sz w:val="16"/>
              </w:rPr>
              <w:t>On track or off track</w:t>
            </w:r>
          </w:p>
        </w:tc>
        <w:tc>
          <w:tcPr>
            <w:tcW w:type="dxa" w:w="1782"/>
          </w:tcPr>
          <w:p>
            <w:r>
              <w:rPr>
                <w:rFonts w:ascii="Aptos" w:hAnsi="Aptos"/>
                <w:sz w:val="16"/>
              </w:rPr>
              <w:t>String</w:t>
            </w:r>
          </w:p>
        </w:tc>
        <w:tc>
          <w:tcPr>
            <w:tcW w:type="dxa" w:w="1782"/>
          </w:tcPr>
          <w:p>
            <w:r>
              <w:rPr>
                <w:rFonts w:ascii="Aptos" w:hAnsi="Aptos"/>
                <w:sz w:val="16"/>
              </w:rPr>
              <w:t>Calculated</w:t>
            </w:r>
          </w:p>
        </w:tc>
        <w:tc>
          <w:tcPr>
            <w:tcW w:type="dxa" w:w="1782"/>
          </w:tcPr>
          <w:p>
            <w:r>
              <w:rPr>
                <w:rFonts w:ascii="Aptos" w:hAnsi="Aptos"/>
                <w:sz w:val="16"/>
              </w:rPr>
              <w:t>Mandatory output</w:t>
            </w:r>
          </w:p>
        </w:tc>
        <w:tc>
          <w:tcPr>
            <w:tcW w:type="dxa" w:w="1782"/>
          </w:tcPr>
          <w:p>
            <w:r>
              <w:rPr>
                <w:rFonts w:ascii="Aptos" w:hAnsi="Aptos"/>
                <w:sz w:val="16"/>
              </w:rPr>
              <w:t>Performance management</w:t>
            </w:r>
          </w:p>
        </w:tc>
        <w:tc>
          <w:tcPr>
            <w:tcW w:type="dxa" w:w="1782"/>
          </w:tcPr>
          <w:p>
            <w:r>
              <w:rPr>
                <w:rFonts w:ascii="Aptos" w:hAnsi="Aptos"/>
                <w:sz w:val="16"/>
              </w:rPr>
              <w:t>Executive reporting</w:t>
            </w:r>
          </w:p>
        </w:tc>
        <w:tc>
          <w:tcPr>
            <w:tcW w:type="dxa" w:w="1782"/>
          </w:tcPr>
          <w:p>
            <w:r>
              <w:rPr>
                <w:rFonts w:ascii="Aptos" w:hAnsi="Aptos"/>
                <w:sz w:val="16"/>
              </w:rPr>
              <w:t>Off Track</w:t>
            </w:r>
          </w:p>
        </w:tc>
      </w:tr>
    </w:tbl>
    <w:p/>
    <w:p>
      <w:pPr>
        <w:pStyle w:val="Heading1"/>
      </w:pPr>
      <w:r>
        <w:t>4. Total Emission Value Validation</w:t>
      </w:r>
    </w:p>
    <w:p>
      <w:pPr>
        <w:pStyle w:val="Heading2"/>
      </w:pPr>
      <w:r>
        <w:t>Why the 6-level waterfall is not required here</w:t>
      </w:r>
    </w:p>
    <w:p>
      <w:r>
        <w:t>The 6-level data resolution waterfall is only required when supplier emissions are incomplete and the model must estimate missing values from scopes, spend, revenue, or industry averages. In this dataset, all suppliers already have historical and current emissions, so the model should not estimate emissions. It should use the supplied emissions directly and apply validation controls.</w:t>
      </w:r>
    </w:p>
    <w:p>
      <w:pPr>
        <w:pStyle w:val="Heading2"/>
      </w:pPr>
      <w:r>
        <w:t>Direct input logic</w:t>
      </w:r>
    </w:p>
    <w:p>
      <w:r>
        <w:t>Let:</w:t>
      </w:r>
    </w:p>
    <w:p>
      <w:pPr>
        <w:pStyle w:val="ListBullet"/>
      </w:pPr>
      <w:r>
        <w:t>TE = source-provided Total_Emission_Value</w:t>
      </w:r>
    </w:p>
    <w:p>
      <w:pPr>
        <w:pStyle w:val="ListBullet"/>
      </w:pPr>
      <w:r>
        <w:t>RE = Reported_Emissions</w:t>
      </w:r>
    </w:p>
    <w:p>
      <w:pPr>
        <w:pStyle w:val="NoSpacing"/>
      </w:pPr>
      <w:r>
        <w:rPr>
          <w:rFonts w:ascii="Courier New" w:hAnsi="Courier New"/>
          <w:sz w:val="17"/>
        </w:rPr>
        <w:t>Total_Emission_Value =</w:t>
        <w:br/>
      </w:r>
      <w:r>
        <w:rPr>
          <w:rFonts w:ascii="Courier New" w:hAnsi="Courier New"/>
          <w:sz w:val="17"/>
        </w:rPr>
        <w:t xml:space="preserve">    TE, if source total emissions are provided</w:t>
        <w:br/>
      </w:r>
      <w:r>
        <w:rPr>
          <w:rFonts w:ascii="Courier New" w:hAnsi="Courier New"/>
          <w:sz w:val="17"/>
        </w:rPr>
        <w:t xml:space="preserve">    RE, if reported emissions are provided and TE is not separately provided</w:t>
        <w:br/>
      </w:r>
      <w:r>
        <w:rPr>
          <w:rFonts w:ascii="Courier New" w:hAnsi="Courier New"/>
          <w:sz w:val="17"/>
        </w:rPr>
        <w:t xml:space="preserve">    Missing Emissions, only if both are blank</w:t>
      </w:r>
    </w:p>
    <w:p>
      <w:r>
        <w:t>This is not a waterfall-estimation method. It is a validation rule that confirms the emissions value is present, non-negative, and reasonable before forecasting.</w:t>
      </w:r>
    </w:p>
    <w:p>
      <w:pPr>
        <w:pStyle w:val="Heading2"/>
      </w:pPr>
      <w:r>
        <w:t>Supplemental benchmark calculations</w:t>
      </w:r>
    </w:p>
    <w:p>
      <w:r>
        <w:t>Because actual emissions are already available, spend-based and revenue-based emissions should be used as benchmark and reasonableness checks, not as replacements for actual supplier emissions.</w:t>
      </w:r>
    </w:p>
    <w:tbl>
      <w:tblPr>
        <w:tblStyle w:val="TableGrid"/>
        <w:tblW w:type="auto" w:w="0"/>
        <w:tblLayout w:type="autofit"/>
        <w:tblLook w:firstColumn="1" w:firstRow="1" w:lastColumn="0" w:lastRow="0" w:noHBand="0" w:noVBand="1" w:val="04A0"/>
      </w:tblPr>
      <w:tblGrid>
        <w:gridCol w:w="3564"/>
        <w:gridCol w:w="3564"/>
        <w:gridCol w:w="3564"/>
        <w:gridCol w:w="3564"/>
      </w:tblGrid>
      <w:tr>
        <w:tc>
          <w:tcPr>
            <w:tcW w:type="dxa" w:w="3564"/>
          </w:tcPr>
          <w:p>
            <w:r>
              <w:rPr>
                <w:rFonts w:ascii="Aptos" w:hAnsi="Aptos"/>
                <w:b/>
                <w:color w:val="152B4D"/>
                <w:sz w:val="16"/>
              </w:rPr>
              <w:t>Benchmark</w:t>
            </w:r>
          </w:p>
        </w:tc>
        <w:tc>
          <w:tcPr>
            <w:tcW w:type="dxa" w:w="3564"/>
          </w:tcPr>
          <w:p>
            <w:r>
              <w:rPr>
                <w:rFonts w:ascii="Aptos" w:hAnsi="Aptos"/>
                <w:b/>
                <w:color w:val="152B4D"/>
                <w:sz w:val="16"/>
              </w:rPr>
              <w:t>Formula</w:t>
            </w:r>
          </w:p>
        </w:tc>
        <w:tc>
          <w:tcPr>
            <w:tcW w:type="dxa" w:w="3564"/>
          </w:tcPr>
          <w:p>
            <w:r>
              <w:rPr>
                <w:rFonts w:ascii="Aptos" w:hAnsi="Aptos"/>
                <w:b/>
                <w:color w:val="152B4D"/>
                <w:sz w:val="16"/>
              </w:rPr>
              <w:t>Purpose</w:t>
            </w:r>
          </w:p>
        </w:tc>
        <w:tc>
          <w:tcPr>
            <w:tcW w:type="dxa" w:w="3564"/>
          </w:tcPr>
          <w:p>
            <w:r>
              <w:rPr>
                <w:rFonts w:ascii="Aptos" w:hAnsi="Aptos"/>
                <w:b/>
                <w:color w:val="152B4D"/>
                <w:sz w:val="16"/>
              </w:rPr>
              <w:t>Model treatment</w:t>
            </w:r>
          </w:p>
        </w:tc>
      </w:tr>
      <w:tr>
        <w:tc>
          <w:tcPr>
            <w:tcW w:type="dxa" w:w="3564"/>
          </w:tcPr>
          <w:p>
            <w:r>
              <w:rPr>
                <w:rFonts w:ascii="Aptos" w:hAnsi="Aptos"/>
                <w:sz w:val="16"/>
              </w:rPr>
              <w:t>Spend-Based Emissions</w:t>
            </w:r>
          </w:p>
        </w:tc>
        <w:tc>
          <w:tcPr>
            <w:tcW w:type="dxa" w:w="3564"/>
          </w:tcPr>
          <w:p>
            <w:r>
              <w:rPr>
                <w:rFonts w:ascii="Aptos" w:hAnsi="Aptos"/>
                <w:sz w:val="16"/>
              </w:rPr>
              <w:t>Gross_Spend x Spend_Based_Emission_Factor</w:t>
            </w:r>
          </w:p>
        </w:tc>
        <w:tc>
          <w:tcPr>
            <w:tcW w:type="dxa" w:w="3564"/>
          </w:tcPr>
          <w:p>
            <w:r>
              <w:rPr>
                <w:rFonts w:ascii="Aptos" w:hAnsi="Aptos"/>
                <w:sz w:val="16"/>
              </w:rPr>
              <w:t>Compare procurement-spend proxy to actual emissions</w:t>
            </w:r>
          </w:p>
        </w:tc>
        <w:tc>
          <w:tcPr>
            <w:tcW w:type="dxa" w:w="3564"/>
          </w:tcPr>
          <w:p>
            <w:r>
              <w:rPr>
                <w:rFonts w:ascii="Aptos" w:hAnsi="Aptos"/>
                <w:sz w:val="16"/>
              </w:rPr>
              <w:t>Supplemental benchmark only</w:t>
            </w:r>
          </w:p>
        </w:tc>
      </w:tr>
      <w:tr>
        <w:tc>
          <w:tcPr>
            <w:tcW w:type="dxa" w:w="3564"/>
          </w:tcPr>
          <w:p>
            <w:r>
              <w:rPr>
                <w:rFonts w:ascii="Aptos" w:hAnsi="Aptos"/>
                <w:sz w:val="16"/>
              </w:rPr>
              <w:t>Revenue-Based Emissions</w:t>
            </w:r>
          </w:p>
        </w:tc>
        <w:tc>
          <w:tcPr>
            <w:tcW w:type="dxa" w:w="3564"/>
          </w:tcPr>
          <w:p>
            <w:r>
              <w:rPr>
                <w:rFonts w:ascii="Aptos" w:hAnsi="Aptos"/>
                <w:sz w:val="16"/>
              </w:rPr>
              <w:t>Revenue x Revenue_Based_Emission_Intensity</w:t>
            </w:r>
          </w:p>
        </w:tc>
        <w:tc>
          <w:tcPr>
            <w:tcW w:type="dxa" w:w="3564"/>
          </w:tcPr>
          <w:p>
            <w:r>
              <w:rPr>
                <w:rFonts w:ascii="Aptos" w:hAnsi="Aptos"/>
                <w:sz w:val="16"/>
              </w:rPr>
              <w:t>Compare revenue-intensity proxy to actual emissions</w:t>
            </w:r>
          </w:p>
        </w:tc>
        <w:tc>
          <w:tcPr>
            <w:tcW w:type="dxa" w:w="3564"/>
          </w:tcPr>
          <w:p>
            <w:r>
              <w:rPr>
                <w:rFonts w:ascii="Aptos" w:hAnsi="Aptos"/>
                <w:sz w:val="16"/>
              </w:rPr>
              <w:t>Supplemental benchmark only</w:t>
            </w:r>
          </w:p>
        </w:tc>
      </w:tr>
      <w:tr>
        <w:tc>
          <w:tcPr>
            <w:tcW w:type="dxa" w:w="3564"/>
          </w:tcPr>
          <w:p>
            <w:r>
              <w:rPr>
                <w:rFonts w:ascii="Aptos" w:hAnsi="Aptos"/>
                <w:sz w:val="16"/>
              </w:rPr>
              <w:t>Spend-Based vs Actual</w:t>
            </w:r>
          </w:p>
        </w:tc>
        <w:tc>
          <w:tcPr>
            <w:tcW w:type="dxa" w:w="3564"/>
          </w:tcPr>
          <w:p>
            <w:r>
              <w:rPr>
                <w:rFonts w:ascii="Aptos" w:hAnsi="Aptos"/>
                <w:sz w:val="16"/>
              </w:rPr>
              <w:t>Spend_Based_Emission - Total_Emission_Value</w:t>
            </w:r>
          </w:p>
        </w:tc>
        <w:tc>
          <w:tcPr>
            <w:tcW w:type="dxa" w:w="3564"/>
          </w:tcPr>
          <w:p>
            <w:r>
              <w:rPr>
                <w:rFonts w:ascii="Aptos" w:hAnsi="Aptos"/>
                <w:sz w:val="16"/>
              </w:rPr>
              <w:t>Identify suppliers where spend proxy diverges from actual emissions</w:t>
            </w:r>
          </w:p>
        </w:tc>
        <w:tc>
          <w:tcPr>
            <w:tcW w:type="dxa" w:w="3564"/>
          </w:tcPr>
          <w:p>
            <w:r>
              <w:rPr>
                <w:rFonts w:ascii="Aptos" w:hAnsi="Aptos"/>
                <w:sz w:val="16"/>
              </w:rPr>
              <w:t>Data quality / reasonableness check</w:t>
            </w:r>
          </w:p>
        </w:tc>
      </w:tr>
      <w:tr>
        <w:tc>
          <w:tcPr>
            <w:tcW w:type="dxa" w:w="3564"/>
          </w:tcPr>
          <w:p>
            <w:r>
              <w:rPr>
                <w:rFonts w:ascii="Aptos" w:hAnsi="Aptos"/>
                <w:sz w:val="16"/>
              </w:rPr>
              <w:t>Revenue-Based vs Actual</w:t>
            </w:r>
          </w:p>
        </w:tc>
        <w:tc>
          <w:tcPr>
            <w:tcW w:type="dxa" w:w="3564"/>
          </w:tcPr>
          <w:p>
            <w:r>
              <w:rPr>
                <w:rFonts w:ascii="Aptos" w:hAnsi="Aptos"/>
                <w:sz w:val="16"/>
              </w:rPr>
              <w:t>Revenue_Based_Emission - Total_Emission_Value</w:t>
            </w:r>
          </w:p>
        </w:tc>
        <w:tc>
          <w:tcPr>
            <w:tcW w:type="dxa" w:w="3564"/>
          </w:tcPr>
          <w:p>
            <w:r>
              <w:rPr>
                <w:rFonts w:ascii="Aptos" w:hAnsi="Aptos"/>
                <w:sz w:val="16"/>
              </w:rPr>
              <w:t>Identify suppliers where revenue proxy diverges from actual emissions</w:t>
            </w:r>
          </w:p>
        </w:tc>
        <w:tc>
          <w:tcPr>
            <w:tcW w:type="dxa" w:w="3564"/>
          </w:tcPr>
          <w:p>
            <w:r>
              <w:rPr>
                <w:rFonts w:ascii="Aptos" w:hAnsi="Aptos"/>
                <w:sz w:val="16"/>
              </w:rPr>
              <w:t>Data quality / reasonableness check</w:t>
            </w:r>
          </w:p>
        </w:tc>
      </w:tr>
    </w:tbl>
    <w:p/>
    <w:p>
      <w:pPr>
        <w:pStyle w:val="Heading2"/>
      </w:pPr>
      <w:r>
        <w:t>Required validation flags</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Aptos" w:hAnsi="Aptos"/>
                <w:b/>
                <w:color w:val="152B4D"/>
                <w:sz w:val="16"/>
              </w:rPr>
              <w:t>Flag</w:t>
            </w:r>
          </w:p>
        </w:tc>
        <w:tc>
          <w:tcPr>
            <w:tcW w:type="dxa" w:w="4752"/>
          </w:tcPr>
          <w:p>
            <w:r>
              <w:rPr>
                <w:rFonts w:ascii="Aptos" w:hAnsi="Aptos"/>
                <w:b/>
                <w:color w:val="152B4D"/>
                <w:sz w:val="16"/>
              </w:rPr>
              <w:t>Purpose</w:t>
            </w:r>
          </w:p>
        </w:tc>
        <w:tc>
          <w:tcPr>
            <w:tcW w:type="dxa" w:w="4752"/>
          </w:tcPr>
          <w:p>
            <w:r>
              <w:rPr>
                <w:rFonts w:ascii="Aptos" w:hAnsi="Aptos"/>
                <w:b/>
                <w:color w:val="152B4D"/>
                <w:sz w:val="16"/>
              </w:rPr>
              <w:t>Example values</w:t>
            </w:r>
          </w:p>
        </w:tc>
      </w:tr>
      <w:tr>
        <w:tc>
          <w:tcPr>
            <w:tcW w:type="dxa" w:w="4752"/>
          </w:tcPr>
          <w:p>
            <w:r>
              <w:rPr>
                <w:rFonts w:ascii="Aptos" w:hAnsi="Aptos"/>
                <w:sz w:val="16"/>
              </w:rPr>
              <w:t>Emission_Source_Flag</w:t>
            </w:r>
          </w:p>
        </w:tc>
        <w:tc>
          <w:tcPr>
            <w:tcW w:type="dxa" w:w="4752"/>
          </w:tcPr>
          <w:p>
            <w:r>
              <w:rPr>
                <w:rFonts w:ascii="Aptos" w:hAnsi="Aptos"/>
                <w:sz w:val="16"/>
              </w:rPr>
              <w:t>Shows whether the model used the supplied total emissions or reported emissions field</w:t>
            </w:r>
          </w:p>
        </w:tc>
        <w:tc>
          <w:tcPr>
            <w:tcW w:type="dxa" w:w="4752"/>
          </w:tcPr>
          <w:p>
            <w:r>
              <w:rPr>
                <w:rFonts w:ascii="Aptos" w:hAnsi="Aptos"/>
                <w:sz w:val="16"/>
              </w:rPr>
              <w:t>Provided Total Emissions, Supplier Reported Emissions</w:t>
            </w:r>
          </w:p>
        </w:tc>
      </w:tr>
      <w:tr>
        <w:tc>
          <w:tcPr>
            <w:tcW w:type="dxa" w:w="4752"/>
          </w:tcPr>
          <w:p>
            <w:r>
              <w:rPr>
                <w:rFonts w:ascii="Aptos" w:hAnsi="Aptos"/>
                <w:sz w:val="16"/>
              </w:rPr>
              <w:t>Emissions_Data_Available_Flag</w:t>
            </w:r>
          </w:p>
        </w:tc>
        <w:tc>
          <w:tcPr>
            <w:tcW w:type="dxa" w:w="4752"/>
          </w:tcPr>
          <w:p>
            <w:r>
              <w:rPr>
                <w:rFonts w:ascii="Aptos" w:hAnsi="Aptos"/>
                <w:sz w:val="16"/>
              </w:rPr>
              <w:t>Confirms the supplier-year record has emissions available</w:t>
            </w:r>
          </w:p>
        </w:tc>
        <w:tc>
          <w:tcPr>
            <w:tcW w:type="dxa" w:w="4752"/>
          </w:tcPr>
          <w:p>
            <w:r>
              <w:rPr>
                <w:rFonts w:ascii="Aptos" w:hAnsi="Aptos"/>
                <w:sz w:val="16"/>
              </w:rPr>
              <w:t>TRUE / FALSE</w:t>
            </w:r>
          </w:p>
        </w:tc>
      </w:tr>
      <w:tr>
        <w:tc>
          <w:tcPr>
            <w:tcW w:type="dxa" w:w="4752"/>
          </w:tcPr>
          <w:p>
            <w:r>
              <w:rPr>
                <w:rFonts w:ascii="Aptos" w:hAnsi="Aptos"/>
                <w:sz w:val="16"/>
              </w:rPr>
              <w:t>Data_Quality_Flag</w:t>
            </w:r>
          </w:p>
        </w:tc>
        <w:tc>
          <w:tcPr>
            <w:tcW w:type="dxa" w:w="4752"/>
          </w:tcPr>
          <w:p>
            <w:r>
              <w:rPr>
                <w:rFonts w:ascii="Aptos" w:hAnsi="Aptos"/>
                <w:sz w:val="16"/>
              </w:rPr>
              <w:t>Summarizes quality tier for the supplied value</w:t>
            </w:r>
          </w:p>
        </w:tc>
        <w:tc>
          <w:tcPr>
            <w:tcW w:type="dxa" w:w="4752"/>
          </w:tcPr>
          <w:p>
            <w:r>
              <w:rPr>
                <w:rFonts w:ascii="Aptos" w:hAnsi="Aptos"/>
                <w:sz w:val="16"/>
              </w:rPr>
              <w:t>High, Missing, Review</w:t>
            </w:r>
          </w:p>
        </w:tc>
      </w:tr>
      <w:tr>
        <w:tc>
          <w:tcPr>
            <w:tcW w:type="dxa" w:w="4752"/>
          </w:tcPr>
          <w:p>
            <w:r>
              <w:rPr>
                <w:rFonts w:ascii="Aptos" w:hAnsi="Aptos"/>
                <w:sz w:val="16"/>
              </w:rPr>
              <w:t>Missing_Parameter_Flag</w:t>
            </w:r>
          </w:p>
        </w:tc>
        <w:tc>
          <w:tcPr>
            <w:tcW w:type="dxa" w:w="4752"/>
          </w:tcPr>
          <w:p>
            <w:r>
              <w:rPr>
                <w:rFonts w:ascii="Aptos" w:hAnsi="Aptos"/>
                <w:sz w:val="16"/>
              </w:rPr>
              <w:t>Lists missing mandatory inputs</w:t>
            </w:r>
          </w:p>
        </w:tc>
        <w:tc>
          <w:tcPr>
            <w:tcW w:type="dxa" w:w="4752"/>
          </w:tcPr>
          <w:p>
            <w:r>
              <w:rPr>
                <w:rFonts w:ascii="Aptos" w:hAnsi="Aptos"/>
                <w:sz w:val="16"/>
              </w:rPr>
              <w:t>None, Total_Emission_Value</w:t>
            </w:r>
          </w:p>
        </w:tc>
      </w:tr>
      <w:tr>
        <w:tc>
          <w:tcPr>
            <w:tcW w:type="dxa" w:w="4752"/>
          </w:tcPr>
          <w:p>
            <w:r>
              <w:rPr>
                <w:rFonts w:ascii="Aptos" w:hAnsi="Aptos"/>
                <w:sz w:val="16"/>
              </w:rPr>
              <w:t>Confidence_Score</w:t>
            </w:r>
          </w:p>
        </w:tc>
        <w:tc>
          <w:tcPr>
            <w:tcW w:type="dxa" w:w="4752"/>
          </w:tcPr>
          <w:p>
            <w:r>
              <w:rPr>
                <w:rFonts w:ascii="Aptos" w:hAnsi="Aptos"/>
                <w:sz w:val="16"/>
              </w:rPr>
              <w:t>Numeric reliability score for direct emissions input</w:t>
            </w:r>
          </w:p>
        </w:tc>
        <w:tc>
          <w:tcPr>
            <w:tcW w:type="dxa" w:w="4752"/>
          </w:tcPr>
          <w:p>
            <w:r>
              <w:rPr>
                <w:rFonts w:ascii="Aptos" w:hAnsi="Aptos"/>
                <w:sz w:val="16"/>
              </w:rPr>
              <w:t>0.95 when emissions are available</w:t>
            </w:r>
          </w:p>
        </w:tc>
      </w:tr>
      <w:tr>
        <w:tc>
          <w:tcPr>
            <w:tcW w:type="dxa" w:w="4752"/>
          </w:tcPr>
          <w:p>
            <w:r>
              <w:rPr>
                <w:rFonts w:ascii="Aptos" w:hAnsi="Aptos"/>
                <w:sz w:val="16"/>
              </w:rPr>
              <w:t>Validation_Flag</w:t>
            </w:r>
          </w:p>
        </w:tc>
        <w:tc>
          <w:tcPr>
            <w:tcW w:type="dxa" w:w="4752"/>
          </w:tcPr>
          <w:p>
            <w:r>
              <w:rPr>
                <w:rFonts w:ascii="Aptos" w:hAnsi="Aptos"/>
                <w:sz w:val="16"/>
              </w:rPr>
              <w:t>Identifies validity issues</w:t>
            </w:r>
          </w:p>
        </w:tc>
        <w:tc>
          <w:tcPr>
            <w:tcW w:type="dxa" w:w="4752"/>
          </w:tcPr>
          <w:p>
            <w:r>
              <w:rPr>
                <w:rFonts w:ascii="Aptos" w:hAnsi="Aptos"/>
                <w:sz w:val="16"/>
              </w:rPr>
              <w:t>Valid, Missing Emissions, Invalid Negative Emissions, Outlier Review</w:t>
            </w:r>
          </w:p>
        </w:tc>
      </w:tr>
    </w:tbl>
    <w:p/>
    <w:p>
      <w:pPr>
        <w:pStyle w:val="Heading1"/>
      </w:pPr>
      <w:r>
        <w:t>5. Forecasting Methodology</w:t>
      </w:r>
    </w:p>
    <w:p>
      <w:pPr>
        <w:pStyle w:val="Heading2"/>
      </w:pPr>
      <w:r>
        <w:t>Forecast selection hierarchy</w:t>
      </w:r>
    </w:p>
    <w:p>
      <w:pPr>
        <w:pStyle w:val="NoSpacing"/>
      </w:pPr>
      <w:r>
        <w:rPr>
          <w:rFonts w:ascii="Courier New" w:hAnsi="Courier New"/>
          <w:sz w:val="17"/>
        </w:rPr>
        <w:t>IF supplier target exists:</w:t>
        <w:br/>
      </w:r>
      <w:r>
        <w:rPr>
          <w:rFonts w:ascii="Courier New" w:hAnsi="Courier New"/>
          <w:sz w:val="17"/>
        </w:rPr>
        <w:t xml:space="preserve">    Supplier Target Pathway</w:t>
        <w:br/>
      </w:r>
      <w:r>
        <w:rPr>
          <w:rFonts w:ascii="Courier New" w:hAnsi="Courier New"/>
          <w:sz w:val="17"/>
        </w:rPr>
        <w:t>ELSE IF industry haircut exists:</w:t>
        <w:br/>
      </w:r>
      <w:r>
        <w:rPr>
          <w:rFonts w:ascii="Courier New" w:hAnsi="Courier New"/>
          <w:sz w:val="17"/>
        </w:rPr>
        <w:t xml:space="preserve">    Industry Haircut Pathway</w:t>
        <w:br/>
      </w:r>
      <w:r>
        <w:rPr>
          <w:rFonts w:ascii="Courier New" w:hAnsi="Courier New"/>
          <w:sz w:val="17"/>
        </w:rPr>
        <w:t>ELSE:</w:t>
        <w:br/>
      </w:r>
      <w:r>
        <w:rPr>
          <w:rFonts w:ascii="Courier New" w:hAnsi="Courier New"/>
          <w:sz w:val="17"/>
        </w:rPr>
        <w:t xml:space="preserve">    Historical Trend Pathway</w:t>
      </w:r>
    </w:p>
    <w:p>
      <w:pPr>
        <w:pStyle w:val="Heading2"/>
      </w:pPr>
      <w:r>
        <w:t>5.1 Supplier Target Pathway</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Category</w:t>
            </w:r>
          </w:p>
        </w:tc>
        <w:tc>
          <w:tcPr>
            <w:tcW w:type="dxa" w:w="7128"/>
          </w:tcPr>
          <w:p>
            <w:r>
              <w:rPr>
                <w:rFonts w:ascii="Aptos" w:hAnsi="Aptos"/>
                <w:b/>
                <w:color w:val="152B4D"/>
                <w:sz w:val="16"/>
              </w:rPr>
              <w:t>Detail</w:t>
            </w:r>
          </w:p>
        </w:tc>
      </w:tr>
      <w:tr>
        <w:tc>
          <w:tcPr>
            <w:tcW w:type="dxa" w:w="7128"/>
          </w:tcPr>
          <w:p>
            <w:r>
              <w:rPr>
                <w:rFonts w:ascii="Aptos" w:hAnsi="Aptos"/>
                <w:sz w:val="16"/>
              </w:rPr>
              <w:t>When to use</w:t>
            </w:r>
          </w:p>
        </w:tc>
        <w:tc>
          <w:tcPr>
            <w:tcW w:type="dxa" w:w="7128"/>
          </w:tcPr>
          <w:p>
            <w:r>
              <w:rPr>
                <w:rFonts w:ascii="Aptos" w:hAnsi="Aptos"/>
                <w:sz w:val="16"/>
              </w:rPr>
              <w:t>Supplier has Baseline_Year, Target_Year, and Target_Reduction_Percentage.</w:t>
            </w:r>
          </w:p>
        </w:tc>
      </w:tr>
      <w:tr>
        <w:tc>
          <w:tcPr>
            <w:tcW w:type="dxa" w:w="7128"/>
          </w:tcPr>
          <w:p>
            <w:r>
              <w:rPr>
                <w:rFonts w:ascii="Aptos" w:hAnsi="Aptos"/>
                <w:sz w:val="16"/>
              </w:rPr>
              <w:t>Required inputs</w:t>
            </w:r>
          </w:p>
        </w:tc>
        <w:tc>
          <w:tcPr>
            <w:tcW w:type="dxa" w:w="7128"/>
          </w:tcPr>
          <w:p>
            <w:r>
              <w:rPr>
                <w:rFonts w:ascii="Aptos" w:hAnsi="Aptos"/>
                <w:sz w:val="16"/>
              </w:rPr>
              <w:t>Baseline_Emission, Baseline_Year, Target_Year, Target_Reduction_Percentage.</w:t>
            </w:r>
          </w:p>
        </w:tc>
      </w:tr>
      <w:tr>
        <w:tc>
          <w:tcPr>
            <w:tcW w:type="dxa" w:w="7128"/>
          </w:tcPr>
          <w:p>
            <w:r>
              <w:rPr>
                <w:rFonts w:ascii="Aptos" w:hAnsi="Aptos"/>
                <w:sz w:val="16"/>
              </w:rPr>
              <w:t>Mathematical formula</w:t>
            </w:r>
          </w:p>
        </w:tc>
        <w:tc>
          <w:tcPr>
            <w:tcW w:type="dxa" w:w="7128"/>
          </w:tcPr>
          <w:p>
            <w:r>
              <w:rPr>
                <w:rFonts w:ascii="Aptos" w:hAnsi="Aptos"/>
                <w:sz w:val="16"/>
              </w:rPr>
              <w:t>Target_Emission = Baseline_Emission x (1 - Target_Reduction_Percentage) and Glide_Path = max(Target_Emission, Baseline_Emission - Annual_Reduction_Required x (Forecast_Year - Baseline_Year)).</w:t>
            </w:r>
          </w:p>
        </w:tc>
      </w:tr>
      <w:tr>
        <w:tc>
          <w:tcPr>
            <w:tcW w:type="dxa" w:w="7128"/>
          </w:tcPr>
          <w:p>
            <w:r>
              <w:rPr>
                <w:rFonts w:ascii="Aptos" w:hAnsi="Aptos"/>
                <w:sz w:val="16"/>
              </w:rPr>
              <w:t>Excel formula</w:t>
            </w:r>
          </w:p>
        </w:tc>
        <w:tc>
          <w:tcPr>
            <w:tcW w:type="dxa" w:w="7128"/>
          </w:tcPr>
          <w:p>
            <w:r>
              <w:rPr>
                <w:rFonts w:ascii="Aptos" w:hAnsi="Aptos"/>
                <w:sz w:val="16"/>
              </w:rPr>
              <w:t>=[@[Baseline_Emission]]*(1-[@[Target_Reduction_Percentage]])</w:t>
            </w:r>
          </w:p>
        </w:tc>
      </w:tr>
      <w:tr>
        <w:tc>
          <w:tcPr>
            <w:tcW w:type="dxa" w:w="7128"/>
          </w:tcPr>
          <w:p>
            <w:r>
              <w:rPr>
                <w:rFonts w:ascii="Aptos" w:hAnsi="Aptos"/>
                <w:sz w:val="16"/>
              </w:rPr>
              <w:t>Python logic</w:t>
            </w:r>
          </w:p>
        </w:tc>
        <w:tc>
          <w:tcPr>
            <w:tcW w:type="dxa" w:w="7128"/>
          </w:tcPr>
          <w:p>
            <w:r>
              <w:rPr>
                <w:rFonts w:ascii="Aptos" w:hAnsi="Aptos"/>
                <w:sz w:val="16"/>
              </w:rPr>
              <w:t>forecast_method = "Supplier Target Pathway" when supplier target fields are populated; forecast follows the glide path.</w:t>
            </w:r>
          </w:p>
        </w:tc>
      </w:tr>
      <w:tr>
        <w:tc>
          <w:tcPr>
            <w:tcW w:type="dxa" w:w="7128"/>
          </w:tcPr>
          <w:p>
            <w:r>
              <w:rPr>
                <w:rFonts w:ascii="Aptos" w:hAnsi="Aptos"/>
                <w:sz w:val="16"/>
              </w:rPr>
              <w:t>Output columns</w:t>
            </w:r>
          </w:p>
        </w:tc>
        <w:tc>
          <w:tcPr>
            <w:tcW w:type="dxa" w:w="7128"/>
          </w:tcPr>
          <w:p>
            <w:r>
              <w:rPr>
                <w:rFonts w:ascii="Aptos" w:hAnsi="Aptos"/>
                <w:sz w:val="16"/>
              </w:rPr>
              <w:t>Forecast_Method_Flag, Target_Emission, Glide_Path_Emission, Forecast_Emission, Gap_to_Target, Target_Achievement_Status.</w:t>
            </w:r>
          </w:p>
        </w:tc>
      </w:tr>
      <w:tr>
        <w:tc>
          <w:tcPr>
            <w:tcW w:type="dxa" w:w="7128"/>
          </w:tcPr>
          <w:p>
            <w:r>
              <w:rPr>
                <w:rFonts w:ascii="Aptos" w:hAnsi="Aptos"/>
                <w:sz w:val="16"/>
              </w:rPr>
              <w:t>Business impact</w:t>
            </w:r>
          </w:p>
        </w:tc>
        <w:tc>
          <w:tcPr>
            <w:tcW w:type="dxa" w:w="7128"/>
          </w:tcPr>
          <w:p>
            <w:r>
              <w:rPr>
                <w:rFonts w:ascii="Aptos" w:hAnsi="Aptos"/>
                <w:sz w:val="16"/>
              </w:rPr>
              <w:t>Aligns supplier forecasts with supplier commitments and contractual targets.</w:t>
            </w:r>
          </w:p>
        </w:tc>
      </w:tr>
      <w:tr>
        <w:tc>
          <w:tcPr>
            <w:tcW w:type="dxa" w:w="7128"/>
          </w:tcPr>
          <w:p>
            <w:r>
              <w:rPr>
                <w:rFonts w:ascii="Aptos" w:hAnsi="Aptos"/>
                <w:sz w:val="16"/>
              </w:rPr>
              <w:t>Advantages</w:t>
            </w:r>
          </w:p>
        </w:tc>
        <w:tc>
          <w:tcPr>
            <w:tcW w:type="dxa" w:w="7128"/>
          </w:tcPr>
          <w:p>
            <w:r>
              <w:rPr>
                <w:rFonts w:ascii="Aptos" w:hAnsi="Aptos"/>
                <w:sz w:val="16"/>
              </w:rPr>
              <w:t>Highest business relevance, easy to audit, supports supplier engagement.</w:t>
            </w:r>
          </w:p>
        </w:tc>
      </w:tr>
      <w:tr>
        <w:tc>
          <w:tcPr>
            <w:tcW w:type="dxa" w:w="7128"/>
          </w:tcPr>
          <w:p>
            <w:r>
              <w:rPr>
                <w:rFonts w:ascii="Aptos" w:hAnsi="Aptos"/>
                <w:sz w:val="16"/>
              </w:rPr>
              <w:t>Drawbacks</w:t>
            </w:r>
          </w:p>
        </w:tc>
        <w:tc>
          <w:tcPr>
            <w:tcW w:type="dxa" w:w="7128"/>
          </w:tcPr>
          <w:p>
            <w:r>
              <w:rPr>
                <w:rFonts w:ascii="Aptos" w:hAnsi="Aptos"/>
                <w:sz w:val="16"/>
              </w:rPr>
              <w:t>Depends on accurate supplier target evidence and baseline data.</w:t>
            </w:r>
          </w:p>
        </w:tc>
      </w:tr>
    </w:tbl>
    <w:p/>
    <w:p>
      <w:pPr>
        <w:pStyle w:val="Heading2"/>
      </w:pPr>
      <w:r>
        <w:t>5.2 Industry Haircut Pathway</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Category</w:t>
            </w:r>
          </w:p>
        </w:tc>
        <w:tc>
          <w:tcPr>
            <w:tcW w:type="dxa" w:w="7128"/>
          </w:tcPr>
          <w:p>
            <w:r>
              <w:rPr>
                <w:rFonts w:ascii="Aptos" w:hAnsi="Aptos"/>
                <w:b/>
                <w:color w:val="152B4D"/>
                <w:sz w:val="16"/>
              </w:rPr>
              <w:t>Detail</w:t>
            </w:r>
          </w:p>
        </w:tc>
      </w:tr>
      <w:tr>
        <w:tc>
          <w:tcPr>
            <w:tcW w:type="dxa" w:w="7128"/>
          </w:tcPr>
          <w:p>
            <w:r>
              <w:rPr>
                <w:rFonts w:ascii="Aptos" w:hAnsi="Aptos"/>
                <w:sz w:val="16"/>
              </w:rPr>
              <w:t>When to use</w:t>
            </w:r>
          </w:p>
        </w:tc>
        <w:tc>
          <w:tcPr>
            <w:tcW w:type="dxa" w:w="7128"/>
          </w:tcPr>
          <w:p>
            <w:r>
              <w:rPr>
                <w:rFonts w:ascii="Aptos" w:hAnsi="Aptos"/>
                <w:sz w:val="16"/>
              </w:rPr>
              <w:t>Supplier-specific target is unavailable but industry baseline, target year, and reduction percentage exist.</w:t>
            </w:r>
          </w:p>
        </w:tc>
      </w:tr>
      <w:tr>
        <w:tc>
          <w:tcPr>
            <w:tcW w:type="dxa" w:w="7128"/>
          </w:tcPr>
          <w:p>
            <w:r>
              <w:rPr>
                <w:rFonts w:ascii="Aptos" w:hAnsi="Aptos"/>
                <w:sz w:val="16"/>
              </w:rPr>
              <w:t>Required inputs</w:t>
            </w:r>
          </w:p>
        </w:tc>
        <w:tc>
          <w:tcPr>
            <w:tcW w:type="dxa" w:w="7128"/>
          </w:tcPr>
          <w:p>
            <w:r>
              <w:rPr>
                <w:rFonts w:ascii="Aptos" w:hAnsi="Aptos"/>
                <w:sz w:val="16"/>
              </w:rPr>
              <w:t>Baseline_Emission, Industry_Target_Year, Industry_Reduction_Percentage.</w:t>
            </w:r>
          </w:p>
        </w:tc>
      </w:tr>
      <w:tr>
        <w:tc>
          <w:tcPr>
            <w:tcW w:type="dxa" w:w="7128"/>
          </w:tcPr>
          <w:p>
            <w:r>
              <w:rPr>
                <w:rFonts w:ascii="Aptos" w:hAnsi="Aptos"/>
                <w:sz w:val="16"/>
              </w:rPr>
              <w:t>Mathematical formula</w:t>
            </w:r>
          </w:p>
        </w:tc>
        <w:tc>
          <w:tcPr>
            <w:tcW w:type="dxa" w:w="7128"/>
          </w:tcPr>
          <w:p>
            <w:r>
              <w:rPr>
                <w:rFonts w:ascii="Aptos" w:hAnsi="Aptos"/>
                <w:sz w:val="16"/>
              </w:rPr>
              <w:t>Industry_Target_Emission = Baseline_Emission x (1 - Industry_Reduction_Percentage).</w:t>
            </w:r>
          </w:p>
        </w:tc>
      </w:tr>
      <w:tr>
        <w:tc>
          <w:tcPr>
            <w:tcW w:type="dxa" w:w="7128"/>
          </w:tcPr>
          <w:p>
            <w:r>
              <w:rPr>
                <w:rFonts w:ascii="Aptos" w:hAnsi="Aptos"/>
                <w:sz w:val="16"/>
              </w:rPr>
              <w:t>Excel formula</w:t>
            </w:r>
          </w:p>
        </w:tc>
        <w:tc>
          <w:tcPr>
            <w:tcW w:type="dxa" w:w="7128"/>
          </w:tcPr>
          <w:p>
            <w:r>
              <w:rPr>
                <w:rFonts w:ascii="Aptos" w:hAnsi="Aptos"/>
                <w:sz w:val="16"/>
              </w:rPr>
              <w:t>=[@[Baseline_Emission]]*(1-[@[Industry_Reduction_Percentage]])</w:t>
            </w:r>
          </w:p>
        </w:tc>
      </w:tr>
      <w:tr>
        <w:tc>
          <w:tcPr>
            <w:tcW w:type="dxa" w:w="7128"/>
          </w:tcPr>
          <w:p>
            <w:r>
              <w:rPr>
                <w:rFonts w:ascii="Aptos" w:hAnsi="Aptos"/>
                <w:sz w:val="16"/>
              </w:rPr>
              <w:t>Python logic</w:t>
            </w:r>
          </w:p>
        </w:tc>
        <w:tc>
          <w:tcPr>
            <w:tcW w:type="dxa" w:w="7128"/>
          </w:tcPr>
          <w:p>
            <w:r>
              <w:rPr>
                <w:rFonts w:ascii="Aptos" w:hAnsi="Aptos"/>
                <w:sz w:val="16"/>
              </w:rPr>
              <w:t>Use industry pathway when supplier target fields are missing but industry pathway fields are available.</w:t>
            </w:r>
          </w:p>
        </w:tc>
      </w:tr>
      <w:tr>
        <w:tc>
          <w:tcPr>
            <w:tcW w:type="dxa" w:w="7128"/>
          </w:tcPr>
          <w:p>
            <w:r>
              <w:rPr>
                <w:rFonts w:ascii="Aptos" w:hAnsi="Aptos"/>
                <w:sz w:val="16"/>
              </w:rPr>
              <w:t>Output columns</w:t>
            </w:r>
          </w:p>
        </w:tc>
        <w:tc>
          <w:tcPr>
            <w:tcW w:type="dxa" w:w="7128"/>
          </w:tcPr>
          <w:p>
            <w:r>
              <w:rPr>
                <w:rFonts w:ascii="Aptos" w:hAnsi="Aptos"/>
                <w:sz w:val="16"/>
              </w:rPr>
              <w:t>Forecast_Method_Flag, Target_Emission, Glide_Path_Emission, Forecast_Emission, Gap_to_Target.</w:t>
            </w:r>
          </w:p>
        </w:tc>
      </w:tr>
      <w:tr>
        <w:tc>
          <w:tcPr>
            <w:tcW w:type="dxa" w:w="7128"/>
          </w:tcPr>
          <w:p>
            <w:r>
              <w:rPr>
                <w:rFonts w:ascii="Aptos" w:hAnsi="Aptos"/>
                <w:sz w:val="16"/>
              </w:rPr>
              <w:t>Business impact</w:t>
            </w:r>
          </w:p>
        </w:tc>
        <w:tc>
          <w:tcPr>
            <w:tcW w:type="dxa" w:w="7128"/>
          </w:tcPr>
          <w:p>
            <w:r>
              <w:rPr>
                <w:rFonts w:ascii="Aptos" w:hAnsi="Aptos"/>
                <w:sz w:val="16"/>
              </w:rPr>
              <w:t>Provides consistent sector-based assumptions for suppliers without disclosed targets.</w:t>
            </w:r>
          </w:p>
        </w:tc>
      </w:tr>
      <w:tr>
        <w:tc>
          <w:tcPr>
            <w:tcW w:type="dxa" w:w="7128"/>
          </w:tcPr>
          <w:p>
            <w:r>
              <w:rPr>
                <w:rFonts w:ascii="Aptos" w:hAnsi="Aptos"/>
                <w:sz w:val="16"/>
              </w:rPr>
              <w:t>Advantages</w:t>
            </w:r>
          </w:p>
        </w:tc>
        <w:tc>
          <w:tcPr>
            <w:tcW w:type="dxa" w:w="7128"/>
          </w:tcPr>
          <w:p>
            <w:r>
              <w:rPr>
                <w:rFonts w:ascii="Aptos" w:hAnsi="Aptos"/>
                <w:sz w:val="16"/>
              </w:rPr>
              <w:t>Scalable, consistent, suitable for incomplete supplier target coverage.</w:t>
            </w:r>
          </w:p>
        </w:tc>
      </w:tr>
      <w:tr>
        <w:tc>
          <w:tcPr>
            <w:tcW w:type="dxa" w:w="7128"/>
          </w:tcPr>
          <w:p>
            <w:r>
              <w:rPr>
                <w:rFonts w:ascii="Aptos" w:hAnsi="Aptos"/>
                <w:sz w:val="16"/>
              </w:rPr>
              <w:t>Drawbacks</w:t>
            </w:r>
          </w:p>
        </w:tc>
        <w:tc>
          <w:tcPr>
            <w:tcW w:type="dxa" w:w="7128"/>
          </w:tcPr>
          <w:p>
            <w:r>
              <w:rPr>
                <w:rFonts w:ascii="Aptos" w:hAnsi="Aptos"/>
                <w:sz w:val="16"/>
              </w:rPr>
              <w:t>Less supplier-specific; can understate or overstate actual supplier decarbonization.</w:t>
            </w:r>
          </w:p>
        </w:tc>
      </w:tr>
    </w:tbl>
    <w:p/>
    <w:p>
      <w:pPr>
        <w:pStyle w:val="Heading2"/>
      </w:pPr>
      <w:r>
        <w:t>5.3 Historical Trend Pathway</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Category</w:t>
            </w:r>
          </w:p>
        </w:tc>
        <w:tc>
          <w:tcPr>
            <w:tcW w:type="dxa" w:w="7128"/>
          </w:tcPr>
          <w:p>
            <w:r>
              <w:rPr>
                <w:rFonts w:ascii="Aptos" w:hAnsi="Aptos"/>
                <w:b/>
                <w:color w:val="152B4D"/>
                <w:sz w:val="16"/>
              </w:rPr>
              <w:t>Detail</w:t>
            </w:r>
          </w:p>
        </w:tc>
      </w:tr>
      <w:tr>
        <w:tc>
          <w:tcPr>
            <w:tcW w:type="dxa" w:w="7128"/>
          </w:tcPr>
          <w:p>
            <w:r>
              <w:rPr>
                <w:rFonts w:ascii="Aptos" w:hAnsi="Aptos"/>
                <w:sz w:val="16"/>
              </w:rPr>
              <w:t>When to use</w:t>
            </w:r>
          </w:p>
        </w:tc>
        <w:tc>
          <w:tcPr>
            <w:tcW w:type="dxa" w:w="7128"/>
          </w:tcPr>
          <w:p>
            <w:r>
              <w:rPr>
                <w:rFonts w:ascii="Aptos" w:hAnsi="Aptos"/>
                <w:sz w:val="16"/>
              </w:rPr>
              <w:t>Supplier target and industry haircut data are unavailable or insufficient.</w:t>
            </w:r>
          </w:p>
        </w:tc>
      </w:tr>
      <w:tr>
        <w:tc>
          <w:tcPr>
            <w:tcW w:type="dxa" w:w="7128"/>
          </w:tcPr>
          <w:p>
            <w:r>
              <w:rPr>
                <w:rFonts w:ascii="Aptos" w:hAnsi="Aptos"/>
                <w:sz w:val="16"/>
              </w:rPr>
              <w:t>Required inputs</w:t>
            </w:r>
          </w:p>
        </w:tc>
        <w:tc>
          <w:tcPr>
            <w:tcW w:type="dxa" w:w="7128"/>
          </w:tcPr>
          <w:p>
            <w:r>
              <w:rPr>
                <w:rFonts w:ascii="Aptos" w:hAnsi="Aptos"/>
                <w:sz w:val="16"/>
              </w:rPr>
              <w:t>Historical Total_Emission_Value by Supplier_ID and Supplier_Year.</w:t>
            </w:r>
          </w:p>
        </w:tc>
      </w:tr>
      <w:tr>
        <w:tc>
          <w:tcPr>
            <w:tcW w:type="dxa" w:w="7128"/>
          </w:tcPr>
          <w:p>
            <w:r>
              <w:rPr>
                <w:rFonts w:ascii="Aptos" w:hAnsi="Aptos"/>
                <w:sz w:val="16"/>
              </w:rPr>
              <w:t>Mathematical formula</w:t>
            </w:r>
          </w:p>
        </w:tc>
        <w:tc>
          <w:tcPr>
            <w:tcW w:type="dxa" w:w="7128"/>
          </w:tcPr>
          <w:p>
            <w:r>
              <w:rPr>
                <w:rFonts w:ascii="Aptos" w:hAnsi="Aptos"/>
                <w:sz w:val="16"/>
              </w:rPr>
              <w:t>Forecast_Emission_y = Latest_Emission x (1 + Historical_CAGR)^(Forecast_Year - Latest_Year).</w:t>
            </w:r>
          </w:p>
        </w:tc>
      </w:tr>
      <w:tr>
        <w:tc>
          <w:tcPr>
            <w:tcW w:type="dxa" w:w="7128"/>
          </w:tcPr>
          <w:p>
            <w:r>
              <w:rPr>
                <w:rFonts w:ascii="Aptos" w:hAnsi="Aptos"/>
                <w:sz w:val="16"/>
              </w:rPr>
              <w:t>Excel formula</w:t>
            </w:r>
          </w:p>
        </w:tc>
        <w:tc>
          <w:tcPr>
            <w:tcW w:type="dxa" w:w="7128"/>
          </w:tcPr>
          <w:p>
            <w:r>
              <w:rPr>
                <w:rFonts w:ascii="Aptos" w:hAnsi="Aptos"/>
                <w:sz w:val="16"/>
              </w:rPr>
              <w:t>=[@[Total_Emission_Value]]*(1+[@[Historical_Trend]])^([@[Forecast_Year]]-[@[Supplier_Year]])</w:t>
            </w:r>
          </w:p>
        </w:tc>
      </w:tr>
      <w:tr>
        <w:tc>
          <w:tcPr>
            <w:tcW w:type="dxa" w:w="7128"/>
          </w:tcPr>
          <w:p>
            <w:r>
              <w:rPr>
                <w:rFonts w:ascii="Aptos" w:hAnsi="Aptos"/>
                <w:sz w:val="16"/>
              </w:rPr>
              <w:t>Python logic</w:t>
            </w:r>
          </w:p>
        </w:tc>
        <w:tc>
          <w:tcPr>
            <w:tcW w:type="dxa" w:w="7128"/>
          </w:tcPr>
          <w:p>
            <w:r>
              <w:rPr>
                <w:rFonts w:ascii="Aptos" w:hAnsi="Aptos"/>
                <w:sz w:val="16"/>
              </w:rPr>
              <w:t>Calculate supplier historical CAGR and extend the latest emissions value forward.</w:t>
            </w:r>
          </w:p>
        </w:tc>
      </w:tr>
      <w:tr>
        <w:tc>
          <w:tcPr>
            <w:tcW w:type="dxa" w:w="7128"/>
          </w:tcPr>
          <w:p>
            <w:r>
              <w:rPr>
                <w:rFonts w:ascii="Aptos" w:hAnsi="Aptos"/>
                <w:sz w:val="16"/>
              </w:rPr>
              <w:t>Output columns</w:t>
            </w:r>
          </w:p>
        </w:tc>
        <w:tc>
          <w:tcPr>
            <w:tcW w:type="dxa" w:w="7128"/>
          </w:tcPr>
          <w:p>
            <w:r>
              <w:rPr>
                <w:rFonts w:ascii="Aptos" w:hAnsi="Aptos"/>
                <w:sz w:val="16"/>
              </w:rPr>
              <w:t>Historical_Trend, Forecast_Method_Flag, Forecast_Emission, Gap_to_Target.</w:t>
            </w:r>
          </w:p>
        </w:tc>
      </w:tr>
      <w:tr>
        <w:tc>
          <w:tcPr>
            <w:tcW w:type="dxa" w:w="7128"/>
          </w:tcPr>
          <w:p>
            <w:r>
              <w:rPr>
                <w:rFonts w:ascii="Aptos" w:hAnsi="Aptos"/>
                <w:sz w:val="16"/>
              </w:rPr>
              <w:t>Business impact</w:t>
            </w:r>
          </w:p>
        </w:tc>
        <w:tc>
          <w:tcPr>
            <w:tcW w:type="dxa" w:w="7128"/>
          </w:tcPr>
          <w:p>
            <w:r>
              <w:rPr>
                <w:rFonts w:ascii="Aptos" w:hAnsi="Aptos"/>
                <w:sz w:val="16"/>
              </w:rPr>
              <w:t>Provides a data-driven estimate when formal target data is missing.</w:t>
            </w:r>
          </w:p>
        </w:tc>
      </w:tr>
      <w:tr>
        <w:tc>
          <w:tcPr>
            <w:tcW w:type="dxa" w:w="7128"/>
          </w:tcPr>
          <w:p>
            <w:r>
              <w:rPr>
                <w:rFonts w:ascii="Aptos" w:hAnsi="Aptos"/>
                <w:sz w:val="16"/>
              </w:rPr>
              <w:t>Advantages</w:t>
            </w:r>
          </w:p>
        </w:tc>
        <w:tc>
          <w:tcPr>
            <w:tcW w:type="dxa" w:w="7128"/>
          </w:tcPr>
          <w:p>
            <w:r>
              <w:rPr>
                <w:rFonts w:ascii="Aptos" w:hAnsi="Aptos"/>
                <w:sz w:val="16"/>
              </w:rPr>
              <w:t>Uses observed supplier behavior and can detect improving or worsening suppliers.</w:t>
            </w:r>
          </w:p>
        </w:tc>
      </w:tr>
      <w:tr>
        <w:tc>
          <w:tcPr>
            <w:tcW w:type="dxa" w:w="7128"/>
          </w:tcPr>
          <w:p>
            <w:r>
              <w:rPr>
                <w:rFonts w:ascii="Aptos" w:hAnsi="Aptos"/>
                <w:sz w:val="16"/>
              </w:rPr>
              <w:t>Drawbacks</w:t>
            </w:r>
          </w:p>
        </w:tc>
        <w:tc>
          <w:tcPr>
            <w:tcW w:type="dxa" w:w="7128"/>
          </w:tcPr>
          <w:p>
            <w:r>
              <w:rPr>
                <w:rFonts w:ascii="Aptos" w:hAnsi="Aptos"/>
                <w:sz w:val="16"/>
              </w:rPr>
              <w:t>Past performance may not predict future changes; sensitive to outliers and missing data.</w:t>
            </w:r>
          </w:p>
        </w:tc>
      </w:tr>
    </w:tbl>
    <w:p/>
    <w:p>
      <w:pPr>
        <w:pStyle w:val="Heading2"/>
      </w:pPr>
      <w:r>
        <w:t>5.4 Spend-Based and Revenue-Based Emissions Benchmarks</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Aptos" w:hAnsi="Aptos"/>
                <w:b/>
                <w:color w:val="152B4D"/>
                <w:sz w:val="16"/>
              </w:rPr>
              <w:t>Category</w:t>
            </w:r>
          </w:p>
        </w:tc>
        <w:tc>
          <w:tcPr>
            <w:tcW w:type="dxa" w:w="4752"/>
          </w:tcPr>
          <w:p>
            <w:r>
              <w:rPr>
                <w:rFonts w:ascii="Aptos" w:hAnsi="Aptos"/>
                <w:b/>
                <w:color w:val="152B4D"/>
                <w:sz w:val="16"/>
              </w:rPr>
              <w:t>Spend-based emissions</w:t>
            </w:r>
          </w:p>
        </w:tc>
        <w:tc>
          <w:tcPr>
            <w:tcW w:type="dxa" w:w="4752"/>
          </w:tcPr>
          <w:p>
            <w:r>
              <w:rPr>
                <w:rFonts w:ascii="Aptos" w:hAnsi="Aptos"/>
                <w:b/>
                <w:color w:val="152B4D"/>
                <w:sz w:val="16"/>
              </w:rPr>
              <w:t>Revenue-based emissions</w:t>
            </w:r>
          </w:p>
        </w:tc>
      </w:tr>
      <w:tr>
        <w:tc>
          <w:tcPr>
            <w:tcW w:type="dxa" w:w="4752"/>
          </w:tcPr>
          <w:p>
            <w:r>
              <w:rPr>
                <w:rFonts w:ascii="Aptos" w:hAnsi="Aptos"/>
                <w:sz w:val="16"/>
              </w:rPr>
              <w:t>When to use</w:t>
            </w:r>
          </w:p>
        </w:tc>
        <w:tc>
          <w:tcPr>
            <w:tcW w:type="dxa" w:w="4752"/>
          </w:tcPr>
          <w:p>
            <w:r>
              <w:rPr>
                <w:rFonts w:ascii="Aptos" w:hAnsi="Aptos"/>
                <w:sz w:val="16"/>
              </w:rPr>
              <w:t>Use as a supplemental benchmark when gross spend and spend factor are available.</w:t>
            </w:r>
          </w:p>
        </w:tc>
        <w:tc>
          <w:tcPr>
            <w:tcW w:type="dxa" w:w="4752"/>
          </w:tcPr>
          <w:p>
            <w:r>
              <w:rPr>
                <w:rFonts w:ascii="Aptos" w:hAnsi="Aptos"/>
                <w:sz w:val="16"/>
              </w:rPr>
              <w:t>Use as a supplemental benchmark when revenue and revenue intensity are available.</w:t>
            </w:r>
          </w:p>
        </w:tc>
      </w:tr>
      <w:tr>
        <w:tc>
          <w:tcPr>
            <w:tcW w:type="dxa" w:w="4752"/>
          </w:tcPr>
          <w:p>
            <w:r>
              <w:rPr>
                <w:rFonts w:ascii="Aptos" w:hAnsi="Aptos"/>
                <w:sz w:val="16"/>
              </w:rPr>
              <w:t>Required inputs</w:t>
            </w:r>
          </w:p>
        </w:tc>
        <w:tc>
          <w:tcPr>
            <w:tcW w:type="dxa" w:w="4752"/>
          </w:tcPr>
          <w:p>
            <w:r>
              <w:rPr>
                <w:rFonts w:ascii="Aptos" w:hAnsi="Aptos"/>
                <w:sz w:val="16"/>
              </w:rPr>
              <w:t>Gross_Spend, Spend_Based_Emission_Factor, Total_Emission_Value.</w:t>
            </w:r>
          </w:p>
        </w:tc>
        <w:tc>
          <w:tcPr>
            <w:tcW w:type="dxa" w:w="4752"/>
          </w:tcPr>
          <w:p>
            <w:r>
              <w:rPr>
                <w:rFonts w:ascii="Aptos" w:hAnsi="Aptos"/>
                <w:sz w:val="16"/>
              </w:rPr>
              <w:t>Revenue, Revenue_Based_Emission_Intensity, Total_Emission_Value.</w:t>
            </w:r>
          </w:p>
        </w:tc>
      </w:tr>
      <w:tr>
        <w:tc>
          <w:tcPr>
            <w:tcW w:type="dxa" w:w="4752"/>
          </w:tcPr>
          <w:p>
            <w:r>
              <w:rPr>
                <w:rFonts w:ascii="Aptos" w:hAnsi="Aptos"/>
                <w:sz w:val="16"/>
              </w:rPr>
              <w:t>Mathematical formula</w:t>
            </w:r>
          </w:p>
        </w:tc>
        <w:tc>
          <w:tcPr>
            <w:tcW w:type="dxa" w:w="4752"/>
          </w:tcPr>
          <w:p>
            <w:r>
              <w:rPr>
                <w:rFonts w:ascii="Aptos" w:hAnsi="Aptos"/>
                <w:sz w:val="16"/>
              </w:rPr>
              <w:t>Spend_Based_Emission = Gross_Spend x Spend_Based_Emission_Factor.</w:t>
            </w:r>
          </w:p>
        </w:tc>
        <w:tc>
          <w:tcPr>
            <w:tcW w:type="dxa" w:w="4752"/>
          </w:tcPr>
          <w:p>
            <w:r>
              <w:rPr>
                <w:rFonts w:ascii="Aptos" w:hAnsi="Aptos"/>
                <w:sz w:val="16"/>
              </w:rPr>
              <w:t>Revenue_Based_Emission = Revenue x Revenue_Based_Emission_Intensity.</w:t>
            </w:r>
          </w:p>
        </w:tc>
      </w:tr>
      <w:tr>
        <w:tc>
          <w:tcPr>
            <w:tcW w:type="dxa" w:w="4752"/>
          </w:tcPr>
          <w:p>
            <w:r>
              <w:rPr>
                <w:rFonts w:ascii="Aptos" w:hAnsi="Aptos"/>
                <w:sz w:val="16"/>
              </w:rPr>
              <w:t>Excel formula</w:t>
            </w:r>
          </w:p>
        </w:tc>
        <w:tc>
          <w:tcPr>
            <w:tcW w:type="dxa" w:w="4752"/>
          </w:tcPr>
          <w:p>
            <w:r>
              <w:rPr>
                <w:rFonts w:ascii="Aptos" w:hAnsi="Aptos"/>
                <w:sz w:val="16"/>
              </w:rPr>
              <w:t>=IFERROR([@[Gross_Spend]]*[@[Spend_Based_Emission_Factor]],"")</w:t>
            </w:r>
          </w:p>
        </w:tc>
        <w:tc>
          <w:tcPr>
            <w:tcW w:type="dxa" w:w="4752"/>
          </w:tcPr>
          <w:p>
            <w:r>
              <w:rPr>
                <w:rFonts w:ascii="Aptos" w:hAnsi="Aptos"/>
                <w:sz w:val="16"/>
              </w:rPr>
              <w:t>=IFERROR([@[Revenue]]*[@[Revenue_Based_Emission_Intensity]],"")</w:t>
            </w:r>
          </w:p>
        </w:tc>
      </w:tr>
      <w:tr>
        <w:tc>
          <w:tcPr>
            <w:tcW w:type="dxa" w:w="4752"/>
          </w:tcPr>
          <w:p>
            <w:r>
              <w:rPr>
                <w:rFonts w:ascii="Aptos" w:hAnsi="Aptos"/>
                <w:sz w:val="16"/>
              </w:rPr>
              <w:t>Output columns</w:t>
            </w:r>
          </w:p>
        </w:tc>
        <w:tc>
          <w:tcPr>
            <w:tcW w:type="dxa" w:w="4752"/>
          </w:tcPr>
          <w:p>
            <w:r>
              <w:rPr>
                <w:rFonts w:ascii="Aptos" w:hAnsi="Aptos"/>
                <w:sz w:val="16"/>
              </w:rPr>
              <w:t>Spend_Based_Emission, Spend_Based_vs_Actual, Spend_Based_Variance_Percentage.</w:t>
            </w:r>
          </w:p>
        </w:tc>
        <w:tc>
          <w:tcPr>
            <w:tcW w:type="dxa" w:w="4752"/>
          </w:tcPr>
          <w:p>
            <w:r>
              <w:rPr>
                <w:rFonts w:ascii="Aptos" w:hAnsi="Aptos"/>
                <w:sz w:val="16"/>
              </w:rPr>
              <w:t>Revenue_Based_Emission, Revenue_Based_vs_Actual, Revenue_Based_Variance_Percentage.</w:t>
            </w:r>
          </w:p>
        </w:tc>
      </w:tr>
      <w:tr>
        <w:tc>
          <w:tcPr>
            <w:tcW w:type="dxa" w:w="4752"/>
          </w:tcPr>
          <w:p>
            <w:r>
              <w:rPr>
                <w:rFonts w:ascii="Aptos" w:hAnsi="Aptos"/>
                <w:sz w:val="16"/>
              </w:rPr>
              <w:t>Business impact</w:t>
            </w:r>
          </w:p>
        </w:tc>
        <w:tc>
          <w:tcPr>
            <w:tcW w:type="dxa" w:w="4752"/>
          </w:tcPr>
          <w:p>
            <w:r>
              <w:rPr>
                <w:rFonts w:ascii="Aptos" w:hAnsi="Aptos"/>
                <w:sz w:val="16"/>
              </w:rPr>
              <w:t>Helps Procurement test whether spend profile is directionally aligned with actual emissions.</w:t>
            </w:r>
          </w:p>
        </w:tc>
        <w:tc>
          <w:tcPr>
            <w:tcW w:type="dxa" w:w="4752"/>
          </w:tcPr>
          <w:p>
            <w:r>
              <w:rPr>
                <w:rFonts w:ascii="Aptos" w:hAnsi="Aptos"/>
                <w:sz w:val="16"/>
              </w:rPr>
              <w:t>Helps Finance and ESG test whether revenue intensity is directionally aligned with actual emissions.</w:t>
            </w:r>
          </w:p>
        </w:tc>
      </w:tr>
      <w:tr>
        <w:tc>
          <w:tcPr>
            <w:tcW w:type="dxa" w:w="4752"/>
          </w:tcPr>
          <w:p>
            <w:r>
              <w:rPr>
                <w:rFonts w:ascii="Aptos" w:hAnsi="Aptos"/>
                <w:sz w:val="16"/>
              </w:rPr>
              <w:t>Advantages</w:t>
            </w:r>
          </w:p>
        </w:tc>
        <w:tc>
          <w:tcPr>
            <w:tcW w:type="dxa" w:w="4752"/>
          </w:tcPr>
          <w:p>
            <w:r>
              <w:rPr>
                <w:rFonts w:ascii="Aptos" w:hAnsi="Aptos"/>
                <w:sz w:val="16"/>
              </w:rPr>
              <w:t>Easy to scale across procurement data and useful for reasonableness checks.</w:t>
            </w:r>
          </w:p>
        </w:tc>
        <w:tc>
          <w:tcPr>
            <w:tcW w:type="dxa" w:w="4752"/>
          </w:tcPr>
          <w:p>
            <w:r>
              <w:rPr>
                <w:rFonts w:ascii="Aptos" w:hAnsi="Aptos"/>
                <w:sz w:val="16"/>
              </w:rPr>
              <w:t>Useful when supplier revenue is a better activity proxy than spend.</w:t>
            </w:r>
          </w:p>
        </w:tc>
      </w:tr>
      <w:tr>
        <w:tc>
          <w:tcPr>
            <w:tcW w:type="dxa" w:w="4752"/>
          </w:tcPr>
          <w:p>
            <w:r>
              <w:rPr>
                <w:rFonts w:ascii="Aptos" w:hAnsi="Aptos"/>
                <w:sz w:val="16"/>
              </w:rPr>
              <w:t>Drawbacks</w:t>
            </w:r>
          </w:p>
        </w:tc>
        <w:tc>
          <w:tcPr>
            <w:tcW w:type="dxa" w:w="4752"/>
          </w:tcPr>
          <w:p>
            <w:r>
              <w:rPr>
                <w:rFonts w:ascii="Aptos" w:hAnsi="Aptos"/>
                <w:sz w:val="16"/>
              </w:rPr>
              <w:t>Spend can reflect inflation, price changes, or category mix rather than physical activity.</w:t>
            </w:r>
          </w:p>
        </w:tc>
        <w:tc>
          <w:tcPr>
            <w:tcW w:type="dxa" w:w="4752"/>
          </w:tcPr>
          <w:p>
            <w:r>
              <w:rPr>
                <w:rFonts w:ascii="Aptos" w:hAnsi="Aptos"/>
                <w:sz w:val="16"/>
              </w:rPr>
              <w:t>Revenue can be distorted by margins, pricing, or supplier business mix.</w:t>
            </w:r>
          </w:p>
        </w:tc>
      </w:tr>
    </w:tbl>
    <w:p/>
    <w:p>
      <w:r>
        <w:t>Important: these benchmark calculations do not override Total_Emission_Value. They support validation, scenario analysis, and dashboard comparisons.</w:t>
      </w:r>
    </w:p>
    <w:p>
      <w:pPr>
        <w:pStyle w:val="Heading1"/>
      </w:pPr>
      <w:r>
        <w:t>6. Required Forecast Parameters</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Aptos" w:hAnsi="Aptos"/>
                <w:b/>
                <w:color w:val="152B4D"/>
                <w:sz w:val="16"/>
              </w:rPr>
              <w:t>Parameter</w:t>
            </w:r>
          </w:p>
        </w:tc>
        <w:tc>
          <w:tcPr>
            <w:tcW w:type="dxa" w:w="4752"/>
          </w:tcPr>
          <w:p>
            <w:r>
              <w:rPr>
                <w:rFonts w:ascii="Aptos" w:hAnsi="Aptos"/>
                <w:b/>
                <w:color w:val="152B4D"/>
                <w:sz w:val="16"/>
              </w:rPr>
              <w:t>Explanation</w:t>
            </w:r>
          </w:p>
        </w:tc>
        <w:tc>
          <w:tcPr>
            <w:tcW w:type="dxa" w:w="4752"/>
          </w:tcPr>
          <w:p>
            <w:r>
              <w:rPr>
                <w:rFonts w:ascii="Aptos" w:hAnsi="Aptos"/>
                <w:b/>
                <w:color w:val="152B4D"/>
                <w:sz w:val="16"/>
              </w:rPr>
              <w:t>Business use</w:t>
            </w:r>
          </w:p>
        </w:tc>
      </w:tr>
      <w:tr>
        <w:tc>
          <w:tcPr>
            <w:tcW w:type="dxa" w:w="4752"/>
          </w:tcPr>
          <w:p>
            <w:r>
              <w:rPr>
                <w:rFonts w:ascii="Aptos" w:hAnsi="Aptos"/>
                <w:sz w:val="16"/>
              </w:rPr>
              <w:t>Historical Trend</w:t>
            </w:r>
          </w:p>
        </w:tc>
        <w:tc>
          <w:tcPr>
            <w:tcW w:type="dxa" w:w="4752"/>
          </w:tcPr>
          <w:p>
            <w:r>
              <w:rPr>
                <w:rFonts w:ascii="Aptos" w:hAnsi="Aptos"/>
                <w:sz w:val="16"/>
              </w:rPr>
              <w:t>Supplier emissions CAGR from historical records</w:t>
            </w:r>
          </w:p>
        </w:tc>
        <w:tc>
          <w:tcPr>
            <w:tcW w:type="dxa" w:w="4752"/>
          </w:tcPr>
          <w:p>
            <w:r>
              <w:rPr>
                <w:rFonts w:ascii="Aptos" w:hAnsi="Aptos"/>
                <w:sz w:val="16"/>
              </w:rPr>
              <w:t>Understand actual decarbonization or growth pattern</w:t>
            </w:r>
          </w:p>
        </w:tc>
      </w:tr>
      <w:tr>
        <w:tc>
          <w:tcPr>
            <w:tcW w:type="dxa" w:w="4752"/>
          </w:tcPr>
          <w:p>
            <w:r>
              <w:rPr>
                <w:rFonts w:ascii="Aptos" w:hAnsi="Aptos"/>
                <w:sz w:val="16"/>
              </w:rPr>
              <w:t>Supplier Target Pathway</w:t>
            </w:r>
          </w:p>
        </w:tc>
        <w:tc>
          <w:tcPr>
            <w:tcW w:type="dxa" w:w="4752"/>
          </w:tcPr>
          <w:p>
            <w:r>
              <w:rPr>
                <w:rFonts w:ascii="Aptos" w:hAnsi="Aptos"/>
                <w:sz w:val="16"/>
              </w:rPr>
              <w:t>Forecast based on supplier's own target</w:t>
            </w:r>
          </w:p>
        </w:tc>
        <w:tc>
          <w:tcPr>
            <w:tcW w:type="dxa" w:w="4752"/>
          </w:tcPr>
          <w:p>
            <w:r>
              <w:rPr>
                <w:rFonts w:ascii="Aptos" w:hAnsi="Aptos"/>
                <w:sz w:val="16"/>
              </w:rPr>
              <w:t>Supplier accountability</w:t>
            </w:r>
          </w:p>
        </w:tc>
      </w:tr>
      <w:tr>
        <w:tc>
          <w:tcPr>
            <w:tcW w:type="dxa" w:w="4752"/>
          </w:tcPr>
          <w:p>
            <w:r>
              <w:rPr>
                <w:rFonts w:ascii="Aptos" w:hAnsi="Aptos"/>
                <w:sz w:val="16"/>
              </w:rPr>
              <w:t>Industry Haircut Pathway</w:t>
            </w:r>
          </w:p>
        </w:tc>
        <w:tc>
          <w:tcPr>
            <w:tcW w:type="dxa" w:w="4752"/>
          </w:tcPr>
          <w:p>
            <w:r>
              <w:rPr>
                <w:rFonts w:ascii="Aptos" w:hAnsi="Aptos"/>
                <w:sz w:val="16"/>
              </w:rPr>
              <w:t>Forecast based on industry reduction benchmark</w:t>
            </w:r>
          </w:p>
        </w:tc>
        <w:tc>
          <w:tcPr>
            <w:tcW w:type="dxa" w:w="4752"/>
          </w:tcPr>
          <w:p>
            <w:r>
              <w:rPr>
                <w:rFonts w:ascii="Aptos" w:hAnsi="Aptos"/>
                <w:sz w:val="16"/>
              </w:rPr>
              <w:t>Used for suppliers without specific targets</w:t>
            </w:r>
          </w:p>
        </w:tc>
      </w:tr>
      <w:tr>
        <w:tc>
          <w:tcPr>
            <w:tcW w:type="dxa" w:w="4752"/>
          </w:tcPr>
          <w:p>
            <w:r>
              <w:rPr>
                <w:rFonts w:ascii="Aptos" w:hAnsi="Aptos"/>
                <w:sz w:val="16"/>
              </w:rPr>
              <w:t>Spend-Based Emissions</w:t>
            </w:r>
          </w:p>
        </w:tc>
        <w:tc>
          <w:tcPr>
            <w:tcW w:type="dxa" w:w="4752"/>
          </w:tcPr>
          <w:p>
            <w:r>
              <w:rPr>
                <w:rFonts w:ascii="Aptos" w:hAnsi="Aptos"/>
                <w:sz w:val="16"/>
              </w:rPr>
              <w:t>Gross spend multiplied by spend-based factor</w:t>
            </w:r>
          </w:p>
        </w:tc>
        <w:tc>
          <w:tcPr>
            <w:tcW w:type="dxa" w:w="4752"/>
          </w:tcPr>
          <w:p>
            <w:r>
              <w:rPr>
                <w:rFonts w:ascii="Aptos" w:hAnsi="Aptos"/>
                <w:sz w:val="16"/>
              </w:rPr>
              <w:t>Benchmark actual emissions against procurement-spend proxy</w:t>
            </w:r>
          </w:p>
        </w:tc>
      </w:tr>
      <w:tr>
        <w:tc>
          <w:tcPr>
            <w:tcW w:type="dxa" w:w="4752"/>
          </w:tcPr>
          <w:p>
            <w:r>
              <w:rPr>
                <w:rFonts w:ascii="Aptos" w:hAnsi="Aptos"/>
                <w:sz w:val="16"/>
              </w:rPr>
              <w:t>Revenue-Based Emissions</w:t>
            </w:r>
          </w:p>
        </w:tc>
        <w:tc>
          <w:tcPr>
            <w:tcW w:type="dxa" w:w="4752"/>
          </w:tcPr>
          <w:p>
            <w:r>
              <w:rPr>
                <w:rFonts w:ascii="Aptos" w:hAnsi="Aptos"/>
                <w:sz w:val="16"/>
              </w:rPr>
              <w:t>Revenue multiplied by revenue-based intensity</w:t>
            </w:r>
          </w:p>
        </w:tc>
        <w:tc>
          <w:tcPr>
            <w:tcW w:type="dxa" w:w="4752"/>
          </w:tcPr>
          <w:p>
            <w:r>
              <w:rPr>
                <w:rFonts w:ascii="Aptos" w:hAnsi="Aptos"/>
                <w:sz w:val="16"/>
              </w:rPr>
              <w:t>Benchmark actual emissions against revenue proxy</w:t>
            </w:r>
          </w:p>
        </w:tc>
      </w:tr>
      <w:tr>
        <w:tc>
          <w:tcPr>
            <w:tcW w:type="dxa" w:w="4752"/>
          </w:tcPr>
          <w:p>
            <w:r>
              <w:rPr>
                <w:rFonts w:ascii="Aptos" w:hAnsi="Aptos"/>
                <w:sz w:val="16"/>
              </w:rPr>
              <w:t>Spend/Revenue Variance to Actual</w:t>
            </w:r>
          </w:p>
        </w:tc>
        <w:tc>
          <w:tcPr>
            <w:tcW w:type="dxa" w:w="4752"/>
          </w:tcPr>
          <w:p>
            <w:r>
              <w:rPr>
                <w:rFonts w:ascii="Aptos" w:hAnsi="Aptos"/>
                <w:sz w:val="16"/>
              </w:rPr>
              <w:t>Proxy emissions minus actual emissions</w:t>
            </w:r>
          </w:p>
        </w:tc>
        <w:tc>
          <w:tcPr>
            <w:tcW w:type="dxa" w:w="4752"/>
          </w:tcPr>
          <w:p>
            <w:r>
              <w:rPr>
                <w:rFonts w:ascii="Aptos" w:hAnsi="Aptos"/>
                <w:sz w:val="16"/>
              </w:rPr>
              <w:t>Identify unusual differences for review</w:t>
            </w:r>
          </w:p>
        </w:tc>
      </w:tr>
      <w:tr>
        <w:tc>
          <w:tcPr>
            <w:tcW w:type="dxa" w:w="4752"/>
          </w:tcPr>
          <w:p>
            <w:r>
              <w:rPr>
                <w:rFonts w:ascii="Aptos" w:hAnsi="Aptos"/>
                <w:sz w:val="16"/>
              </w:rPr>
              <w:t>Absolute Emissions Reduction</w:t>
            </w:r>
          </w:p>
        </w:tc>
        <w:tc>
          <w:tcPr>
            <w:tcW w:type="dxa" w:w="4752"/>
          </w:tcPr>
          <w:p>
            <w:r>
              <w:rPr>
                <w:rFonts w:ascii="Aptos" w:hAnsi="Aptos"/>
                <w:sz w:val="16"/>
              </w:rPr>
              <w:t>Baseline emissions minus forecast emissions</w:t>
            </w:r>
          </w:p>
        </w:tc>
        <w:tc>
          <w:tcPr>
            <w:tcW w:type="dxa" w:w="4752"/>
          </w:tcPr>
          <w:p>
            <w:r>
              <w:rPr>
                <w:rFonts w:ascii="Aptos" w:hAnsi="Aptos"/>
                <w:sz w:val="16"/>
              </w:rPr>
              <w:t>Quantifies tonnes reduced</w:t>
            </w:r>
          </w:p>
        </w:tc>
      </w:tr>
      <w:tr>
        <w:tc>
          <w:tcPr>
            <w:tcW w:type="dxa" w:w="4752"/>
          </w:tcPr>
          <w:p>
            <w:r>
              <w:rPr>
                <w:rFonts w:ascii="Aptos" w:hAnsi="Aptos"/>
                <w:sz w:val="16"/>
              </w:rPr>
              <w:t>Emissions Intensity Reduction</w:t>
            </w:r>
          </w:p>
        </w:tc>
        <w:tc>
          <w:tcPr>
            <w:tcW w:type="dxa" w:w="4752"/>
          </w:tcPr>
          <w:p>
            <w:r>
              <w:rPr>
                <w:rFonts w:ascii="Aptos" w:hAnsi="Aptos"/>
                <w:sz w:val="16"/>
              </w:rPr>
              <w:t>Reduction in emissions per spend or revenue</w:t>
            </w:r>
          </w:p>
        </w:tc>
        <w:tc>
          <w:tcPr>
            <w:tcW w:type="dxa" w:w="4752"/>
          </w:tcPr>
          <w:p>
            <w:r>
              <w:rPr>
                <w:rFonts w:ascii="Aptos" w:hAnsi="Aptos"/>
                <w:sz w:val="16"/>
              </w:rPr>
              <w:t>Normalizes performance for growth</w:t>
            </w:r>
          </w:p>
        </w:tc>
      </w:tr>
      <w:tr>
        <w:tc>
          <w:tcPr>
            <w:tcW w:type="dxa" w:w="4752"/>
          </w:tcPr>
          <w:p>
            <w:r>
              <w:rPr>
                <w:rFonts w:ascii="Aptos" w:hAnsi="Aptos"/>
                <w:sz w:val="16"/>
              </w:rPr>
              <w:t>Supplier Growth Projection</w:t>
            </w:r>
          </w:p>
        </w:tc>
        <w:tc>
          <w:tcPr>
            <w:tcW w:type="dxa" w:w="4752"/>
          </w:tcPr>
          <w:p>
            <w:r>
              <w:rPr>
                <w:rFonts w:ascii="Aptos" w:hAnsi="Aptos"/>
                <w:sz w:val="16"/>
              </w:rPr>
              <w:t>Spend or revenue CAGR</w:t>
            </w:r>
          </w:p>
        </w:tc>
        <w:tc>
          <w:tcPr>
            <w:tcW w:type="dxa" w:w="4752"/>
          </w:tcPr>
          <w:p>
            <w:r>
              <w:rPr>
                <w:rFonts w:ascii="Aptos" w:hAnsi="Aptos"/>
                <w:sz w:val="16"/>
              </w:rPr>
              <w:t>Adjusts trend-based forecasts for supplier growth</w:t>
            </w:r>
          </w:p>
        </w:tc>
      </w:tr>
      <w:tr>
        <w:tc>
          <w:tcPr>
            <w:tcW w:type="dxa" w:w="4752"/>
          </w:tcPr>
          <w:p>
            <w:r>
              <w:rPr>
                <w:rFonts w:ascii="Aptos" w:hAnsi="Aptos"/>
                <w:sz w:val="16"/>
              </w:rPr>
              <w:t>Gap-to-Target Analysis</w:t>
            </w:r>
          </w:p>
        </w:tc>
        <w:tc>
          <w:tcPr>
            <w:tcW w:type="dxa" w:w="4752"/>
          </w:tcPr>
          <w:p>
            <w:r>
              <w:rPr>
                <w:rFonts w:ascii="Aptos" w:hAnsi="Aptos"/>
                <w:sz w:val="16"/>
              </w:rPr>
              <w:t>Forecast emissions minus target emissions</w:t>
            </w:r>
          </w:p>
        </w:tc>
        <w:tc>
          <w:tcPr>
            <w:tcW w:type="dxa" w:w="4752"/>
          </w:tcPr>
          <w:p>
            <w:r>
              <w:rPr>
                <w:rFonts w:ascii="Aptos" w:hAnsi="Aptos"/>
                <w:sz w:val="16"/>
              </w:rPr>
              <w:t>Identifies off-track suppliers</w:t>
            </w:r>
          </w:p>
        </w:tc>
      </w:tr>
      <w:tr>
        <w:tc>
          <w:tcPr>
            <w:tcW w:type="dxa" w:w="4752"/>
          </w:tcPr>
          <w:p>
            <w:r>
              <w:rPr>
                <w:rFonts w:ascii="Aptos" w:hAnsi="Aptos"/>
                <w:sz w:val="16"/>
              </w:rPr>
              <w:t>Glide Path / Year-by-Year Reduction Pathway</w:t>
            </w:r>
          </w:p>
        </w:tc>
        <w:tc>
          <w:tcPr>
            <w:tcW w:type="dxa" w:w="4752"/>
          </w:tcPr>
          <w:p>
            <w:r>
              <w:rPr>
                <w:rFonts w:ascii="Aptos" w:hAnsi="Aptos"/>
                <w:sz w:val="16"/>
              </w:rPr>
              <w:t>Annual emissions trajectory to target</w:t>
            </w:r>
          </w:p>
        </w:tc>
        <w:tc>
          <w:tcPr>
            <w:tcW w:type="dxa" w:w="4752"/>
          </w:tcPr>
          <w:p>
            <w:r>
              <w:rPr>
                <w:rFonts w:ascii="Aptos" w:hAnsi="Aptos"/>
                <w:sz w:val="16"/>
              </w:rPr>
              <w:t>Enables interim tracking</w:t>
            </w:r>
          </w:p>
        </w:tc>
      </w:tr>
      <w:tr>
        <w:tc>
          <w:tcPr>
            <w:tcW w:type="dxa" w:w="4752"/>
          </w:tcPr>
          <w:p>
            <w:r>
              <w:rPr>
                <w:rFonts w:ascii="Aptos" w:hAnsi="Aptos"/>
                <w:sz w:val="16"/>
              </w:rPr>
              <w:t>Target Emissions</w:t>
            </w:r>
          </w:p>
        </w:tc>
        <w:tc>
          <w:tcPr>
            <w:tcW w:type="dxa" w:w="4752"/>
          </w:tcPr>
          <w:p>
            <w:r>
              <w:rPr>
                <w:rFonts w:ascii="Aptos" w:hAnsi="Aptos"/>
                <w:sz w:val="16"/>
              </w:rPr>
              <w:t>Target endpoint emissions</w:t>
            </w:r>
          </w:p>
        </w:tc>
        <w:tc>
          <w:tcPr>
            <w:tcW w:type="dxa" w:w="4752"/>
          </w:tcPr>
          <w:p>
            <w:r>
              <w:rPr>
                <w:rFonts w:ascii="Aptos" w:hAnsi="Aptos"/>
                <w:sz w:val="16"/>
              </w:rPr>
              <w:t>Defines success threshold</w:t>
            </w:r>
          </w:p>
        </w:tc>
      </w:tr>
      <w:tr>
        <w:tc>
          <w:tcPr>
            <w:tcW w:type="dxa" w:w="4752"/>
          </w:tcPr>
          <w:p>
            <w:r>
              <w:rPr>
                <w:rFonts w:ascii="Aptos" w:hAnsi="Aptos"/>
                <w:sz w:val="16"/>
              </w:rPr>
              <w:t>Forecast Emissions</w:t>
            </w:r>
          </w:p>
        </w:tc>
        <w:tc>
          <w:tcPr>
            <w:tcW w:type="dxa" w:w="4752"/>
          </w:tcPr>
          <w:p>
            <w:r>
              <w:rPr>
                <w:rFonts w:ascii="Aptos" w:hAnsi="Aptos"/>
                <w:sz w:val="16"/>
              </w:rPr>
              <w:t>Forecast result for each future year</w:t>
            </w:r>
          </w:p>
        </w:tc>
        <w:tc>
          <w:tcPr>
            <w:tcW w:type="dxa" w:w="4752"/>
          </w:tcPr>
          <w:p>
            <w:r>
              <w:rPr>
                <w:rFonts w:ascii="Aptos" w:hAnsi="Aptos"/>
                <w:sz w:val="16"/>
              </w:rPr>
              <w:t>Main model output</w:t>
            </w:r>
          </w:p>
        </w:tc>
      </w:tr>
      <w:tr>
        <w:tc>
          <w:tcPr>
            <w:tcW w:type="dxa" w:w="4752"/>
          </w:tcPr>
          <w:p>
            <w:r>
              <w:rPr>
                <w:rFonts w:ascii="Aptos" w:hAnsi="Aptos"/>
                <w:sz w:val="16"/>
              </w:rPr>
              <w:t>Baseline Emissions</w:t>
            </w:r>
          </w:p>
        </w:tc>
        <w:tc>
          <w:tcPr>
            <w:tcW w:type="dxa" w:w="4752"/>
          </w:tcPr>
          <w:p>
            <w:r>
              <w:rPr>
                <w:rFonts w:ascii="Aptos" w:hAnsi="Aptos"/>
                <w:sz w:val="16"/>
              </w:rPr>
              <w:t>Emissions in baseline year</w:t>
            </w:r>
          </w:p>
        </w:tc>
        <w:tc>
          <w:tcPr>
            <w:tcW w:type="dxa" w:w="4752"/>
          </w:tcPr>
          <w:p>
            <w:r>
              <w:rPr>
                <w:rFonts w:ascii="Aptos" w:hAnsi="Aptos"/>
                <w:sz w:val="16"/>
              </w:rPr>
              <w:t>Starting point for reductions</w:t>
            </w:r>
          </w:p>
        </w:tc>
      </w:tr>
      <w:tr>
        <w:tc>
          <w:tcPr>
            <w:tcW w:type="dxa" w:w="4752"/>
          </w:tcPr>
          <w:p>
            <w:r>
              <w:rPr>
                <w:rFonts w:ascii="Aptos" w:hAnsi="Aptos"/>
                <w:sz w:val="16"/>
              </w:rPr>
              <w:t>Annual Reduction Required</w:t>
            </w:r>
          </w:p>
        </w:tc>
        <w:tc>
          <w:tcPr>
            <w:tcW w:type="dxa" w:w="4752"/>
          </w:tcPr>
          <w:p>
            <w:r>
              <w:rPr>
                <w:rFonts w:ascii="Aptos" w:hAnsi="Aptos"/>
                <w:sz w:val="16"/>
              </w:rPr>
              <w:t>Required annual absolute decrease</w:t>
            </w:r>
          </w:p>
        </w:tc>
        <w:tc>
          <w:tcPr>
            <w:tcW w:type="dxa" w:w="4752"/>
          </w:tcPr>
          <w:p>
            <w:r>
              <w:rPr>
                <w:rFonts w:ascii="Aptos" w:hAnsi="Aptos"/>
                <w:sz w:val="16"/>
              </w:rPr>
              <w:t>Annual execution target</w:t>
            </w:r>
          </w:p>
        </w:tc>
      </w:tr>
      <w:tr>
        <w:tc>
          <w:tcPr>
            <w:tcW w:type="dxa" w:w="4752"/>
          </w:tcPr>
          <w:p>
            <w:r>
              <w:rPr>
                <w:rFonts w:ascii="Aptos" w:hAnsi="Aptos"/>
                <w:sz w:val="16"/>
              </w:rPr>
              <w:t>CAGR</w:t>
            </w:r>
          </w:p>
        </w:tc>
        <w:tc>
          <w:tcPr>
            <w:tcW w:type="dxa" w:w="4752"/>
          </w:tcPr>
          <w:p>
            <w:r>
              <w:rPr>
                <w:rFonts w:ascii="Aptos" w:hAnsi="Aptos"/>
                <w:sz w:val="16"/>
              </w:rPr>
              <w:t>Compound annual growth or reduction rate</w:t>
            </w:r>
          </w:p>
        </w:tc>
        <w:tc>
          <w:tcPr>
            <w:tcW w:type="dxa" w:w="4752"/>
          </w:tcPr>
          <w:p>
            <w:r>
              <w:rPr>
                <w:rFonts w:ascii="Aptos" w:hAnsi="Aptos"/>
                <w:sz w:val="16"/>
              </w:rPr>
              <w:t>Long-run trend calculation</w:t>
            </w:r>
          </w:p>
        </w:tc>
      </w:tr>
      <w:tr>
        <w:tc>
          <w:tcPr>
            <w:tcW w:type="dxa" w:w="4752"/>
          </w:tcPr>
          <w:p>
            <w:r>
              <w:rPr>
                <w:rFonts w:ascii="Aptos" w:hAnsi="Aptos"/>
                <w:sz w:val="16"/>
              </w:rPr>
              <w:t>YoY Change</w:t>
            </w:r>
          </w:p>
        </w:tc>
        <w:tc>
          <w:tcPr>
            <w:tcW w:type="dxa" w:w="4752"/>
          </w:tcPr>
          <w:p>
            <w:r>
              <w:rPr>
                <w:rFonts w:ascii="Aptos" w:hAnsi="Aptos"/>
                <w:sz w:val="16"/>
              </w:rPr>
              <w:t>Year-over-year emissions change</w:t>
            </w:r>
          </w:p>
        </w:tc>
        <w:tc>
          <w:tcPr>
            <w:tcW w:type="dxa" w:w="4752"/>
          </w:tcPr>
          <w:p>
            <w:r>
              <w:rPr>
                <w:rFonts w:ascii="Aptos" w:hAnsi="Aptos"/>
                <w:sz w:val="16"/>
              </w:rPr>
              <w:t>Annual performance tracking</w:t>
            </w:r>
          </w:p>
        </w:tc>
      </w:tr>
      <w:tr>
        <w:tc>
          <w:tcPr>
            <w:tcW w:type="dxa" w:w="4752"/>
          </w:tcPr>
          <w:p>
            <w:r>
              <w:rPr>
                <w:rFonts w:ascii="Aptos" w:hAnsi="Aptos"/>
                <w:sz w:val="16"/>
              </w:rPr>
              <w:t>Carbon Budget Remaining</w:t>
            </w:r>
          </w:p>
        </w:tc>
        <w:tc>
          <w:tcPr>
            <w:tcW w:type="dxa" w:w="4752"/>
          </w:tcPr>
          <w:p>
            <w:r>
              <w:rPr>
                <w:rFonts w:ascii="Aptos" w:hAnsi="Aptos"/>
                <w:sz w:val="16"/>
              </w:rPr>
              <w:t>Target budget less cumulative forecast emissions</w:t>
            </w:r>
          </w:p>
        </w:tc>
        <w:tc>
          <w:tcPr>
            <w:tcW w:type="dxa" w:w="4752"/>
          </w:tcPr>
          <w:p>
            <w:r>
              <w:rPr>
                <w:rFonts w:ascii="Aptos" w:hAnsi="Aptos"/>
                <w:sz w:val="16"/>
              </w:rPr>
              <w:t>Budget governance</w:t>
            </w:r>
          </w:p>
        </w:tc>
      </w:tr>
      <w:tr>
        <w:tc>
          <w:tcPr>
            <w:tcW w:type="dxa" w:w="4752"/>
          </w:tcPr>
          <w:p>
            <w:r>
              <w:rPr>
                <w:rFonts w:ascii="Aptos" w:hAnsi="Aptos"/>
                <w:sz w:val="16"/>
              </w:rPr>
              <w:t>Cumulative Forecast Emissions</w:t>
            </w:r>
          </w:p>
        </w:tc>
        <w:tc>
          <w:tcPr>
            <w:tcW w:type="dxa" w:w="4752"/>
          </w:tcPr>
          <w:p>
            <w:r>
              <w:rPr>
                <w:rFonts w:ascii="Aptos" w:hAnsi="Aptos"/>
                <w:sz w:val="16"/>
              </w:rPr>
              <w:t>Sum of forecast emissions through current forecast year</w:t>
            </w:r>
          </w:p>
        </w:tc>
        <w:tc>
          <w:tcPr>
            <w:tcW w:type="dxa" w:w="4752"/>
          </w:tcPr>
          <w:p>
            <w:r>
              <w:rPr>
                <w:rFonts w:ascii="Aptos" w:hAnsi="Aptos"/>
                <w:sz w:val="16"/>
              </w:rPr>
              <w:t>Long-term climate impact</w:t>
            </w:r>
          </w:p>
        </w:tc>
      </w:tr>
      <w:tr>
        <w:tc>
          <w:tcPr>
            <w:tcW w:type="dxa" w:w="4752"/>
          </w:tcPr>
          <w:p>
            <w:r>
              <w:rPr>
                <w:rFonts w:ascii="Aptos" w:hAnsi="Aptos"/>
                <w:sz w:val="16"/>
              </w:rPr>
              <w:t>Target Achievement Status</w:t>
            </w:r>
          </w:p>
        </w:tc>
        <w:tc>
          <w:tcPr>
            <w:tcW w:type="dxa" w:w="4752"/>
          </w:tcPr>
          <w:p>
            <w:r>
              <w:rPr>
                <w:rFonts w:ascii="Aptos" w:hAnsi="Aptos"/>
                <w:sz w:val="16"/>
              </w:rPr>
              <w:t>On track / off track</w:t>
            </w:r>
          </w:p>
        </w:tc>
        <w:tc>
          <w:tcPr>
            <w:tcW w:type="dxa" w:w="4752"/>
          </w:tcPr>
          <w:p>
            <w:r>
              <w:rPr>
                <w:rFonts w:ascii="Aptos" w:hAnsi="Aptos"/>
                <w:sz w:val="16"/>
              </w:rPr>
              <w:t>Executive performance status</w:t>
            </w:r>
          </w:p>
        </w:tc>
      </w:tr>
      <w:tr>
        <w:tc>
          <w:tcPr>
            <w:tcW w:type="dxa" w:w="4752"/>
          </w:tcPr>
          <w:p>
            <w:r>
              <w:rPr>
                <w:rFonts w:ascii="Aptos" w:hAnsi="Aptos"/>
                <w:sz w:val="16"/>
              </w:rPr>
              <w:t>Supplier Risk Category</w:t>
            </w:r>
          </w:p>
        </w:tc>
        <w:tc>
          <w:tcPr>
            <w:tcW w:type="dxa" w:w="4752"/>
          </w:tcPr>
          <w:p>
            <w:r>
              <w:rPr>
                <w:rFonts w:ascii="Aptos" w:hAnsi="Aptos"/>
                <w:sz w:val="16"/>
              </w:rPr>
              <w:t>Low / Medium / High / Critical</w:t>
            </w:r>
          </w:p>
        </w:tc>
        <w:tc>
          <w:tcPr>
            <w:tcW w:type="dxa" w:w="4752"/>
          </w:tcPr>
          <w:p>
            <w:r>
              <w:rPr>
                <w:rFonts w:ascii="Aptos" w:hAnsi="Aptos"/>
                <w:sz w:val="16"/>
              </w:rPr>
              <w:t>Supplier engagement prioritization</w:t>
            </w:r>
          </w:p>
        </w:tc>
      </w:tr>
      <w:tr>
        <w:tc>
          <w:tcPr>
            <w:tcW w:type="dxa" w:w="4752"/>
          </w:tcPr>
          <w:p>
            <w:r>
              <w:rPr>
                <w:rFonts w:ascii="Aptos" w:hAnsi="Aptos"/>
                <w:sz w:val="16"/>
              </w:rPr>
              <w:t>Forecast Confidence Score</w:t>
            </w:r>
          </w:p>
        </w:tc>
        <w:tc>
          <w:tcPr>
            <w:tcW w:type="dxa" w:w="4752"/>
          </w:tcPr>
          <w:p>
            <w:r>
              <w:rPr>
                <w:rFonts w:ascii="Aptos" w:hAnsi="Aptos"/>
                <w:sz w:val="16"/>
              </w:rPr>
              <w:t>Reliability score based on source quality and method</w:t>
            </w:r>
          </w:p>
        </w:tc>
        <w:tc>
          <w:tcPr>
            <w:tcW w:type="dxa" w:w="4752"/>
          </w:tcPr>
          <w:p>
            <w:r>
              <w:rPr>
                <w:rFonts w:ascii="Aptos" w:hAnsi="Aptos"/>
                <w:sz w:val="16"/>
              </w:rPr>
              <w:t>Audit and data quality weighting</w:t>
            </w:r>
          </w:p>
        </w:tc>
      </w:tr>
    </w:tbl>
    <w:p/>
    <w:p>
      <w:pPr>
        <w:pStyle w:val="Heading1"/>
      </w:pPr>
      <w:r>
        <w:t>7. Mathematical Formula Library</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Calculation</w:t>
            </w:r>
          </w:p>
        </w:tc>
        <w:tc>
          <w:tcPr>
            <w:tcW w:type="dxa" w:w="7128"/>
          </w:tcPr>
          <w:p>
            <w:r>
              <w:rPr>
                <w:rFonts w:ascii="Aptos" w:hAnsi="Aptos"/>
                <w:b/>
                <w:color w:val="152B4D"/>
                <w:sz w:val="16"/>
              </w:rPr>
              <w:t>Formula</w:t>
            </w:r>
          </w:p>
        </w:tc>
      </w:tr>
      <w:tr>
        <w:tc>
          <w:tcPr>
            <w:tcW w:type="dxa" w:w="7128"/>
          </w:tcPr>
          <w:p>
            <w:r>
              <w:rPr>
                <w:rFonts w:ascii="Aptos" w:hAnsi="Aptos"/>
                <w:sz w:val="16"/>
              </w:rPr>
              <w:t>Total Emission Value</w:t>
            </w:r>
          </w:p>
        </w:tc>
        <w:tc>
          <w:tcPr>
            <w:tcW w:type="dxa" w:w="7128"/>
          </w:tcPr>
          <w:p>
            <w:r>
              <w:rPr>
                <w:rFonts w:ascii="Aptos" w:hAnsi="Aptos"/>
                <w:sz w:val="16"/>
              </w:rPr>
              <w:t>TE if source total emissions are supplied; otherwise RE; otherwise Missing Emissions</w:t>
            </w:r>
          </w:p>
        </w:tc>
      </w:tr>
      <w:tr>
        <w:tc>
          <w:tcPr>
            <w:tcW w:type="dxa" w:w="7128"/>
          </w:tcPr>
          <w:p>
            <w:r>
              <w:rPr>
                <w:rFonts w:ascii="Aptos" w:hAnsi="Aptos"/>
                <w:sz w:val="16"/>
              </w:rPr>
              <w:t>Spend-Based Emissions</w:t>
            </w:r>
          </w:p>
        </w:tc>
        <w:tc>
          <w:tcPr>
            <w:tcW w:type="dxa" w:w="7128"/>
          </w:tcPr>
          <w:p>
            <w:r>
              <w:rPr>
                <w:rFonts w:ascii="Aptos" w:hAnsi="Aptos"/>
                <w:sz w:val="16"/>
              </w:rPr>
              <w:t>Spend_Based_Emission = Gross_Spend x Spend_Based_Emission_Factor</w:t>
            </w:r>
          </w:p>
        </w:tc>
      </w:tr>
      <w:tr>
        <w:tc>
          <w:tcPr>
            <w:tcW w:type="dxa" w:w="7128"/>
          </w:tcPr>
          <w:p>
            <w:r>
              <w:rPr>
                <w:rFonts w:ascii="Aptos" w:hAnsi="Aptos"/>
                <w:sz w:val="16"/>
              </w:rPr>
              <w:t>Revenue-Based Emissions</w:t>
            </w:r>
          </w:p>
        </w:tc>
        <w:tc>
          <w:tcPr>
            <w:tcW w:type="dxa" w:w="7128"/>
          </w:tcPr>
          <w:p>
            <w:r>
              <w:rPr>
                <w:rFonts w:ascii="Aptos" w:hAnsi="Aptos"/>
                <w:sz w:val="16"/>
              </w:rPr>
              <w:t>Revenue_Based_Emission = Revenue x Revenue_Based_Emission_Intensity</w:t>
            </w:r>
          </w:p>
        </w:tc>
      </w:tr>
      <w:tr>
        <w:tc>
          <w:tcPr>
            <w:tcW w:type="dxa" w:w="7128"/>
          </w:tcPr>
          <w:p>
            <w:r>
              <w:rPr>
                <w:rFonts w:ascii="Aptos" w:hAnsi="Aptos"/>
                <w:sz w:val="16"/>
              </w:rPr>
              <w:t>Spend-Based Variance to Actual</w:t>
            </w:r>
          </w:p>
        </w:tc>
        <w:tc>
          <w:tcPr>
            <w:tcW w:type="dxa" w:w="7128"/>
          </w:tcPr>
          <w:p>
            <w:r>
              <w:rPr>
                <w:rFonts w:ascii="Aptos" w:hAnsi="Aptos"/>
                <w:sz w:val="16"/>
              </w:rPr>
              <w:t>Spend_Based_vs_Actual = Spend_Based_Emission - Total_Emission_Value</w:t>
            </w:r>
          </w:p>
        </w:tc>
      </w:tr>
      <w:tr>
        <w:tc>
          <w:tcPr>
            <w:tcW w:type="dxa" w:w="7128"/>
          </w:tcPr>
          <w:p>
            <w:r>
              <w:rPr>
                <w:rFonts w:ascii="Aptos" w:hAnsi="Aptos"/>
                <w:sz w:val="16"/>
              </w:rPr>
              <w:t>Revenue-Based Variance to Actual</w:t>
            </w:r>
          </w:p>
        </w:tc>
        <w:tc>
          <w:tcPr>
            <w:tcW w:type="dxa" w:w="7128"/>
          </w:tcPr>
          <w:p>
            <w:r>
              <w:rPr>
                <w:rFonts w:ascii="Aptos" w:hAnsi="Aptos"/>
                <w:sz w:val="16"/>
              </w:rPr>
              <w:t>Revenue_Based_vs_Actual = Revenue_Based_Emission - Total_Emission_Value</w:t>
            </w:r>
          </w:p>
        </w:tc>
      </w:tr>
      <w:tr>
        <w:tc>
          <w:tcPr>
            <w:tcW w:type="dxa" w:w="7128"/>
          </w:tcPr>
          <w:p>
            <w:r>
              <w:rPr>
                <w:rFonts w:ascii="Aptos" w:hAnsi="Aptos"/>
                <w:sz w:val="16"/>
              </w:rPr>
              <w:t>Spend-Based Variance %</w:t>
            </w:r>
          </w:p>
        </w:tc>
        <w:tc>
          <w:tcPr>
            <w:tcW w:type="dxa" w:w="7128"/>
          </w:tcPr>
          <w:p>
            <w:r>
              <w:rPr>
                <w:rFonts w:ascii="Aptos" w:hAnsi="Aptos"/>
                <w:sz w:val="16"/>
              </w:rPr>
              <w:t>Spend_Based_Variance_Percentage = Spend_Based_vs_Actual / Total_Emission_Value</w:t>
            </w:r>
          </w:p>
        </w:tc>
      </w:tr>
      <w:tr>
        <w:tc>
          <w:tcPr>
            <w:tcW w:type="dxa" w:w="7128"/>
          </w:tcPr>
          <w:p>
            <w:r>
              <w:rPr>
                <w:rFonts w:ascii="Aptos" w:hAnsi="Aptos"/>
                <w:sz w:val="16"/>
              </w:rPr>
              <w:t>Revenue-Based Variance %</w:t>
            </w:r>
          </w:p>
        </w:tc>
        <w:tc>
          <w:tcPr>
            <w:tcW w:type="dxa" w:w="7128"/>
          </w:tcPr>
          <w:p>
            <w:r>
              <w:rPr>
                <w:rFonts w:ascii="Aptos" w:hAnsi="Aptos"/>
                <w:sz w:val="16"/>
              </w:rPr>
              <w:t>Revenue_Based_Variance_Percentage = Revenue_Based_vs_Actual / Total_Emission_Value</w:t>
            </w:r>
          </w:p>
        </w:tc>
      </w:tr>
      <w:tr>
        <w:tc>
          <w:tcPr>
            <w:tcW w:type="dxa" w:w="7128"/>
          </w:tcPr>
          <w:p>
            <w:r>
              <w:rPr>
                <w:rFonts w:ascii="Aptos" w:hAnsi="Aptos"/>
                <w:sz w:val="16"/>
              </w:rPr>
              <w:t>Emission Intensity</w:t>
            </w:r>
          </w:p>
        </w:tc>
        <w:tc>
          <w:tcPr>
            <w:tcW w:type="dxa" w:w="7128"/>
          </w:tcPr>
          <w:p>
            <w:r>
              <w:rPr>
                <w:rFonts w:ascii="Aptos" w:hAnsi="Aptos"/>
                <w:sz w:val="16"/>
              </w:rPr>
              <w:t>Emission_Intensity = Emissions / Activity, where activity is spend or revenue</w:t>
            </w:r>
          </w:p>
        </w:tc>
      </w:tr>
      <w:tr>
        <w:tc>
          <w:tcPr>
            <w:tcW w:type="dxa" w:w="7128"/>
          </w:tcPr>
          <w:p>
            <w:r>
              <w:rPr>
                <w:rFonts w:ascii="Aptos" w:hAnsi="Aptos"/>
                <w:sz w:val="16"/>
              </w:rPr>
              <w:t>Target Emission</w:t>
            </w:r>
          </w:p>
        </w:tc>
        <w:tc>
          <w:tcPr>
            <w:tcW w:type="dxa" w:w="7128"/>
          </w:tcPr>
          <w:p>
            <w:r>
              <w:rPr>
                <w:rFonts w:ascii="Aptos" w:hAnsi="Aptos"/>
                <w:sz w:val="16"/>
              </w:rPr>
              <w:t>Target_Emission = Baseline_Emission x (1 - Reduction_Percentage)</w:t>
            </w:r>
          </w:p>
        </w:tc>
      </w:tr>
      <w:tr>
        <w:tc>
          <w:tcPr>
            <w:tcW w:type="dxa" w:w="7128"/>
          </w:tcPr>
          <w:p>
            <w:r>
              <w:rPr>
                <w:rFonts w:ascii="Aptos" w:hAnsi="Aptos"/>
                <w:sz w:val="16"/>
              </w:rPr>
              <w:t>Annual Reduction</w:t>
            </w:r>
          </w:p>
        </w:tc>
        <w:tc>
          <w:tcPr>
            <w:tcW w:type="dxa" w:w="7128"/>
          </w:tcPr>
          <w:p>
            <w:r>
              <w:rPr>
                <w:rFonts w:ascii="Aptos" w:hAnsi="Aptos"/>
                <w:sz w:val="16"/>
              </w:rPr>
              <w:t>Annual_Reduction_Required = (Baseline_Emission - Target_Emission) / (Target_Year - Baseline_Year)</w:t>
            </w:r>
          </w:p>
        </w:tc>
      </w:tr>
      <w:tr>
        <w:tc>
          <w:tcPr>
            <w:tcW w:type="dxa" w:w="7128"/>
          </w:tcPr>
          <w:p>
            <w:r>
              <w:rPr>
                <w:rFonts w:ascii="Aptos" w:hAnsi="Aptos"/>
                <w:sz w:val="16"/>
              </w:rPr>
              <w:t>Forecast Emission</w:t>
            </w:r>
          </w:p>
        </w:tc>
        <w:tc>
          <w:tcPr>
            <w:tcW w:type="dxa" w:w="7128"/>
          </w:tcPr>
          <w:p>
            <w:r>
              <w:rPr>
                <w:rFonts w:ascii="Aptos" w:hAnsi="Aptos"/>
                <w:sz w:val="16"/>
              </w:rPr>
              <w:t>Target pathways: Forecast_Emission = Glide_Path_Emission; trend pathway: Latest_Emission x (1 + Historical_Trend)^n</w:t>
            </w:r>
          </w:p>
        </w:tc>
      </w:tr>
      <w:tr>
        <w:tc>
          <w:tcPr>
            <w:tcW w:type="dxa" w:w="7128"/>
          </w:tcPr>
          <w:p>
            <w:r>
              <w:rPr>
                <w:rFonts w:ascii="Aptos" w:hAnsi="Aptos"/>
                <w:sz w:val="16"/>
              </w:rPr>
              <w:t>Glide Path Emission</w:t>
            </w:r>
          </w:p>
        </w:tc>
        <w:tc>
          <w:tcPr>
            <w:tcW w:type="dxa" w:w="7128"/>
          </w:tcPr>
          <w:p>
            <w:r>
              <w:rPr>
                <w:rFonts w:ascii="Aptos" w:hAnsi="Aptos"/>
                <w:sz w:val="16"/>
              </w:rPr>
              <w:t>Glide_Path_Emission_y = max(Target_Emission, Baseline_Emission - Annual_Reduction_Required x (Forecast_Year - Baseline_Year))</w:t>
            </w:r>
          </w:p>
        </w:tc>
      </w:tr>
      <w:tr>
        <w:tc>
          <w:tcPr>
            <w:tcW w:type="dxa" w:w="7128"/>
          </w:tcPr>
          <w:p>
            <w:r>
              <w:rPr>
                <w:rFonts w:ascii="Aptos" w:hAnsi="Aptos"/>
                <w:sz w:val="16"/>
              </w:rPr>
              <w:t>Absolute Reduction</w:t>
            </w:r>
          </w:p>
        </w:tc>
        <w:tc>
          <w:tcPr>
            <w:tcW w:type="dxa" w:w="7128"/>
          </w:tcPr>
          <w:p>
            <w:r>
              <w:rPr>
                <w:rFonts w:ascii="Aptos" w:hAnsi="Aptos"/>
                <w:sz w:val="16"/>
              </w:rPr>
              <w:t>Absolute_Reduction = Baseline_Emission - Forecast_Emission</w:t>
            </w:r>
          </w:p>
        </w:tc>
      </w:tr>
      <w:tr>
        <w:tc>
          <w:tcPr>
            <w:tcW w:type="dxa" w:w="7128"/>
          </w:tcPr>
          <w:p>
            <w:r>
              <w:rPr>
                <w:rFonts w:ascii="Aptos" w:hAnsi="Aptos"/>
                <w:sz w:val="16"/>
              </w:rPr>
              <w:t>Intensity Reduction</w:t>
            </w:r>
          </w:p>
        </w:tc>
        <w:tc>
          <w:tcPr>
            <w:tcW w:type="dxa" w:w="7128"/>
          </w:tcPr>
          <w:p>
            <w:r>
              <w:rPr>
                <w:rFonts w:ascii="Aptos" w:hAnsi="Aptos"/>
                <w:sz w:val="16"/>
              </w:rPr>
              <w:t>Intensity_Reduction = (Baseline_Intensity - Forecast_Intensity) / Baseline_Intensity</w:t>
            </w:r>
          </w:p>
        </w:tc>
      </w:tr>
      <w:tr>
        <w:tc>
          <w:tcPr>
            <w:tcW w:type="dxa" w:w="7128"/>
          </w:tcPr>
          <w:p>
            <w:r>
              <w:rPr>
                <w:rFonts w:ascii="Aptos" w:hAnsi="Aptos"/>
                <w:sz w:val="16"/>
              </w:rPr>
              <w:t>Gap to Target</w:t>
            </w:r>
          </w:p>
        </w:tc>
        <w:tc>
          <w:tcPr>
            <w:tcW w:type="dxa" w:w="7128"/>
          </w:tcPr>
          <w:p>
            <w:r>
              <w:rPr>
                <w:rFonts w:ascii="Aptos" w:hAnsi="Aptos"/>
                <w:sz w:val="16"/>
              </w:rPr>
              <w:t>Gap_to_Target = Forecast_Emission - Target_Emission</w:t>
            </w:r>
          </w:p>
        </w:tc>
      </w:tr>
      <w:tr>
        <w:tc>
          <w:tcPr>
            <w:tcW w:type="dxa" w:w="7128"/>
          </w:tcPr>
          <w:p>
            <w:r>
              <w:rPr>
                <w:rFonts w:ascii="Aptos" w:hAnsi="Aptos"/>
                <w:sz w:val="16"/>
              </w:rPr>
              <w:t>YoY Change</w:t>
            </w:r>
          </w:p>
        </w:tc>
        <w:tc>
          <w:tcPr>
            <w:tcW w:type="dxa" w:w="7128"/>
          </w:tcPr>
          <w:p>
            <w:r>
              <w:rPr>
                <w:rFonts w:ascii="Aptos" w:hAnsi="Aptos"/>
                <w:sz w:val="16"/>
              </w:rPr>
              <w:t>YoY_Change = (Emission_y - Emission_y-1) / Emission_y-1</w:t>
            </w:r>
          </w:p>
        </w:tc>
      </w:tr>
      <w:tr>
        <w:tc>
          <w:tcPr>
            <w:tcW w:type="dxa" w:w="7128"/>
          </w:tcPr>
          <w:p>
            <w:r>
              <w:rPr>
                <w:rFonts w:ascii="Aptos" w:hAnsi="Aptos"/>
                <w:sz w:val="16"/>
              </w:rPr>
              <w:t>CAGR</w:t>
            </w:r>
          </w:p>
        </w:tc>
        <w:tc>
          <w:tcPr>
            <w:tcW w:type="dxa" w:w="7128"/>
          </w:tcPr>
          <w:p>
            <w:r>
              <w:rPr>
                <w:rFonts w:ascii="Aptos" w:hAnsi="Aptos"/>
                <w:sz w:val="16"/>
              </w:rPr>
              <w:t>CAGR = (Ending_Value / Beginning_Value)^(1 / Years) - 1</w:t>
            </w:r>
          </w:p>
        </w:tc>
      </w:tr>
      <w:tr>
        <w:tc>
          <w:tcPr>
            <w:tcW w:type="dxa" w:w="7128"/>
          </w:tcPr>
          <w:p>
            <w:r>
              <w:rPr>
                <w:rFonts w:ascii="Aptos" w:hAnsi="Aptos"/>
                <w:sz w:val="16"/>
              </w:rPr>
              <w:t>Supplier Growth Projection</w:t>
            </w:r>
          </w:p>
        </w:tc>
        <w:tc>
          <w:tcPr>
            <w:tcW w:type="dxa" w:w="7128"/>
          </w:tcPr>
          <w:p>
            <w:r>
              <w:rPr>
                <w:rFonts w:ascii="Aptos" w:hAnsi="Aptos"/>
                <w:sz w:val="16"/>
              </w:rPr>
              <w:t>Growth = (Current_Activity / Baseline_Activity)^(1 / Years) - 1</w:t>
            </w:r>
          </w:p>
        </w:tc>
      </w:tr>
      <w:tr>
        <w:tc>
          <w:tcPr>
            <w:tcW w:type="dxa" w:w="7128"/>
          </w:tcPr>
          <w:p>
            <w:r>
              <w:rPr>
                <w:rFonts w:ascii="Aptos" w:hAnsi="Aptos"/>
                <w:sz w:val="16"/>
              </w:rPr>
              <w:t>Carbon Budget Remaining</w:t>
            </w:r>
          </w:p>
        </w:tc>
        <w:tc>
          <w:tcPr>
            <w:tcW w:type="dxa" w:w="7128"/>
          </w:tcPr>
          <w:p>
            <w:r>
              <w:rPr>
                <w:rFonts w:ascii="Aptos" w:hAnsi="Aptos"/>
                <w:sz w:val="16"/>
              </w:rPr>
              <w:t>Carbon_Budget_Remaining = Target_Carbon_Budget - Cumulative_Emissions</w:t>
            </w:r>
          </w:p>
        </w:tc>
      </w:tr>
      <w:tr>
        <w:tc>
          <w:tcPr>
            <w:tcW w:type="dxa" w:w="7128"/>
          </w:tcPr>
          <w:p>
            <w:r>
              <w:rPr>
                <w:rFonts w:ascii="Aptos" w:hAnsi="Aptos"/>
                <w:sz w:val="16"/>
              </w:rPr>
              <w:t>Cumulative Emissions</w:t>
            </w:r>
          </w:p>
        </w:tc>
        <w:tc>
          <w:tcPr>
            <w:tcW w:type="dxa" w:w="7128"/>
          </w:tcPr>
          <w:p>
            <w:r>
              <w:rPr>
                <w:rFonts w:ascii="Aptos" w:hAnsi="Aptos"/>
                <w:sz w:val="16"/>
              </w:rPr>
              <w:t>Cumulative_Emissions_y = sum(Forecast_Emission from start year to y)</w:t>
            </w:r>
          </w:p>
        </w:tc>
      </w:tr>
      <w:tr>
        <w:tc>
          <w:tcPr>
            <w:tcW w:type="dxa" w:w="7128"/>
          </w:tcPr>
          <w:p>
            <w:r>
              <w:rPr>
                <w:rFonts w:ascii="Aptos" w:hAnsi="Aptos"/>
                <w:sz w:val="16"/>
              </w:rPr>
              <w:t>Forecast Accuracy</w:t>
            </w:r>
          </w:p>
        </w:tc>
        <w:tc>
          <w:tcPr>
            <w:tcW w:type="dxa" w:w="7128"/>
          </w:tcPr>
          <w:p>
            <w:r>
              <w:rPr>
                <w:rFonts w:ascii="Aptos" w:hAnsi="Aptos"/>
                <w:sz w:val="16"/>
              </w:rPr>
              <w:t>Accuracy = 1 - abs(Actual - Forecast) / Actual</w:t>
            </w:r>
          </w:p>
        </w:tc>
      </w:tr>
      <w:tr>
        <w:tc>
          <w:tcPr>
            <w:tcW w:type="dxa" w:w="7128"/>
          </w:tcPr>
          <w:p>
            <w:r>
              <w:rPr>
                <w:rFonts w:ascii="Aptos" w:hAnsi="Aptos"/>
                <w:sz w:val="16"/>
              </w:rPr>
              <w:t>MAPE</w:t>
            </w:r>
          </w:p>
        </w:tc>
        <w:tc>
          <w:tcPr>
            <w:tcW w:type="dxa" w:w="7128"/>
          </w:tcPr>
          <w:p>
            <w:r>
              <w:rPr>
                <w:rFonts w:ascii="Aptos" w:hAnsi="Aptos"/>
                <w:sz w:val="16"/>
              </w:rPr>
              <w:t>MAPE = average(abs((Actual - Forecast) / Actual))</w:t>
            </w:r>
          </w:p>
        </w:tc>
      </w:tr>
      <w:tr>
        <w:tc>
          <w:tcPr>
            <w:tcW w:type="dxa" w:w="7128"/>
          </w:tcPr>
          <w:p>
            <w:r>
              <w:rPr>
                <w:rFonts w:ascii="Aptos" w:hAnsi="Aptos"/>
                <w:sz w:val="16"/>
              </w:rPr>
              <w:t>RMSE</w:t>
            </w:r>
          </w:p>
        </w:tc>
        <w:tc>
          <w:tcPr>
            <w:tcW w:type="dxa" w:w="7128"/>
          </w:tcPr>
          <w:p>
            <w:r>
              <w:rPr>
                <w:rFonts w:ascii="Aptos" w:hAnsi="Aptos"/>
                <w:sz w:val="16"/>
              </w:rPr>
              <w:t>RMSE = sqrt(average((Actual - Forecast)^2))</w:t>
            </w:r>
          </w:p>
        </w:tc>
      </w:tr>
      <w:tr>
        <w:tc>
          <w:tcPr>
            <w:tcW w:type="dxa" w:w="7128"/>
          </w:tcPr>
          <w:p>
            <w:r>
              <w:rPr>
                <w:rFonts w:ascii="Aptos" w:hAnsi="Aptos"/>
                <w:sz w:val="16"/>
              </w:rPr>
              <w:t>R2</w:t>
            </w:r>
          </w:p>
        </w:tc>
        <w:tc>
          <w:tcPr>
            <w:tcW w:type="dxa" w:w="7128"/>
          </w:tcPr>
          <w:p>
            <w:r>
              <w:rPr>
                <w:rFonts w:ascii="Aptos" w:hAnsi="Aptos"/>
                <w:sz w:val="16"/>
              </w:rPr>
              <w:t>R2 = 1 - sum((Actual - Forecast)^2) / sum((Actual - Average_Actual)^2)</w:t>
            </w:r>
          </w:p>
        </w:tc>
      </w:tr>
    </w:tbl>
    <w:p/>
    <w:p>
      <w:pPr>
        <w:pStyle w:val="Heading1"/>
      </w:pPr>
      <w:r>
        <w:t>8. Excel Formula Library</w:t>
      </w:r>
    </w:p>
    <w:p>
      <w:r>
        <w:t>Assume the main Excel table is named ForecastTable.</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Parameter</w:t>
            </w:r>
          </w:p>
        </w:tc>
        <w:tc>
          <w:tcPr>
            <w:tcW w:type="dxa" w:w="7128"/>
          </w:tcPr>
          <w:p>
            <w:r>
              <w:rPr>
                <w:rFonts w:ascii="Aptos" w:hAnsi="Aptos"/>
                <w:b/>
                <w:color w:val="152B4D"/>
                <w:sz w:val="16"/>
              </w:rPr>
              <w:t>Structured Excel formula</w:t>
            </w:r>
          </w:p>
        </w:tc>
      </w:tr>
      <w:tr>
        <w:tc>
          <w:tcPr>
            <w:tcW w:type="dxa" w:w="7128"/>
          </w:tcPr>
          <w:p>
            <w:r>
              <w:rPr>
                <w:rFonts w:ascii="Aptos" w:hAnsi="Aptos"/>
                <w:sz w:val="16"/>
              </w:rPr>
              <w:t>Total_Emission_Value</w:t>
            </w:r>
          </w:p>
        </w:tc>
        <w:tc>
          <w:tcPr>
            <w:tcW w:type="dxa" w:w="7128"/>
          </w:tcPr>
          <w:p>
            <w:r>
              <w:rPr>
                <w:rFonts w:ascii="Aptos" w:hAnsi="Aptos"/>
                <w:sz w:val="16"/>
              </w:rPr>
              <w:t>=IF([@[Source_Total_Emission_Value]]&lt;&gt;"",[@[Source_Total_Emission_Value]],IF([@[Reported_Emissions]]&lt;&gt;"",[@[Reported_Emissions]],"Missing Emissions"))</w:t>
            </w:r>
          </w:p>
        </w:tc>
      </w:tr>
      <w:tr>
        <w:tc>
          <w:tcPr>
            <w:tcW w:type="dxa" w:w="7128"/>
          </w:tcPr>
          <w:p>
            <w:r>
              <w:rPr>
                <w:rFonts w:ascii="Aptos" w:hAnsi="Aptos"/>
                <w:sz w:val="16"/>
              </w:rPr>
              <w:t>Emission_Source_Flag</w:t>
            </w:r>
          </w:p>
        </w:tc>
        <w:tc>
          <w:tcPr>
            <w:tcW w:type="dxa" w:w="7128"/>
          </w:tcPr>
          <w:p>
            <w:r>
              <w:rPr>
                <w:rFonts w:ascii="Aptos" w:hAnsi="Aptos"/>
                <w:sz w:val="16"/>
              </w:rPr>
              <w:t>=IF([@[Source_Total_Emission_Value]]&lt;&gt;"","Provided Total Emissions",IF([@[Reported_Emissions]]&lt;&gt;"","Supplier Reported Emissions","Missing Emissions"))</w:t>
            </w:r>
          </w:p>
        </w:tc>
      </w:tr>
      <w:tr>
        <w:tc>
          <w:tcPr>
            <w:tcW w:type="dxa" w:w="7128"/>
          </w:tcPr>
          <w:p>
            <w:r>
              <w:rPr>
                <w:rFonts w:ascii="Aptos" w:hAnsi="Aptos"/>
                <w:sz w:val="16"/>
              </w:rPr>
              <w:t>Emissions_Data_Available_Flag</w:t>
            </w:r>
          </w:p>
        </w:tc>
        <w:tc>
          <w:tcPr>
            <w:tcW w:type="dxa" w:w="7128"/>
          </w:tcPr>
          <w:p>
            <w:r>
              <w:rPr>
                <w:rFonts w:ascii="Aptos" w:hAnsi="Aptos"/>
                <w:sz w:val="16"/>
              </w:rPr>
              <w:t>=IF([@[Total_Emission_Value]]&lt;&gt;"",TRUE,FALSE)</w:t>
            </w:r>
          </w:p>
        </w:tc>
      </w:tr>
      <w:tr>
        <w:tc>
          <w:tcPr>
            <w:tcW w:type="dxa" w:w="7128"/>
          </w:tcPr>
          <w:p>
            <w:r>
              <w:rPr>
                <w:rFonts w:ascii="Aptos" w:hAnsi="Aptos"/>
                <w:sz w:val="16"/>
              </w:rPr>
              <w:t>Data_Quality_Flag</w:t>
            </w:r>
          </w:p>
        </w:tc>
        <w:tc>
          <w:tcPr>
            <w:tcW w:type="dxa" w:w="7128"/>
          </w:tcPr>
          <w:p>
            <w:r>
              <w:rPr>
                <w:rFonts w:ascii="Aptos" w:hAnsi="Aptos"/>
                <w:sz w:val="16"/>
              </w:rPr>
              <w:t>=IF([@[Total_Emission_Value]]&lt;&gt;"","High","Missing")</w:t>
            </w:r>
          </w:p>
        </w:tc>
      </w:tr>
      <w:tr>
        <w:tc>
          <w:tcPr>
            <w:tcW w:type="dxa" w:w="7128"/>
          </w:tcPr>
          <w:p>
            <w:r>
              <w:rPr>
                <w:rFonts w:ascii="Aptos" w:hAnsi="Aptos"/>
                <w:sz w:val="16"/>
              </w:rPr>
              <w:t>Confidence_Score</w:t>
            </w:r>
          </w:p>
        </w:tc>
        <w:tc>
          <w:tcPr>
            <w:tcW w:type="dxa" w:w="7128"/>
          </w:tcPr>
          <w:p>
            <w:r>
              <w:rPr>
                <w:rFonts w:ascii="Aptos" w:hAnsi="Aptos"/>
                <w:sz w:val="16"/>
              </w:rPr>
              <w:t>=IF([@[Total_Emission_Value]]&lt;&gt;"",0.95,0)</w:t>
            </w:r>
          </w:p>
        </w:tc>
      </w:tr>
      <w:tr>
        <w:tc>
          <w:tcPr>
            <w:tcW w:type="dxa" w:w="7128"/>
          </w:tcPr>
          <w:p>
            <w:r>
              <w:rPr>
                <w:rFonts w:ascii="Aptos" w:hAnsi="Aptos"/>
                <w:sz w:val="16"/>
              </w:rPr>
              <w:t>Spend_Based_Emission</w:t>
            </w:r>
          </w:p>
        </w:tc>
        <w:tc>
          <w:tcPr>
            <w:tcW w:type="dxa" w:w="7128"/>
          </w:tcPr>
          <w:p>
            <w:r>
              <w:rPr>
                <w:rFonts w:ascii="Aptos" w:hAnsi="Aptos"/>
                <w:sz w:val="16"/>
              </w:rPr>
              <w:t>=IFERROR([@[Gross_Spend]]*[@[Spend_Based_Emission_Factor]],"")</w:t>
            </w:r>
          </w:p>
        </w:tc>
      </w:tr>
      <w:tr>
        <w:tc>
          <w:tcPr>
            <w:tcW w:type="dxa" w:w="7128"/>
          </w:tcPr>
          <w:p>
            <w:r>
              <w:rPr>
                <w:rFonts w:ascii="Aptos" w:hAnsi="Aptos"/>
                <w:sz w:val="16"/>
              </w:rPr>
              <w:t>Revenue_Based_Emission</w:t>
            </w:r>
          </w:p>
        </w:tc>
        <w:tc>
          <w:tcPr>
            <w:tcW w:type="dxa" w:w="7128"/>
          </w:tcPr>
          <w:p>
            <w:r>
              <w:rPr>
                <w:rFonts w:ascii="Aptos" w:hAnsi="Aptos"/>
                <w:sz w:val="16"/>
              </w:rPr>
              <w:t>=IFERROR([@[Revenue]]*[@[Revenue_Based_Emission_Intensity]],"")</w:t>
            </w:r>
          </w:p>
        </w:tc>
      </w:tr>
      <w:tr>
        <w:tc>
          <w:tcPr>
            <w:tcW w:type="dxa" w:w="7128"/>
          </w:tcPr>
          <w:p>
            <w:r>
              <w:rPr>
                <w:rFonts w:ascii="Aptos" w:hAnsi="Aptos"/>
                <w:sz w:val="16"/>
              </w:rPr>
              <w:t>Spend_Based_vs_Actual</w:t>
            </w:r>
          </w:p>
        </w:tc>
        <w:tc>
          <w:tcPr>
            <w:tcW w:type="dxa" w:w="7128"/>
          </w:tcPr>
          <w:p>
            <w:r>
              <w:rPr>
                <w:rFonts w:ascii="Aptos" w:hAnsi="Aptos"/>
                <w:sz w:val="16"/>
              </w:rPr>
              <w:t>=IFERROR([@[Spend_Based_Emission]]-[@[Total_Emission_Value]],"")</w:t>
            </w:r>
          </w:p>
        </w:tc>
      </w:tr>
      <w:tr>
        <w:tc>
          <w:tcPr>
            <w:tcW w:type="dxa" w:w="7128"/>
          </w:tcPr>
          <w:p>
            <w:r>
              <w:rPr>
                <w:rFonts w:ascii="Aptos" w:hAnsi="Aptos"/>
                <w:sz w:val="16"/>
              </w:rPr>
              <w:t>Revenue_Based_vs_Actual</w:t>
            </w:r>
          </w:p>
        </w:tc>
        <w:tc>
          <w:tcPr>
            <w:tcW w:type="dxa" w:w="7128"/>
          </w:tcPr>
          <w:p>
            <w:r>
              <w:rPr>
                <w:rFonts w:ascii="Aptos" w:hAnsi="Aptos"/>
                <w:sz w:val="16"/>
              </w:rPr>
              <w:t>=IFERROR([@[Revenue_Based_Emission]]-[@[Total_Emission_Value]],"")</w:t>
            </w:r>
          </w:p>
        </w:tc>
      </w:tr>
      <w:tr>
        <w:tc>
          <w:tcPr>
            <w:tcW w:type="dxa" w:w="7128"/>
          </w:tcPr>
          <w:p>
            <w:r>
              <w:rPr>
                <w:rFonts w:ascii="Aptos" w:hAnsi="Aptos"/>
                <w:sz w:val="16"/>
              </w:rPr>
              <w:t>Spend_Based_Variance_Percentage</w:t>
            </w:r>
          </w:p>
        </w:tc>
        <w:tc>
          <w:tcPr>
            <w:tcW w:type="dxa" w:w="7128"/>
          </w:tcPr>
          <w:p>
            <w:r>
              <w:rPr>
                <w:rFonts w:ascii="Aptos" w:hAnsi="Aptos"/>
                <w:sz w:val="16"/>
              </w:rPr>
              <w:t>=IFERROR([@[Spend_Based_vs_Actual]]/[@[Total_Emission_Value]],"")</w:t>
            </w:r>
          </w:p>
        </w:tc>
      </w:tr>
      <w:tr>
        <w:tc>
          <w:tcPr>
            <w:tcW w:type="dxa" w:w="7128"/>
          </w:tcPr>
          <w:p>
            <w:r>
              <w:rPr>
                <w:rFonts w:ascii="Aptos" w:hAnsi="Aptos"/>
                <w:sz w:val="16"/>
              </w:rPr>
              <w:t>Revenue_Based_Variance_Percentage</w:t>
            </w:r>
          </w:p>
        </w:tc>
        <w:tc>
          <w:tcPr>
            <w:tcW w:type="dxa" w:w="7128"/>
          </w:tcPr>
          <w:p>
            <w:r>
              <w:rPr>
                <w:rFonts w:ascii="Aptos" w:hAnsi="Aptos"/>
                <w:sz w:val="16"/>
              </w:rPr>
              <w:t>=IFERROR([@[Revenue_Based_vs_Actual]]/[@[Total_Emission_Value]],"")</w:t>
            </w:r>
          </w:p>
        </w:tc>
      </w:tr>
      <w:tr>
        <w:tc>
          <w:tcPr>
            <w:tcW w:type="dxa" w:w="7128"/>
          </w:tcPr>
          <w:p>
            <w:r>
              <w:rPr>
                <w:rFonts w:ascii="Aptos" w:hAnsi="Aptos"/>
                <w:sz w:val="16"/>
              </w:rPr>
              <w:t>Forecast_Method_Flag</w:t>
            </w:r>
          </w:p>
        </w:tc>
        <w:tc>
          <w:tcPr>
            <w:tcW w:type="dxa" w:w="7128"/>
          </w:tcPr>
          <w:p>
            <w:r>
              <w:rPr>
                <w:rFonts w:ascii="Aptos" w:hAnsi="Aptos"/>
                <w:sz w:val="16"/>
              </w:rPr>
              <w:t>=IF(AND([@[Target_Year]]&lt;&gt;"",[@[Target_Reduction_Percentage]]&lt;&gt;""),"Supplier Target Pathway",IF(AND([@[Industry_Target_Year]]&lt;&gt;"",[@[Industry_Reduction_Percentage]]&lt;&gt;""),"Industry Haircut Pathway","Historical Trend Pathway"))</w:t>
            </w:r>
          </w:p>
        </w:tc>
      </w:tr>
      <w:tr>
        <w:tc>
          <w:tcPr>
            <w:tcW w:type="dxa" w:w="7128"/>
          </w:tcPr>
          <w:p>
            <w:r>
              <w:rPr>
                <w:rFonts w:ascii="Aptos" w:hAnsi="Aptos"/>
                <w:sz w:val="16"/>
              </w:rPr>
              <w:t>Baseline_Emission</w:t>
            </w:r>
          </w:p>
        </w:tc>
        <w:tc>
          <w:tcPr>
            <w:tcW w:type="dxa" w:w="7128"/>
          </w:tcPr>
          <w:p>
            <w:r>
              <w:rPr>
                <w:rFonts w:ascii="Aptos" w:hAnsi="Aptos"/>
                <w:sz w:val="16"/>
              </w:rPr>
              <w:t>=SUMIFS(ForecastTable[Total_Emission_Value],ForecastTable[Supplier_ID],[@[Supplier_ID]],ForecastTable[Supplier_Year],[@[Baseline_Year]])</w:t>
            </w:r>
          </w:p>
        </w:tc>
      </w:tr>
      <w:tr>
        <w:tc>
          <w:tcPr>
            <w:tcW w:type="dxa" w:w="7128"/>
          </w:tcPr>
          <w:p>
            <w:r>
              <w:rPr>
                <w:rFonts w:ascii="Aptos" w:hAnsi="Aptos"/>
                <w:sz w:val="16"/>
              </w:rPr>
              <w:t>Target_Emission</w:t>
            </w:r>
          </w:p>
        </w:tc>
        <w:tc>
          <w:tcPr>
            <w:tcW w:type="dxa" w:w="7128"/>
          </w:tcPr>
          <w:p>
            <w:r>
              <w:rPr>
                <w:rFonts w:ascii="Aptos" w:hAnsi="Aptos"/>
                <w:sz w:val="16"/>
              </w:rPr>
              <w:t>=[@[Baseline_Emission]]*(1-[@[Target_Reduction_Percentage]])</w:t>
            </w:r>
          </w:p>
        </w:tc>
      </w:tr>
      <w:tr>
        <w:tc>
          <w:tcPr>
            <w:tcW w:type="dxa" w:w="7128"/>
          </w:tcPr>
          <w:p>
            <w:r>
              <w:rPr>
                <w:rFonts w:ascii="Aptos" w:hAnsi="Aptos"/>
                <w:sz w:val="16"/>
              </w:rPr>
              <w:t>Annual_Reduction_Required</w:t>
            </w:r>
          </w:p>
        </w:tc>
        <w:tc>
          <w:tcPr>
            <w:tcW w:type="dxa" w:w="7128"/>
          </w:tcPr>
          <w:p>
            <w:r>
              <w:rPr>
                <w:rFonts w:ascii="Aptos" w:hAnsi="Aptos"/>
                <w:sz w:val="16"/>
              </w:rPr>
              <w:t>=IFERROR(([@[Baseline_Emission]]-[@[Target_Emission]])/([@[Target_Year]]-[@[Baseline_Year]]),0)</w:t>
            </w:r>
          </w:p>
        </w:tc>
      </w:tr>
      <w:tr>
        <w:tc>
          <w:tcPr>
            <w:tcW w:type="dxa" w:w="7128"/>
          </w:tcPr>
          <w:p>
            <w:r>
              <w:rPr>
                <w:rFonts w:ascii="Aptos" w:hAnsi="Aptos"/>
                <w:sz w:val="16"/>
              </w:rPr>
              <w:t>Glide_Path_Emission</w:t>
            </w:r>
          </w:p>
        </w:tc>
        <w:tc>
          <w:tcPr>
            <w:tcW w:type="dxa" w:w="7128"/>
          </w:tcPr>
          <w:p>
            <w:r>
              <w:rPr>
                <w:rFonts w:ascii="Aptos" w:hAnsi="Aptos"/>
                <w:sz w:val="16"/>
              </w:rPr>
              <w:t>=MAX([@[Target_Emission]],[@[Baseline_Emission]]-[@[Annual_Reduction_Required]]*([@[Forecast_Year]]-[@[Baseline_Year]]))</w:t>
            </w:r>
          </w:p>
        </w:tc>
      </w:tr>
      <w:tr>
        <w:tc>
          <w:tcPr>
            <w:tcW w:type="dxa" w:w="7128"/>
          </w:tcPr>
          <w:p>
            <w:r>
              <w:rPr>
                <w:rFonts w:ascii="Aptos" w:hAnsi="Aptos"/>
                <w:sz w:val="16"/>
              </w:rPr>
              <w:t>Forecast_Emission</w:t>
            </w:r>
          </w:p>
        </w:tc>
        <w:tc>
          <w:tcPr>
            <w:tcW w:type="dxa" w:w="7128"/>
          </w:tcPr>
          <w:p>
            <w:r>
              <w:rPr>
                <w:rFonts w:ascii="Aptos" w:hAnsi="Aptos"/>
                <w:sz w:val="16"/>
              </w:rPr>
              <w:t>=IF([@[Forecast_Method_Flag]]="Historical Trend Pathway",[@[Total_Emission_Value]]*(1+[@[Historical_Trend]])^([@[Forecast_Year]]-[@[Supplier_Year]]),[@[Glide_Path_Emission]])</w:t>
            </w:r>
          </w:p>
        </w:tc>
      </w:tr>
      <w:tr>
        <w:tc>
          <w:tcPr>
            <w:tcW w:type="dxa" w:w="7128"/>
          </w:tcPr>
          <w:p>
            <w:r>
              <w:rPr>
                <w:rFonts w:ascii="Aptos" w:hAnsi="Aptos"/>
                <w:sz w:val="16"/>
              </w:rPr>
              <w:t>Absolute_Reduction</w:t>
            </w:r>
          </w:p>
        </w:tc>
        <w:tc>
          <w:tcPr>
            <w:tcW w:type="dxa" w:w="7128"/>
          </w:tcPr>
          <w:p>
            <w:r>
              <w:rPr>
                <w:rFonts w:ascii="Aptos" w:hAnsi="Aptos"/>
                <w:sz w:val="16"/>
              </w:rPr>
              <w:t>=[@[Baseline_Emission]]-[@[Forecast_Emission]]</w:t>
            </w:r>
          </w:p>
        </w:tc>
      </w:tr>
      <w:tr>
        <w:tc>
          <w:tcPr>
            <w:tcW w:type="dxa" w:w="7128"/>
          </w:tcPr>
          <w:p>
            <w:r>
              <w:rPr>
                <w:rFonts w:ascii="Aptos" w:hAnsi="Aptos"/>
                <w:sz w:val="16"/>
              </w:rPr>
              <w:t>Emission_Intensity</w:t>
            </w:r>
          </w:p>
        </w:tc>
        <w:tc>
          <w:tcPr>
            <w:tcW w:type="dxa" w:w="7128"/>
          </w:tcPr>
          <w:p>
            <w:r>
              <w:rPr>
                <w:rFonts w:ascii="Aptos" w:hAnsi="Aptos"/>
                <w:sz w:val="16"/>
              </w:rPr>
              <w:t>=IFERROR([@[Forecast_Emission]]/[@[Gross_Spend]],"")</w:t>
            </w:r>
          </w:p>
        </w:tc>
      </w:tr>
      <w:tr>
        <w:tc>
          <w:tcPr>
            <w:tcW w:type="dxa" w:w="7128"/>
          </w:tcPr>
          <w:p>
            <w:r>
              <w:rPr>
                <w:rFonts w:ascii="Aptos" w:hAnsi="Aptos"/>
                <w:sz w:val="16"/>
              </w:rPr>
              <w:t>Intensity_Reduction</w:t>
            </w:r>
          </w:p>
        </w:tc>
        <w:tc>
          <w:tcPr>
            <w:tcW w:type="dxa" w:w="7128"/>
          </w:tcPr>
          <w:p>
            <w:r>
              <w:rPr>
                <w:rFonts w:ascii="Aptos" w:hAnsi="Aptos"/>
                <w:sz w:val="16"/>
              </w:rPr>
              <w:t>=IFERROR(([@[Baseline_Intensity]]-[@[Emission_Intensity]])/[@[Baseline_Intensity]],"")</w:t>
            </w:r>
          </w:p>
        </w:tc>
      </w:tr>
      <w:tr>
        <w:tc>
          <w:tcPr>
            <w:tcW w:type="dxa" w:w="7128"/>
          </w:tcPr>
          <w:p>
            <w:r>
              <w:rPr>
                <w:rFonts w:ascii="Aptos" w:hAnsi="Aptos"/>
                <w:sz w:val="16"/>
              </w:rPr>
              <w:t>Gap_to_Target</w:t>
            </w:r>
          </w:p>
        </w:tc>
        <w:tc>
          <w:tcPr>
            <w:tcW w:type="dxa" w:w="7128"/>
          </w:tcPr>
          <w:p>
            <w:r>
              <w:rPr>
                <w:rFonts w:ascii="Aptos" w:hAnsi="Aptos"/>
                <w:sz w:val="16"/>
              </w:rPr>
              <w:t>=[@[Forecast_Emission]]-[@[Target_Emission]]</w:t>
            </w:r>
          </w:p>
        </w:tc>
      </w:tr>
      <w:tr>
        <w:tc>
          <w:tcPr>
            <w:tcW w:type="dxa" w:w="7128"/>
          </w:tcPr>
          <w:p>
            <w:r>
              <w:rPr>
                <w:rFonts w:ascii="Aptos" w:hAnsi="Aptos"/>
                <w:sz w:val="16"/>
              </w:rPr>
              <w:t>YoY_Change</w:t>
            </w:r>
          </w:p>
        </w:tc>
        <w:tc>
          <w:tcPr>
            <w:tcW w:type="dxa" w:w="7128"/>
          </w:tcPr>
          <w:p>
            <w:r>
              <w:rPr>
                <w:rFonts w:ascii="Aptos" w:hAnsi="Aptos"/>
                <w:sz w:val="16"/>
              </w:rPr>
              <w:t>=IFERROR(([@[Forecast_Emission]]-SUMIFS(ForecastTable[Forecast_Emission],ForecastTable[Supplier_ID],[@[Supplier_ID]],ForecastTable[Forecast_Year],[@[Forecast_Year]]-1))/SUMIFS(ForecastTable[Forecast_Emission],ForecastTable[Supplier_ID],[@[Supplier_ID]],ForecastTable[Forecast_Year],[@[Forecast_Year]]-1),"")</w:t>
            </w:r>
          </w:p>
        </w:tc>
      </w:tr>
      <w:tr>
        <w:tc>
          <w:tcPr>
            <w:tcW w:type="dxa" w:w="7128"/>
          </w:tcPr>
          <w:p>
            <w:r>
              <w:rPr>
                <w:rFonts w:ascii="Aptos" w:hAnsi="Aptos"/>
                <w:sz w:val="16"/>
              </w:rPr>
              <w:t>CAGR</w:t>
            </w:r>
          </w:p>
        </w:tc>
        <w:tc>
          <w:tcPr>
            <w:tcW w:type="dxa" w:w="7128"/>
          </w:tcPr>
          <w:p>
            <w:r>
              <w:rPr>
                <w:rFonts w:ascii="Aptos" w:hAnsi="Aptos"/>
                <w:sz w:val="16"/>
              </w:rPr>
              <w:t>=IFERROR(([@[Forecast_Emission]]/[@[Baseline_Emission]])^(1/([@[Forecast_Year]]-[@[Baseline_Year]]))-1,"")</w:t>
            </w:r>
          </w:p>
        </w:tc>
      </w:tr>
      <w:tr>
        <w:tc>
          <w:tcPr>
            <w:tcW w:type="dxa" w:w="7128"/>
          </w:tcPr>
          <w:p>
            <w:r>
              <w:rPr>
                <w:rFonts w:ascii="Aptos" w:hAnsi="Aptos"/>
                <w:sz w:val="16"/>
              </w:rPr>
              <w:t>Carbon_Budget_Remaining</w:t>
            </w:r>
          </w:p>
        </w:tc>
        <w:tc>
          <w:tcPr>
            <w:tcW w:type="dxa" w:w="7128"/>
          </w:tcPr>
          <w:p>
            <w:r>
              <w:rPr>
                <w:rFonts w:ascii="Aptos" w:hAnsi="Aptos"/>
                <w:sz w:val="16"/>
              </w:rPr>
              <w:t>=[@[Target_Carbon_Budget]]-[@[Cumulative_Emissions]]</w:t>
            </w:r>
          </w:p>
        </w:tc>
      </w:tr>
      <w:tr>
        <w:tc>
          <w:tcPr>
            <w:tcW w:type="dxa" w:w="7128"/>
          </w:tcPr>
          <w:p>
            <w:r>
              <w:rPr>
                <w:rFonts w:ascii="Aptos" w:hAnsi="Aptos"/>
                <w:sz w:val="16"/>
              </w:rPr>
              <w:t>Cumulative_Emissions</w:t>
            </w:r>
          </w:p>
        </w:tc>
        <w:tc>
          <w:tcPr>
            <w:tcW w:type="dxa" w:w="7128"/>
          </w:tcPr>
          <w:p>
            <w:r>
              <w:rPr>
                <w:rFonts w:ascii="Aptos" w:hAnsi="Aptos"/>
                <w:sz w:val="16"/>
              </w:rPr>
              <w:t>=SUMIFS(ForecastTable[Forecast_Emission],ForecastTable[Supplier_ID],[@[Supplier_ID]],ForecastTable[Forecast_Year],"&lt;="&amp;[@[Forecast_Year]])</w:t>
            </w:r>
          </w:p>
        </w:tc>
      </w:tr>
      <w:tr>
        <w:tc>
          <w:tcPr>
            <w:tcW w:type="dxa" w:w="7128"/>
          </w:tcPr>
          <w:p>
            <w:r>
              <w:rPr>
                <w:rFonts w:ascii="Aptos" w:hAnsi="Aptos"/>
                <w:sz w:val="16"/>
              </w:rPr>
              <w:t>Target_Achievement_Status</w:t>
            </w:r>
          </w:p>
        </w:tc>
        <w:tc>
          <w:tcPr>
            <w:tcW w:type="dxa" w:w="7128"/>
          </w:tcPr>
          <w:p>
            <w:r>
              <w:rPr>
                <w:rFonts w:ascii="Aptos" w:hAnsi="Aptos"/>
                <w:sz w:val="16"/>
              </w:rPr>
              <w:t>=IF([@[Forecast_Emission]]&lt;=[@[Target_Emission]],"On Track","Off Track")</w:t>
            </w:r>
          </w:p>
        </w:tc>
      </w:tr>
      <w:tr>
        <w:tc>
          <w:tcPr>
            <w:tcW w:type="dxa" w:w="7128"/>
          </w:tcPr>
          <w:p>
            <w:r>
              <w:rPr>
                <w:rFonts w:ascii="Aptos" w:hAnsi="Aptos"/>
                <w:sz w:val="16"/>
              </w:rPr>
              <w:t>Supplier_Risk_Category</w:t>
            </w:r>
          </w:p>
        </w:tc>
        <w:tc>
          <w:tcPr>
            <w:tcW w:type="dxa" w:w="7128"/>
          </w:tcPr>
          <w:p>
            <w:r>
              <w:rPr>
                <w:rFonts w:ascii="Aptos" w:hAnsi="Aptos"/>
                <w:sz w:val="16"/>
              </w:rPr>
              <w:t>=IFS([@[Gap_to_Target]]&lt;=0,"Low",[@[Gap_to_Target]]/[@[Target_Emission]]&lt;=0.15,"Medium",[@[Gap_to_Target]]/[@[Target_Emission]]&lt;=0.35,"High",TRUE,"Critical")</w:t>
            </w:r>
          </w:p>
        </w:tc>
      </w:tr>
      <w:tr>
        <w:tc>
          <w:tcPr>
            <w:tcW w:type="dxa" w:w="7128"/>
          </w:tcPr>
          <w:p>
            <w:r>
              <w:rPr>
                <w:rFonts w:ascii="Aptos" w:hAnsi="Aptos"/>
                <w:sz w:val="16"/>
              </w:rPr>
              <w:t>MAPE</w:t>
            </w:r>
          </w:p>
        </w:tc>
        <w:tc>
          <w:tcPr>
            <w:tcW w:type="dxa" w:w="7128"/>
          </w:tcPr>
          <w:p>
            <w:r>
              <w:rPr>
                <w:rFonts w:ascii="Aptos" w:hAnsi="Aptos"/>
                <w:sz w:val="16"/>
              </w:rPr>
              <w:t>=AVERAGE(ABS((Actual_Range-Forecast_Range)/Actual_Range))</w:t>
            </w:r>
          </w:p>
        </w:tc>
      </w:tr>
      <w:tr>
        <w:tc>
          <w:tcPr>
            <w:tcW w:type="dxa" w:w="7128"/>
          </w:tcPr>
          <w:p>
            <w:r>
              <w:rPr>
                <w:rFonts w:ascii="Aptos" w:hAnsi="Aptos"/>
                <w:sz w:val="16"/>
              </w:rPr>
              <w:t>RMSE</w:t>
            </w:r>
          </w:p>
        </w:tc>
        <w:tc>
          <w:tcPr>
            <w:tcW w:type="dxa" w:w="7128"/>
          </w:tcPr>
          <w:p>
            <w:r>
              <w:rPr>
                <w:rFonts w:ascii="Aptos" w:hAnsi="Aptos"/>
                <w:sz w:val="16"/>
              </w:rPr>
              <w:t>=SQRT(AVERAGE((Actual_Range-Forecast_Range)^2))</w:t>
            </w:r>
          </w:p>
        </w:tc>
      </w:tr>
      <w:tr>
        <w:tc>
          <w:tcPr>
            <w:tcW w:type="dxa" w:w="7128"/>
          </w:tcPr>
          <w:p>
            <w:r>
              <w:rPr>
                <w:rFonts w:ascii="Aptos" w:hAnsi="Aptos"/>
                <w:sz w:val="16"/>
              </w:rPr>
              <w:t>R2</w:t>
            </w:r>
          </w:p>
        </w:tc>
        <w:tc>
          <w:tcPr>
            <w:tcW w:type="dxa" w:w="7128"/>
          </w:tcPr>
          <w:p>
            <w:r>
              <w:rPr>
                <w:rFonts w:ascii="Aptos" w:hAnsi="Aptos"/>
                <w:sz w:val="16"/>
              </w:rPr>
              <w:t>=1-(SUMXMY2(Actual_Range,Forecast_Range)/DEVSQ(Actual_Range))</w:t>
            </w:r>
          </w:p>
        </w:tc>
      </w:tr>
    </w:tbl>
    <w:p/>
    <w:p>
      <w:pPr>
        <w:pStyle w:val="Heading1"/>
      </w:pPr>
      <w:r>
        <w:t>9. Python Implementation</w:t>
      </w:r>
    </w:p>
    <w:p>
      <w:r>
        <w:t>The script is available at:</w:t>
      </w:r>
    </w:p>
    <w:p>
      <w:pPr>
        <w:pStyle w:val="NoSpacing"/>
      </w:pPr>
      <w:r>
        <w:rPr>
          <w:rFonts w:ascii="Courier New" w:hAnsi="Courier New"/>
          <w:sz w:val="17"/>
        </w:rPr>
        <w:t>src/supply_chain_emissions_forecast.py</w:t>
      </w:r>
    </w:p>
    <w:p>
      <w:r>
        <w:t>Run it with:</w:t>
      </w:r>
    </w:p>
    <w:p>
      <w:pPr>
        <w:pStyle w:val="NoSpacing"/>
      </w:pPr>
      <w:r>
        <w:rPr>
          <w:rFonts w:ascii="Courier New" w:hAnsi="Courier New"/>
          <w:sz w:val="17"/>
        </w:rPr>
        <w:t>pip install -r requirements.txt</w:t>
        <w:br/>
      </w:r>
      <w:r>
        <w:rPr>
          <w:rFonts w:ascii="Courier New" w:hAnsi="Courier New"/>
          <w:sz w:val="17"/>
        </w:rPr>
        <w:t>python src/supply_chain_emissions_forecast.py --output-dir data/output</w:t>
      </w:r>
    </w:p>
    <w:p>
      <w:r>
        <w:t>It performs the following steps:</w:t>
      </w:r>
    </w:p>
    <w:p>
      <w:pPr>
        <w:pStyle w:val="ListNumber"/>
      </w:pPr>
      <w:r>
        <w:t>Generates or reads supplier source datasets.</w:t>
      </w:r>
    </w:p>
    <w:p>
      <w:pPr>
        <w:pStyle w:val="ListNumber"/>
      </w:pPr>
      <w:r>
        <w:t>Validates complete historical/current emissions inputs.</w:t>
      </w:r>
    </w:p>
    <w:p>
      <w:pPr>
        <w:pStyle w:val="ListNumber"/>
      </w:pPr>
      <w:r>
        <w:t>Confirms Total_Emission_Value for each supplier-year record.</w:t>
      </w:r>
    </w:p>
    <w:p>
      <w:pPr>
        <w:pStyle w:val="ListNumber"/>
      </w:pPr>
      <w:r>
        <w:t>Calculates spend-based and revenue-based benchmark emissions.</w:t>
      </w:r>
    </w:p>
    <w:p>
      <w:pPr>
        <w:pStyle w:val="ListNumber"/>
      </w:pPr>
      <w:r>
        <w:t>Creates source, availability, missing parameter, validation, and quality flags.</w:t>
      </w:r>
    </w:p>
    <w:p>
      <w:pPr>
        <w:pStyle w:val="ListNumber"/>
      </w:pPr>
      <w:r>
        <w:t>Applies supplier target pathway.</w:t>
      </w:r>
    </w:p>
    <w:p>
      <w:pPr>
        <w:pStyle w:val="ListNumber"/>
      </w:pPr>
      <w:r>
        <w:t>Applies industry haircut pathway.</w:t>
      </w:r>
    </w:p>
    <w:p>
      <w:pPr>
        <w:pStyle w:val="ListNumber"/>
      </w:pPr>
      <w:r>
        <w:t>Applies historical trend pathway.</w:t>
      </w:r>
    </w:p>
    <w:p>
      <w:pPr>
        <w:pStyle w:val="ListNumber"/>
      </w:pPr>
      <w:r>
        <w:t>Calculates year-by-year glide paths.</w:t>
      </w:r>
    </w:p>
    <w:p>
      <w:pPr>
        <w:pStyle w:val="ListNumber"/>
      </w:pPr>
      <w:r>
        <w:t>Calculates gap-to-target, absolute reduction, intensity reduction, carbon budget remaining, cumulative emissions, confidence score, supplier risk category, and target status.</w:t>
      </w:r>
    </w:p>
    <w:p>
      <w:pPr>
        <w:pStyle w:val="ListNumber"/>
      </w:pPr>
      <w:r>
        <w:t>Exports all output datasets to CSV and a consolidated Excel workbook.</w:t>
      </w:r>
    </w:p>
    <w:p>
      <w:pPr>
        <w:pStyle w:val="Heading1"/>
      </w:pPr>
      <w:r>
        <w:t>10. Sample Data Design</w:t>
      </w:r>
    </w:p>
    <w:p>
      <w:r>
        <w:t>The Python script generates:</w:t>
      </w:r>
    </w:p>
    <w:p>
      <w:pPr>
        <w:pStyle w:val="ListBullet"/>
      </w:pPr>
      <w:r>
        <w:t>100 suppliers.</w:t>
      </w:r>
    </w:p>
    <w:p>
      <w:pPr>
        <w:pStyle w:val="ListBullet"/>
      </w:pPr>
      <w:r>
        <w:t>1,000 historical supplier-year records by default.</w:t>
      </w:r>
    </w:p>
    <w:p>
      <w:pPr>
        <w:pStyle w:val="ListBullet"/>
      </w:pPr>
      <w:r>
        <w:t>8 industries.</w:t>
      </w:r>
    </w:p>
    <w:p>
      <w:pPr>
        <w:pStyle w:val="ListBullet"/>
      </w:pPr>
      <w:r>
        <w:t>Multiple supplier years from 2015 to 2024.</w:t>
      </w:r>
    </w:p>
    <w:p>
      <w:pPr>
        <w:pStyle w:val="ListBullet"/>
      </w:pPr>
      <w:r>
        <w:t>Multiple baseline years and target years.</w:t>
      </w:r>
    </w:p>
    <w:p>
      <w:pPr>
        <w:pStyle w:val="ListBullet"/>
      </w:pPr>
      <w:r>
        <w:t>Gross spend and revenue.</w:t>
      </w:r>
    </w:p>
    <w:p>
      <w:pPr>
        <w:pStyle w:val="ListBullet"/>
      </w:pPr>
      <w:r>
        <w:t>Reported emissions and scope emissions.</w:t>
      </w:r>
    </w:p>
    <w:p>
      <w:pPr>
        <w:pStyle w:val="ListBullet"/>
      </w:pPr>
      <w:r>
        <w:t>Complete historical and current emissions for all suppliers.</w:t>
      </w:r>
    </w:p>
    <w:p>
      <w:pPr>
        <w:pStyle w:val="ListBullet"/>
      </w:pPr>
      <w:r>
        <w:t>Industry haircut table.</w:t>
      </w:r>
    </w:p>
    <w:p>
      <w:pPr>
        <w:pStyle w:val="ListBullet"/>
      </w:pPr>
      <w:r>
        <w:t>Supplier target table.</w:t>
      </w:r>
    </w:p>
    <w:p>
      <w:pPr>
        <w:pStyle w:val="ListBullet"/>
      </w:pPr>
      <w:r>
        <w:t>Historical emissions table.</w:t>
      </w:r>
    </w:p>
    <w:p>
      <w:r>
        <w:t>Generated output datasets:</w:t>
      </w:r>
    </w:p>
    <w:tbl>
      <w:tblPr>
        <w:tblStyle w:val="TableGrid"/>
        <w:tblW w:type="auto" w:w="0"/>
        <w:tblLayout w:type="autofit"/>
        <w:tblLook w:firstColumn="1" w:firstRow="1" w:lastColumn="0" w:lastRow="0" w:noHBand="0" w:noVBand="1" w:val="04A0"/>
      </w:tblPr>
      <w:tblGrid>
        <w:gridCol w:w="7128"/>
        <w:gridCol w:w="7128"/>
      </w:tblGrid>
      <w:tr>
        <w:tc>
          <w:tcPr>
            <w:tcW w:type="dxa" w:w="7128"/>
          </w:tcPr>
          <w:p>
            <w:r>
              <w:rPr>
                <w:rFonts w:ascii="Aptos" w:hAnsi="Aptos"/>
                <w:b/>
                <w:color w:val="152B4D"/>
                <w:sz w:val="16"/>
              </w:rPr>
              <w:t>Dataset</w:t>
            </w:r>
          </w:p>
        </w:tc>
        <w:tc>
          <w:tcPr>
            <w:tcW w:type="dxa" w:w="7128"/>
          </w:tcPr>
          <w:p>
            <w:r>
              <w:rPr>
                <w:rFonts w:ascii="Aptos" w:hAnsi="Aptos"/>
                <w:b/>
                <w:color w:val="152B4D"/>
                <w:sz w:val="16"/>
              </w:rPr>
              <w:t>File</w:t>
            </w:r>
          </w:p>
        </w:tc>
      </w:tr>
      <w:tr>
        <w:tc>
          <w:tcPr>
            <w:tcW w:type="dxa" w:w="7128"/>
          </w:tcPr>
          <w:p>
            <w:r>
              <w:rPr>
                <w:rFonts w:ascii="Aptos" w:hAnsi="Aptos"/>
                <w:sz w:val="16"/>
              </w:rPr>
              <w:t>Supplier Master</w:t>
            </w:r>
          </w:p>
        </w:tc>
        <w:tc>
          <w:tcPr>
            <w:tcW w:type="dxa" w:w="7128"/>
          </w:tcPr>
          <w:p>
            <w:r>
              <w:rPr>
                <w:rFonts w:ascii="Aptos" w:hAnsi="Aptos"/>
                <w:sz w:val="16"/>
              </w:rPr>
              <w:t>data/output/supplier_master.csv</w:t>
            </w:r>
          </w:p>
        </w:tc>
      </w:tr>
      <w:tr>
        <w:tc>
          <w:tcPr>
            <w:tcW w:type="dxa" w:w="7128"/>
          </w:tcPr>
          <w:p>
            <w:r>
              <w:rPr>
                <w:rFonts w:ascii="Aptos" w:hAnsi="Aptos"/>
                <w:sz w:val="16"/>
              </w:rPr>
              <w:t>Historical Emissions</w:t>
            </w:r>
          </w:p>
        </w:tc>
        <w:tc>
          <w:tcPr>
            <w:tcW w:type="dxa" w:w="7128"/>
          </w:tcPr>
          <w:p>
            <w:r>
              <w:rPr>
                <w:rFonts w:ascii="Aptos" w:hAnsi="Aptos"/>
                <w:sz w:val="16"/>
              </w:rPr>
              <w:t>data/output/historical_emissions.csv</w:t>
            </w:r>
          </w:p>
        </w:tc>
      </w:tr>
      <w:tr>
        <w:tc>
          <w:tcPr>
            <w:tcW w:type="dxa" w:w="7128"/>
          </w:tcPr>
          <w:p>
            <w:r>
              <w:rPr>
                <w:rFonts w:ascii="Aptos" w:hAnsi="Aptos"/>
                <w:sz w:val="16"/>
              </w:rPr>
              <w:t>Supplier Targets</w:t>
            </w:r>
          </w:p>
        </w:tc>
        <w:tc>
          <w:tcPr>
            <w:tcW w:type="dxa" w:w="7128"/>
          </w:tcPr>
          <w:p>
            <w:r>
              <w:rPr>
                <w:rFonts w:ascii="Aptos" w:hAnsi="Aptos"/>
                <w:sz w:val="16"/>
              </w:rPr>
              <w:t>data/output/supplier_targets.csv</w:t>
            </w:r>
          </w:p>
        </w:tc>
      </w:tr>
      <w:tr>
        <w:tc>
          <w:tcPr>
            <w:tcW w:type="dxa" w:w="7128"/>
          </w:tcPr>
          <w:p>
            <w:r>
              <w:rPr>
                <w:rFonts w:ascii="Aptos" w:hAnsi="Aptos"/>
                <w:sz w:val="16"/>
              </w:rPr>
              <w:t>Industry Haircut Pathway</w:t>
            </w:r>
          </w:p>
        </w:tc>
        <w:tc>
          <w:tcPr>
            <w:tcW w:type="dxa" w:w="7128"/>
          </w:tcPr>
          <w:p>
            <w:r>
              <w:rPr>
                <w:rFonts w:ascii="Aptos" w:hAnsi="Aptos"/>
                <w:sz w:val="16"/>
              </w:rPr>
              <w:t>data/output/industry_haircut_pathway.csv</w:t>
            </w:r>
          </w:p>
        </w:tc>
      </w:tr>
      <w:tr>
        <w:tc>
          <w:tcPr>
            <w:tcW w:type="dxa" w:w="7128"/>
          </w:tcPr>
          <w:p>
            <w:r>
              <w:rPr>
                <w:rFonts w:ascii="Aptos" w:hAnsi="Aptos"/>
                <w:sz w:val="16"/>
              </w:rPr>
              <w:t>Forecast Output</w:t>
            </w:r>
          </w:p>
        </w:tc>
        <w:tc>
          <w:tcPr>
            <w:tcW w:type="dxa" w:w="7128"/>
          </w:tcPr>
          <w:p>
            <w:r>
              <w:rPr>
                <w:rFonts w:ascii="Aptos" w:hAnsi="Aptos"/>
                <w:sz w:val="16"/>
              </w:rPr>
              <w:t>data/output/forecast_output.csv</w:t>
            </w:r>
          </w:p>
        </w:tc>
      </w:tr>
      <w:tr>
        <w:tc>
          <w:tcPr>
            <w:tcW w:type="dxa" w:w="7128"/>
          </w:tcPr>
          <w:p>
            <w:r>
              <w:rPr>
                <w:rFonts w:ascii="Aptos" w:hAnsi="Aptos"/>
                <w:sz w:val="16"/>
              </w:rPr>
              <w:t>Data Dictionary</w:t>
            </w:r>
          </w:p>
        </w:tc>
        <w:tc>
          <w:tcPr>
            <w:tcW w:type="dxa" w:w="7128"/>
          </w:tcPr>
          <w:p>
            <w:r>
              <w:rPr>
                <w:rFonts w:ascii="Aptos" w:hAnsi="Aptos"/>
                <w:sz w:val="16"/>
              </w:rPr>
              <w:t>data/output/data_dictionary.csv</w:t>
            </w:r>
          </w:p>
        </w:tc>
      </w:tr>
      <w:tr>
        <w:tc>
          <w:tcPr>
            <w:tcW w:type="dxa" w:w="7128"/>
          </w:tcPr>
          <w:p>
            <w:r>
              <w:rPr>
                <w:rFonts w:ascii="Aptos" w:hAnsi="Aptos"/>
                <w:sz w:val="16"/>
              </w:rPr>
              <w:t>Formula Dictionary</w:t>
            </w:r>
          </w:p>
        </w:tc>
        <w:tc>
          <w:tcPr>
            <w:tcW w:type="dxa" w:w="7128"/>
          </w:tcPr>
          <w:p>
            <w:r>
              <w:rPr>
                <w:rFonts w:ascii="Aptos" w:hAnsi="Aptos"/>
                <w:sz w:val="16"/>
              </w:rPr>
              <w:t>data/output/formula_dictionary.csv</w:t>
            </w:r>
          </w:p>
        </w:tc>
      </w:tr>
      <w:tr>
        <w:tc>
          <w:tcPr>
            <w:tcW w:type="dxa" w:w="7128"/>
          </w:tcPr>
          <w:p>
            <w:r>
              <w:rPr>
                <w:rFonts w:ascii="Aptos" w:hAnsi="Aptos"/>
                <w:sz w:val="16"/>
              </w:rPr>
              <w:t>Excel Workbook</w:t>
            </w:r>
          </w:p>
        </w:tc>
        <w:tc>
          <w:tcPr>
            <w:tcW w:type="dxa" w:w="7128"/>
          </w:tcPr>
          <w:p>
            <w:r>
              <w:rPr>
                <w:rFonts w:ascii="Aptos" w:hAnsi="Aptos"/>
                <w:sz w:val="16"/>
              </w:rPr>
              <w:t>data/output/supply_chain_emissions_forecast_model.xlsx</w:t>
            </w:r>
          </w:p>
        </w:tc>
      </w:tr>
    </w:tbl>
    <w:p/>
    <w:p>
      <w:pPr>
        <w:pStyle w:val="Heading1"/>
      </w:pPr>
      <w:r>
        <w:t>11. Final Output Dataset</w:t>
      </w:r>
    </w:p>
    <w:p>
      <w:r>
        <w:t>The final forecast output includes:</w:t>
      </w:r>
    </w:p>
    <w:p>
      <w:pPr>
        <w:pStyle w:val="ListBullet"/>
      </w:pPr>
      <w:r>
        <w:t>Supplier_ID</w:t>
      </w:r>
    </w:p>
    <w:p>
      <w:pPr>
        <w:pStyle w:val="ListBullet"/>
      </w:pPr>
      <w:r>
        <w:t>Supplier_Name</w:t>
      </w:r>
    </w:p>
    <w:p>
      <w:pPr>
        <w:pStyle w:val="ListBullet"/>
      </w:pPr>
      <w:r>
        <w:t>Supplier_Industry</w:t>
      </w:r>
    </w:p>
    <w:p>
      <w:pPr>
        <w:pStyle w:val="ListBullet"/>
      </w:pPr>
      <w:r>
        <w:t>Supplier_Year</w:t>
      </w:r>
    </w:p>
    <w:p>
      <w:pPr>
        <w:pStyle w:val="ListBullet"/>
      </w:pPr>
      <w:r>
        <w:t>Baseline_Year</w:t>
      </w:r>
    </w:p>
    <w:p>
      <w:pPr>
        <w:pStyle w:val="ListBullet"/>
      </w:pPr>
      <w:r>
        <w:t>Target_Year</w:t>
      </w:r>
    </w:p>
    <w:p>
      <w:pPr>
        <w:pStyle w:val="ListBullet"/>
      </w:pPr>
      <w:r>
        <w:t>Forecast_Year</w:t>
      </w:r>
    </w:p>
    <w:p>
      <w:pPr>
        <w:pStyle w:val="ListBullet"/>
      </w:pPr>
      <w:r>
        <w:t>Reported_Emissions</w:t>
      </w:r>
    </w:p>
    <w:p>
      <w:pPr>
        <w:pStyle w:val="ListBullet"/>
      </w:pPr>
      <w:r>
        <w:t>Scope1_Emission</w:t>
      </w:r>
    </w:p>
    <w:p>
      <w:pPr>
        <w:pStyle w:val="ListBullet"/>
      </w:pPr>
      <w:r>
        <w:t>Scope2_Emission</w:t>
      </w:r>
    </w:p>
    <w:p>
      <w:pPr>
        <w:pStyle w:val="ListBullet"/>
      </w:pPr>
      <w:r>
        <w:t>Scope3_Emission</w:t>
      </w:r>
    </w:p>
    <w:p>
      <w:pPr>
        <w:pStyle w:val="ListBullet"/>
      </w:pPr>
      <w:r>
        <w:t>Gross_Spend</w:t>
      </w:r>
    </w:p>
    <w:p>
      <w:pPr>
        <w:pStyle w:val="ListBullet"/>
      </w:pPr>
      <w:r>
        <w:t>Revenue</w:t>
      </w:r>
    </w:p>
    <w:p>
      <w:pPr>
        <w:pStyle w:val="ListBullet"/>
      </w:pPr>
      <w:r>
        <w:t>Total_Emission_Value</w:t>
      </w:r>
    </w:p>
    <w:p>
      <w:pPr>
        <w:pStyle w:val="ListBullet"/>
      </w:pPr>
      <w:r>
        <w:t>Emission_Source_Flag</w:t>
      </w:r>
    </w:p>
    <w:p>
      <w:pPr>
        <w:pStyle w:val="ListBullet"/>
      </w:pPr>
      <w:r>
        <w:t>Emissions_Data_Available_Flag</w:t>
      </w:r>
    </w:p>
    <w:p>
      <w:pPr>
        <w:pStyle w:val="ListBullet"/>
      </w:pPr>
      <w:r>
        <w:t>Historical_Trend</w:t>
      </w:r>
    </w:p>
    <w:p>
      <w:pPr>
        <w:pStyle w:val="ListBullet"/>
      </w:pPr>
      <w:r>
        <w:t>Supplier_Growth_Projection</w:t>
      </w:r>
    </w:p>
    <w:p>
      <w:pPr>
        <w:pStyle w:val="ListBullet"/>
      </w:pPr>
      <w:r>
        <w:t>Spend_Based_Emission</w:t>
      </w:r>
    </w:p>
    <w:p>
      <w:pPr>
        <w:pStyle w:val="ListBullet"/>
      </w:pPr>
      <w:r>
        <w:t>Revenue_Based_Emission</w:t>
      </w:r>
    </w:p>
    <w:p>
      <w:pPr>
        <w:pStyle w:val="ListBullet"/>
      </w:pPr>
      <w:r>
        <w:t>Spend_Based_vs_Actual</w:t>
      </w:r>
    </w:p>
    <w:p>
      <w:pPr>
        <w:pStyle w:val="ListBullet"/>
      </w:pPr>
      <w:r>
        <w:t>Revenue_Based_vs_Actual</w:t>
      </w:r>
    </w:p>
    <w:p>
      <w:pPr>
        <w:pStyle w:val="ListBullet"/>
      </w:pPr>
      <w:r>
        <w:t>Spend_Based_Variance_Percentage</w:t>
      </w:r>
    </w:p>
    <w:p>
      <w:pPr>
        <w:pStyle w:val="ListBullet"/>
      </w:pPr>
      <w:r>
        <w:t>Revenue_Based_Variance_Percentage</w:t>
      </w:r>
    </w:p>
    <w:p>
      <w:pPr>
        <w:pStyle w:val="ListBullet"/>
      </w:pPr>
      <w:r>
        <w:t>Data_Quality_Flag</w:t>
      </w:r>
    </w:p>
    <w:p>
      <w:pPr>
        <w:pStyle w:val="ListBullet"/>
      </w:pPr>
      <w:r>
        <w:t>Missing_Parameter_Flag</w:t>
      </w:r>
    </w:p>
    <w:p>
      <w:pPr>
        <w:pStyle w:val="ListBullet"/>
      </w:pPr>
      <w:r>
        <w:t>Validation_Flag</w:t>
      </w:r>
    </w:p>
    <w:p>
      <w:pPr>
        <w:pStyle w:val="ListBullet"/>
      </w:pPr>
      <w:r>
        <w:t>Forecast_Method_Flag</w:t>
      </w:r>
    </w:p>
    <w:p>
      <w:pPr>
        <w:pStyle w:val="ListBullet"/>
      </w:pPr>
      <w:r>
        <w:t>Baseline_Emission</w:t>
      </w:r>
    </w:p>
    <w:p>
      <w:pPr>
        <w:pStyle w:val="ListBullet"/>
      </w:pPr>
      <w:r>
        <w:t>Target_Emission</w:t>
      </w:r>
    </w:p>
    <w:p>
      <w:pPr>
        <w:pStyle w:val="ListBullet"/>
      </w:pPr>
      <w:r>
        <w:t>Forecast_Emission</w:t>
      </w:r>
    </w:p>
    <w:p>
      <w:pPr>
        <w:pStyle w:val="ListBullet"/>
      </w:pPr>
      <w:r>
        <w:t>Glide_Path_Emission</w:t>
      </w:r>
    </w:p>
    <w:p>
      <w:pPr>
        <w:pStyle w:val="ListBullet"/>
      </w:pPr>
      <w:r>
        <w:t>Absolute_Reduction</w:t>
      </w:r>
    </w:p>
    <w:p>
      <w:pPr>
        <w:pStyle w:val="ListBullet"/>
      </w:pPr>
      <w:r>
        <w:t>Emission_Intensity</w:t>
      </w:r>
    </w:p>
    <w:p>
      <w:pPr>
        <w:pStyle w:val="ListBullet"/>
      </w:pPr>
      <w:r>
        <w:t>Intensity_Reduction</w:t>
      </w:r>
    </w:p>
    <w:p>
      <w:pPr>
        <w:pStyle w:val="ListBullet"/>
      </w:pPr>
      <w:r>
        <w:t>Gap_to_Target</w:t>
      </w:r>
    </w:p>
    <w:p>
      <w:pPr>
        <w:pStyle w:val="ListBullet"/>
      </w:pPr>
      <w:r>
        <w:t>Annual_Reduction_Required</w:t>
      </w:r>
    </w:p>
    <w:p>
      <w:pPr>
        <w:pStyle w:val="ListBullet"/>
      </w:pPr>
      <w:r>
        <w:t>Carbon_Budget_Remaining</w:t>
      </w:r>
    </w:p>
    <w:p>
      <w:pPr>
        <w:pStyle w:val="ListBullet"/>
      </w:pPr>
      <w:r>
        <w:t>Cumulative_Emissions</w:t>
      </w:r>
    </w:p>
    <w:p>
      <w:pPr>
        <w:pStyle w:val="ListBullet"/>
      </w:pPr>
      <w:r>
        <w:t>Confidence_Score</w:t>
      </w:r>
    </w:p>
    <w:p>
      <w:pPr>
        <w:pStyle w:val="ListBullet"/>
      </w:pPr>
      <w:r>
        <w:t>Supplier_Risk_Category</w:t>
      </w:r>
    </w:p>
    <w:p>
      <w:pPr>
        <w:pStyle w:val="ListBullet"/>
      </w:pPr>
      <w:r>
        <w:t>Target_Achievement_Status</w:t>
      </w:r>
    </w:p>
    <w:p>
      <w:pPr>
        <w:pStyle w:val="Heading1"/>
      </w:pPr>
      <w:r>
        <w:t>12. Qlik Sense Dashboard Scope</w:t>
      </w:r>
    </w:p>
    <w:p>
      <w:pPr>
        <w:pStyle w:val="Heading2"/>
      </w:pPr>
      <w:r>
        <w:t>12.1 Landing Page</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KPI: Total Forecast Emissions</w:t>
            </w:r>
          </w:p>
        </w:tc>
        <w:tc>
          <w:tcPr>
            <w:tcW w:type="dxa" w:w="2376"/>
          </w:tcPr>
          <w:p>
            <w:r>
              <w:rPr>
                <w:rFonts w:ascii="Aptos" w:hAnsi="Aptos"/>
                <w:sz w:val="16"/>
              </w:rPr>
              <w:t>Forecast_Year</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Show total projected emissions</w:t>
            </w:r>
          </w:p>
        </w:tc>
        <w:tc>
          <w:tcPr>
            <w:tcW w:type="dxa" w:w="2376"/>
          </w:tcPr>
          <w:p>
            <w:r>
              <w:rPr>
                <w:rFonts w:ascii="Aptos" w:hAnsi="Aptos"/>
                <w:sz w:val="16"/>
              </w:rPr>
              <w:t>What is our forecast emissions exposure?</w:t>
            </w:r>
          </w:p>
        </w:tc>
      </w:tr>
      <w:tr>
        <w:tc>
          <w:tcPr>
            <w:tcW w:type="dxa" w:w="2376"/>
          </w:tcPr>
          <w:p>
            <w:r>
              <w:rPr>
                <w:rFonts w:ascii="Aptos" w:hAnsi="Aptos"/>
                <w:sz w:val="16"/>
              </w:rPr>
              <w:t>KPI: Suppliers Covered</w:t>
            </w:r>
          </w:p>
        </w:tc>
        <w:tc>
          <w:tcPr>
            <w:tcW w:type="dxa" w:w="2376"/>
          </w:tcPr>
          <w:p>
            <w:r>
              <w:rPr>
                <w:rFonts w:ascii="Aptos" w:hAnsi="Aptos"/>
                <w:sz w:val="16"/>
              </w:rPr>
              <w:t>Supplier_ID</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Show model coverage</w:t>
            </w:r>
          </w:p>
        </w:tc>
        <w:tc>
          <w:tcPr>
            <w:tcW w:type="dxa" w:w="2376"/>
          </w:tcPr>
          <w:p>
            <w:r>
              <w:rPr>
                <w:rFonts w:ascii="Aptos" w:hAnsi="Aptos"/>
                <w:sz w:val="16"/>
              </w:rPr>
              <w:t>How many suppliers are included?</w:t>
            </w:r>
          </w:p>
        </w:tc>
      </w:tr>
      <w:tr>
        <w:tc>
          <w:tcPr>
            <w:tcW w:type="dxa" w:w="2376"/>
          </w:tcPr>
          <w:p>
            <w:r>
              <w:rPr>
                <w:rFonts w:ascii="Aptos" w:hAnsi="Aptos"/>
                <w:sz w:val="16"/>
              </w:rPr>
              <w:t>KPI: Target Coverage</w:t>
            </w:r>
          </w:p>
        </w:tc>
        <w:tc>
          <w:tcPr>
            <w:tcW w:type="dxa" w:w="2376"/>
          </w:tcPr>
          <w:p>
            <w:r>
              <w:rPr>
                <w:rFonts w:ascii="Aptos" w:hAnsi="Aptos"/>
                <w:sz w:val="16"/>
              </w:rPr>
              <w:t>Forecast_Method_Flag</w:t>
            </w:r>
          </w:p>
        </w:tc>
        <w:tc>
          <w:tcPr>
            <w:tcW w:type="dxa" w:w="2376"/>
          </w:tcPr>
          <w:p>
            <w:r>
              <w:rPr>
                <w:rFonts w:ascii="Aptos" w:hAnsi="Aptos"/>
                <w:sz w:val="16"/>
              </w:rPr>
              <w:t>Supplier count</w:t>
            </w:r>
          </w:p>
        </w:tc>
        <w:tc>
          <w:tcPr>
            <w:tcW w:type="dxa" w:w="2376"/>
          </w:tcPr>
          <w:p>
            <w:r>
              <w:rPr>
                <w:rFonts w:ascii="Aptos" w:hAnsi="Aptos"/>
                <w:sz w:val="16"/>
              </w:rPr>
              <w:t>Count({&lt;Forecast_Method_Flag={'Supplier Target Pathway'}&gt;} DISTINCT Supplier_ID)</w:t>
            </w:r>
          </w:p>
        </w:tc>
        <w:tc>
          <w:tcPr>
            <w:tcW w:type="dxa" w:w="2376"/>
          </w:tcPr>
          <w:p>
            <w:r>
              <w:rPr>
                <w:rFonts w:ascii="Aptos" w:hAnsi="Aptos"/>
                <w:sz w:val="16"/>
              </w:rPr>
              <w:t>Show supplier target coverage</w:t>
            </w:r>
          </w:p>
        </w:tc>
        <w:tc>
          <w:tcPr>
            <w:tcW w:type="dxa" w:w="2376"/>
          </w:tcPr>
          <w:p>
            <w:r>
              <w:rPr>
                <w:rFonts w:ascii="Aptos" w:hAnsi="Aptos"/>
                <w:sz w:val="16"/>
              </w:rPr>
              <w:t>How many suppliers have their own targets?</w:t>
            </w:r>
          </w:p>
        </w:tc>
      </w:tr>
      <w:tr>
        <w:tc>
          <w:tcPr>
            <w:tcW w:type="dxa" w:w="2376"/>
          </w:tcPr>
          <w:p>
            <w:r>
              <w:rPr>
                <w:rFonts w:ascii="Aptos" w:hAnsi="Aptos"/>
                <w:sz w:val="16"/>
              </w:rPr>
              <w:t>Navigation Tiles</w:t>
            </w:r>
          </w:p>
        </w:tc>
        <w:tc>
          <w:tcPr>
            <w:tcW w:type="dxa" w:w="2376"/>
          </w:tcPr>
          <w:p>
            <w:r>
              <w:rPr>
                <w:rFonts w:ascii="Aptos" w:hAnsi="Aptos"/>
                <w:sz w:val="16"/>
              </w:rPr>
              <w:t>Page name</w:t>
            </w:r>
          </w:p>
        </w:tc>
        <w:tc>
          <w:tcPr>
            <w:tcW w:type="dxa" w:w="2376"/>
          </w:tcPr>
          <w:p>
            <w:r>
              <w:rPr>
                <w:rFonts w:ascii="Aptos" w:hAnsi="Aptos"/>
                <w:sz w:val="16"/>
              </w:rPr>
              <w:t>N/A</w:t>
            </w:r>
          </w:p>
        </w:tc>
        <w:tc>
          <w:tcPr>
            <w:tcW w:type="dxa" w:w="2376"/>
          </w:tcPr>
          <w:p>
            <w:r>
              <w:rPr>
                <w:rFonts w:ascii="Aptos" w:hAnsi="Aptos"/>
                <w:sz w:val="16"/>
              </w:rPr>
              <w:t>N/A</w:t>
            </w:r>
          </w:p>
        </w:tc>
        <w:tc>
          <w:tcPr>
            <w:tcW w:type="dxa" w:w="2376"/>
          </w:tcPr>
          <w:p>
            <w:r>
              <w:rPr>
                <w:rFonts w:ascii="Aptos" w:hAnsi="Aptos"/>
                <w:sz w:val="16"/>
              </w:rPr>
              <w:t>User navigation</w:t>
            </w:r>
          </w:p>
        </w:tc>
        <w:tc>
          <w:tcPr>
            <w:tcW w:type="dxa" w:w="2376"/>
          </w:tcPr>
          <w:p>
            <w:r>
              <w:rPr>
                <w:rFonts w:ascii="Aptos" w:hAnsi="Aptos"/>
                <w:sz w:val="16"/>
              </w:rPr>
              <w:t>Where should users go for each analysis?</w:t>
            </w:r>
          </w:p>
        </w:tc>
      </w:tr>
    </w:tbl>
    <w:p/>
    <w:p>
      <w:pPr>
        <w:pStyle w:val="Heading2"/>
      </w:pPr>
      <w:r>
        <w:t>12.2 Executive Summary</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Emissions by Forecast Year</w:t>
            </w:r>
          </w:p>
        </w:tc>
        <w:tc>
          <w:tcPr>
            <w:tcW w:type="dxa" w:w="2376"/>
          </w:tcPr>
          <w:p>
            <w:r>
              <w:rPr>
                <w:rFonts w:ascii="Aptos" w:hAnsi="Aptos"/>
                <w:sz w:val="16"/>
              </w:rPr>
              <w:t>Forecast_Year</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Executive trend line</w:t>
            </w:r>
          </w:p>
        </w:tc>
        <w:tc>
          <w:tcPr>
            <w:tcW w:type="dxa" w:w="2376"/>
          </w:tcPr>
          <w:p>
            <w:r>
              <w:rPr>
                <w:rFonts w:ascii="Aptos" w:hAnsi="Aptos"/>
                <w:sz w:val="16"/>
              </w:rPr>
              <w:t>Are emissions increasing or decreasing?</w:t>
            </w:r>
          </w:p>
        </w:tc>
      </w:tr>
      <w:tr>
        <w:tc>
          <w:tcPr>
            <w:tcW w:type="dxa" w:w="2376"/>
          </w:tcPr>
          <w:p>
            <w:r>
              <w:rPr>
                <w:rFonts w:ascii="Aptos" w:hAnsi="Aptos"/>
                <w:sz w:val="16"/>
              </w:rPr>
              <w:t>Gap to Target KPI</w:t>
            </w:r>
          </w:p>
        </w:tc>
        <w:tc>
          <w:tcPr>
            <w:tcW w:type="dxa" w:w="2376"/>
          </w:tcPr>
          <w:p>
            <w:r>
              <w:rPr>
                <w:rFonts w:ascii="Aptos" w:hAnsi="Aptos"/>
                <w:sz w:val="16"/>
              </w:rPr>
              <w:t>Forecast_Year</w:t>
            </w:r>
          </w:p>
        </w:tc>
        <w:tc>
          <w:tcPr>
            <w:tcW w:type="dxa" w:w="2376"/>
          </w:tcPr>
          <w:p>
            <w:r>
              <w:rPr>
                <w:rFonts w:ascii="Aptos" w:hAnsi="Aptos"/>
                <w:sz w:val="16"/>
              </w:rPr>
              <w:t>Gap to target</w:t>
            </w:r>
          </w:p>
        </w:tc>
        <w:tc>
          <w:tcPr>
            <w:tcW w:type="dxa" w:w="2376"/>
          </w:tcPr>
          <w:p>
            <w:r>
              <w:rPr>
                <w:rFonts w:ascii="Aptos" w:hAnsi="Aptos"/>
                <w:sz w:val="16"/>
              </w:rPr>
              <w:t>Sum(Gap_to_Target)</w:t>
            </w:r>
          </w:p>
        </w:tc>
        <w:tc>
          <w:tcPr>
            <w:tcW w:type="dxa" w:w="2376"/>
          </w:tcPr>
          <w:p>
            <w:r>
              <w:rPr>
                <w:rFonts w:ascii="Aptos" w:hAnsi="Aptos"/>
                <w:sz w:val="16"/>
              </w:rPr>
              <w:t>Target performance</w:t>
            </w:r>
          </w:p>
        </w:tc>
        <w:tc>
          <w:tcPr>
            <w:tcW w:type="dxa" w:w="2376"/>
          </w:tcPr>
          <w:p>
            <w:r>
              <w:rPr>
                <w:rFonts w:ascii="Aptos" w:hAnsi="Aptos"/>
                <w:sz w:val="16"/>
              </w:rPr>
              <w:t>Are we above or below target?</w:t>
            </w:r>
          </w:p>
        </w:tc>
      </w:tr>
      <w:tr>
        <w:tc>
          <w:tcPr>
            <w:tcW w:type="dxa" w:w="2376"/>
          </w:tcPr>
          <w:p>
            <w:r>
              <w:rPr>
                <w:rFonts w:ascii="Aptos" w:hAnsi="Aptos"/>
                <w:sz w:val="16"/>
              </w:rPr>
              <w:t>Risk Category Split</w:t>
            </w:r>
          </w:p>
        </w:tc>
        <w:tc>
          <w:tcPr>
            <w:tcW w:type="dxa" w:w="2376"/>
          </w:tcPr>
          <w:p>
            <w:r>
              <w:rPr>
                <w:rFonts w:ascii="Aptos" w:hAnsi="Aptos"/>
                <w:sz w:val="16"/>
              </w:rPr>
              <w:t>Supplier_Risk_Category</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Risk overview</w:t>
            </w:r>
          </w:p>
        </w:tc>
        <w:tc>
          <w:tcPr>
            <w:tcW w:type="dxa" w:w="2376"/>
          </w:tcPr>
          <w:p>
            <w:r>
              <w:rPr>
                <w:rFonts w:ascii="Aptos" w:hAnsi="Aptos"/>
                <w:sz w:val="16"/>
              </w:rPr>
              <w:t>How many suppliers are high risk?</w:t>
            </w:r>
          </w:p>
        </w:tc>
      </w:tr>
      <w:tr>
        <w:tc>
          <w:tcPr>
            <w:tcW w:type="dxa" w:w="2376"/>
          </w:tcPr>
          <w:p>
            <w:r>
              <w:rPr>
                <w:rFonts w:ascii="Aptos" w:hAnsi="Aptos"/>
                <w:sz w:val="16"/>
              </w:rPr>
              <w:t>Carbon Budget Remaining</w:t>
            </w:r>
          </w:p>
        </w:tc>
        <w:tc>
          <w:tcPr>
            <w:tcW w:type="dxa" w:w="2376"/>
          </w:tcPr>
          <w:p>
            <w:r>
              <w:rPr>
                <w:rFonts w:ascii="Aptos" w:hAnsi="Aptos"/>
                <w:sz w:val="16"/>
              </w:rPr>
              <w:t>Forecast_Year</w:t>
            </w:r>
          </w:p>
        </w:tc>
        <w:tc>
          <w:tcPr>
            <w:tcW w:type="dxa" w:w="2376"/>
          </w:tcPr>
          <w:p>
            <w:r>
              <w:rPr>
                <w:rFonts w:ascii="Aptos" w:hAnsi="Aptos"/>
                <w:sz w:val="16"/>
              </w:rPr>
              <w:t>Budget remaining</w:t>
            </w:r>
          </w:p>
        </w:tc>
        <w:tc>
          <w:tcPr>
            <w:tcW w:type="dxa" w:w="2376"/>
          </w:tcPr>
          <w:p>
            <w:r>
              <w:rPr>
                <w:rFonts w:ascii="Aptos" w:hAnsi="Aptos"/>
                <w:sz w:val="16"/>
              </w:rPr>
              <w:t>Sum(Carbon_Budget_Remaining)</w:t>
            </w:r>
          </w:p>
        </w:tc>
        <w:tc>
          <w:tcPr>
            <w:tcW w:type="dxa" w:w="2376"/>
          </w:tcPr>
          <w:p>
            <w:r>
              <w:rPr>
                <w:rFonts w:ascii="Aptos" w:hAnsi="Aptos"/>
                <w:sz w:val="16"/>
              </w:rPr>
              <w:t>Budget governance</w:t>
            </w:r>
          </w:p>
        </w:tc>
        <w:tc>
          <w:tcPr>
            <w:tcW w:type="dxa" w:w="2376"/>
          </w:tcPr>
          <w:p>
            <w:r>
              <w:rPr>
                <w:rFonts w:ascii="Aptos" w:hAnsi="Aptos"/>
                <w:sz w:val="16"/>
              </w:rPr>
              <w:t>How much carbon budget remains?</w:t>
            </w:r>
          </w:p>
        </w:tc>
      </w:tr>
    </w:tbl>
    <w:p/>
    <w:p>
      <w:pPr>
        <w:pStyle w:val="Heading2"/>
      </w:pPr>
      <w:r>
        <w:t>12.3 Supplier Emissions Trend</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Supplier Forecast Trend</w:t>
            </w:r>
          </w:p>
        </w:tc>
        <w:tc>
          <w:tcPr>
            <w:tcW w:type="dxa" w:w="2376"/>
          </w:tcPr>
          <w:p>
            <w:r>
              <w:rPr>
                <w:rFonts w:ascii="Aptos" w:hAnsi="Aptos"/>
                <w:sz w:val="16"/>
              </w:rPr>
              <w:t>Forecast_Year, Supplier_Name</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Supplier-level trajectory</w:t>
            </w:r>
          </w:p>
        </w:tc>
        <w:tc>
          <w:tcPr>
            <w:tcW w:type="dxa" w:w="2376"/>
          </w:tcPr>
          <w:p>
            <w:r>
              <w:rPr>
                <w:rFonts w:ascii="Aptos" w:hAnsi="Aptos"/>
                <w:sz w:val="16"/>
              </w:rPr>
              <w:t>Which suppliers drive future emissions?</w:t>
            </w:r>
          </w:p>
        </w:tc>
      </w:tr>
      <w:tr>
        <w:tc>
          <w:tcPr>
            <w:tcW w:type="dxa" w:w="2376"/>
          </w:tcPr>
          <w:p>
            <w:r>
              <w:rPr>
                <w:rFonts w:ascii="Aptos" w:hAnsi="Aptos"/>
                <w:sz w:val="16"/>
              </w:rPr>
              <w:t>Historical vs Forecast</w:t>
            </w:r>
          </w:p>
        </w:tc>
        <w:tc>
          <w:tcPr>
            <w:tcW w:type="dxa" w:w="2376"/>
          </w:tcPr>
          <w:p>
            <w:r>
              <w:rPr>
                <w:rFonts w:ascii="Aptos" w:hAnsi="Aptos"/>
                <w:sz w:val="16"/>
              </w:rPr>
              <w:t>Supplier_Year / Forecast_Year</w:t>
            </w:r>
          </w:p>
        </w:tc>
        <w:tc>
          <w:tcPr>
            <w:tcW w:type="dxa" w:w="2376"/>
          </w:tcPr>
          <w:p>
            <w:r>
              <w:rPr>
                <w:rFonts w:ascii="Aptos" w:hAnsi="Aptos"/>
                <w:sz w:val="16"/>
              </w:rPr>
              <w:t>Emissions</w:t>
            </w:r>
          </w:p>
        </w:tc>
        <w:tc>
          <w:tcPr>
            <w:tcW w:type="dxa" w:w="2376"/>
          </w:tcPr>
          <w:p>
            <w:r>
              <w:rPr>
                <w:rFonts w:ascii="Aptos" w:hAnsi="Aptos"/>
                <w:sz w:val="16"/>
              </w:rPr>
              <w:t>Sum(Total_Emission_Value) and Sum(Forecast_Emission)</w:t>
            </w:r>
          </w:p>
        </w:tc>
        <w:tc>
          <w:tcPr>
            <w:tcW w:type="dxa" w:w="2376"/>
          </w:tcPr>
          <w:p>
            <w:r>
              <w:rPr>
                <w:rFonts w:ascii="Aptos" w:hAnsi="Aptos"/>
                <w:sz w:val="16"/>
              </w:rPr>
              <w:t>Compare past and future</w:t>
            </w:r>
          </w:p>
        </w:tc>
        <w:tc>
          <w:tcPr>
            <w:tcW w:type="dxa" w:w="2376"/>
          </w:tcPr>
          <w:p>
            <w:r>
              <w:rPr>
                <w:rFonts w:ascii="Aptos" w:hAnsi="Aptos"/>
                <w:sz w:val="16"/>
              </w:rPr>
              <w:t>Is forecast consistent with history?</w:t>
            </w:r>
          </w:p>
        </w:tc>
      </w:tr>
      <w:tr>
        <w:tc>
          <w:tcPr>
            <w:tcW w:type="dxa" w:w="2376"/>
          </w:tcPr>
          <w:p>
            <w:r>
              <w:rPr>
                <w:rFonts w:ascii="Aptos" w:hAnsi="Aptos"/>
                <w:sz w:val="16"/>
              </w:rPr>
              <w:t>Top 20 Suppliers</w:t>
            </w:r>
          </w:p>
        </w:tc>
        <w:tc>
          <w:tcPr>
            <w:tcW w:type="dxa" w:w="2376"/>
          </w:tcPr>
          <w:p>
            <w:r>
              <w:rPr>
                <w:rFonts w:ascii="Aptos" w:hAnsi="Aptos"/>
                <w:sz w:val="16"/>
              </w:rPr>
              <w:t>Supplier_Name</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Prioritize suppliers</w:t>
            </w:r>
          </w:p>
        </w:tc>
        <w:tc>
          <w:tcPr>
            <w:tcW w:type="dxa" w:w="2376"/>
          </w:tcPr>
          <w:p>
            <w:r>
              <w:rPr>
                <w:rFonts w:ascii="Aptos" w:hAnsi="Aptos"/>
                <w:sz w:val="16"/>
              </w:rPr>
              <w:t>Which suppliers require engagement?</w:t>
            </w:r>
          </w:p>
        </w:tc>
      </w:tr>
    </w:tbl>
    <w:p/>
    <w:p>
      <w:pPr>
        <w:pStyle w:val="Heading2"/>
      </w:pPr>
      <w:r>
        <w:t>12.4 Industry Benchmark</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Emissions by Industry</w:t>
            </w:r>
          </w:p>
        </w:tc>
        <w:tc>
          <w:tcPr>
            <w:tcW w:type="dxa" w:w="2376"/>
          </w:tcPr>
          <w:p>
            <w:r>
              <w:rPr>
                <w:rFonts w:ascii="Aptos" w:hAnsi="Aptos"/>
                <w:sz w:val="16"/>
              </w:rPr>
              <w:t>Supplier_Industry</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Sector concentration</w:t>
            </w:r>
          </w:p>
        </w:tc>
        <w:tc>
          <w:tcPr>
            <w:tcW w:type="dxa" w:w="2376"/>
          </w:tcPr>
          <w:p>
            <w:r>
              <w:rPr>
                <w:rFonts w:ascii="Aptos" w:hAnsi="Aptos"/>
                <w:sz w:val="16"/>
              </w:rPr>
              <w:t>Which industries dominate emissions?</w:t>
            </w:r>
          </w:p>
        </w:tc>
      </w:tr>
      <w:tr>
        <w:tc>
          <w:tcPr>
            <w:tcW w:type="dxa" w:w="2376"/>
          </w:tcPr>
          <w:p>
            <w:r>
              <w:rPr>
                <w:rFonts w:ascii="Aptos" w:hAnsi="Aptos"/>
                <w:sz w:val="16"/>
              </w:rPr>
              <w:t>Average Intensity by Industry</w:t>
            </w:r>
          </w:p>
        </w:tc>
        <w:tc>
          <w:tcPr>
            <w:tcW w:type="dxa" w:w="2376"/>
          </w:tcPr>
          <w:p>
            <w:r>
              <w:rPr>
                <w:rFonts w:ascii="Aptos" w:hAnsi="Aptos"/>
                <w:sz w:val="16"/>
              </w:rPr>
              <w:t>Supplier_Industry</w:t>
            </w:r>
          </w:p>
        </w:tc>
        <w:tc>
          <w:tcPr>
            <w:tcW w:type="dxa" w:w="2376"/>
          </w:tcPr>
          <w:p>
            <w:r>
              <w:rPr>
                <w:rFonts w:ascii="Aptos" w:hAnsi="Aptos"/>
                <w:sz w:val="16"/>
              </w:rPr>
              <w:t>Emission intensity</w:t>
            </w:r>
          </w:p>
        </w:tc>
        <w:tc>
          <w:tcPr>
            <w:tcW w:type="dxa" w:w="2376"/>
          </w:tcPr>
          <w:p>
            <w:r>
              <w:rPr>
                <w:rFonts w:ascii="Aptos" w:hAnsi="Aptos"/>
                <w:sz w:val="16"/>
              </w:rPr>
              <w:t>Avg(Emission_Intensity)</w:t>
            </w:r>
          </w:p>
        </w:tc>
        <w:tc>
          <w:tcPr>
            <w:tcW w:type="dxa" w:w="2376"/>
          </w:tcPr>
          <w:p>
            <w:r>
              <w:rPr>
                <w:rFonts w:ascii="Aptos" w:hAnsi="Aptos"/>
                <w:sz w:val="16"/>
              </w:rPr>
              <w:t>Benchmark intensity</w:t>
            </w:r>
          </w:p>
        </w:tc>
        <w:tc>
          <w:tcPr>
            <w:tcW w:type="dxa" w:w="2376"/>
          </w:tcPr>
          <w:p>
            <w:r>
              <w:rPr>
                <w:rFonts w:ascii="Aptos" w:hAnsi="Aptos"/>
                <w:sz w:val="16"/>
              </w:rPr>
              <w:t>Which industries are most emissions intensive?</w:t>
            </w:r>
          </w:p>
        </w:tc>
      </w:tr>
      <w:tr>
        <w:tc>
          <w:tcPr>
            <w:tcW w:type="dxa" w:w="2376"/>
          </w:tcPr>
          <w:p>
            <w:r>
              <w:rPr>
                <w:rFonts w:ascii="Aptos" w:hAnsi="Aptos"/>
                <w:sz w:val="16"/>
              </w:rPr>
              <w:t>Industry Pathway Coverage</w:t>
            </w:r>
          </w:p>
        </w:tc>
        <w:tc>
          <w:tcPr>
            <w:tcW w:type="dxa" w:w="2376"/>
          </w:tcPr>
          <w:p>
            <w:r>
              <w:rPr>
                <w:rFonts w:ascii="Aptos" w:hAnsi="Aptos"/>
                <w:sz w:val="16"/>
              </w:rPr>
              <w:t>Supplier_Industry, Forecast_Method_Flag</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Method coverage by sector</w:t>
            </w:r>
          </w:p>
        </w:tc>
        <w:tc>
          <w:tcPr>
            <w:tcW w:type="dxa" w:w="2376"/>
          </w:tcPr>
          <w:p>
            <w:r>
              <w:rPr>
                <w:rFonts w:ascii="Aptos" w:hAnsi="Aptos"/>
                <w:sz w:val="16"/>
              </w:rPr>
              <w:t>Where are industry assumptions used most?</w:t>
            </w:r>
          </w:p>
        </w:tc>
      </w:tr>
      <w:tr>
        <w:tc>
          <w:tcPr>
            <w:tcW w:type="dxa" w:w="2376"/>
          </w:tcPr>
          <w:p>
            <w:r>
              <w:rPr>
                <w:rFonts w:ascii="Aptos" w:hAnsi="Aptos"/>
                <w:sz w:val="16"/>
              </w:rPr>
              <w:t>Spend Proxy Variance</w:t>
            </w:r>
          </w:p>
        </w:tc>
        <w:tc>
          <w:tcPr>
            <w:tcW w:type="dxa" w:w="2376"/>
          </w:tcPr>
          <w:p>
            <w:r>
              <w:rPr>
                <w:rFonts w:ascii="Aptos" w:hAnsi="Aptos"/>
                <w:sz w:val="16"/>
              </w:rPr>
              <w:t>Supplier_Industry</w:t>
            </w:r>
          </w:p>
        </w:tc>
        <w:tc>
          <w:tcPr>
            <w:tcW w:type="dxa" w:w="2376"/>
          </w:tcPr>
          <w:p>
            <w:r>
              <w:rPr>
                <w:rFonts w:ascii="Aptos" w:hAnsi="Aptos"/>
                <w:sz w:val="16"/>
              </w:rPr>
              <w:t>Spend variance %</w:t>
            </w:r>
          </w:p>
        </w:tc>
        <w:tc>
          <w:tcPr>
            <w:tcW w:type="dxa" w:w="2376"/>
          </w:tcPr>
          <w:p>
            <w:r>
              <w:rPr>
                <w:rFonts w:ascii="Aptos" w:hAnsi="Aptos"/>
                <w:sz w:val="16"/>
              </w:rPr>
              <w:t>Avg(Spend_Based_Variance_Percentage)</w:t>
            </w:r>
          </w:p>
        </w:tc>
        <w:tc>
          <w:tcPr>
            <w:tcW w:type="dxa" w:w="2376"/>
          </w:tcPr>
          <w:p>
            <w:r>
              <w:rPr>
                <w:rFonts w:ascii="Aptos" w:hAnsi="Aptos"/>
                <w:sz w:val="16"/>
              </w:rPr>
              <w:t>Compare spend proxy to actual emissions</w:t>
            </w:r>
          </w:p>
        </w:tc>
        <w:tc>
          <w:tcPr>
            <w:tcW w:type="dxa" w:w="2376"/>
          </w:tcPr>
          <w:p>
            <w:r>
              <w:rPr>
                <w:rFonts w:ascii="Aptos" w:hAnsi="Aptos"/>
                <w:sz w:val="16"/>
              </w:rPr>
              <w:t>Which industries diverge from spend-based estimates?</w:t>
            </w:r>
          </w:p>
        </w:tc>
      </w:tr>
      <w:tr>
        <w:tc>
          <w:tcPr>
            <w:tcW w:type="dxa" w:w="2376"/>
          </w:tcPr>
          <w:p>
            <w:r>
              <w:rPr>
                <w:rFonts w:ascii="Aptos" w:hAnsi="Aptos"/>
                <w:sz w:val="16"/>
              </w:rPr>
              <w:t>Revenue Proxy Variance</w:t>
            </w:r>
          </w:p>
        </w:tc>
        <w:tc>
          <w:tcPr>
            <w:tcW w:type="dxa" w:w="2376"/>
          </w:tcPr>
          <w:p>
            <w:r>
              <w:rPr>
                <w:rFonts w:ascii="Aptos" w:hAnsi="Aptos"/>
                <w:sz w:val="16"/>
              </w:rPr>
              <w:t>Supplier_Industry</w:t>
            </w:r>
          </w:p>
        </w:tc>
        <w:tc>
          <w:tcPr>
            <w:tcW w:type="dxa" w:w="2376"/>
          </w:tcPr>
          <w:p>
            <w:r>
              <w:rPr>
                <w:rFonts w:ascii="Aptos" w:hAnsi="Aptos"/>
                <w:sz w:val="16"/>
              </w:rPr>
              <w:t>Revenue variance %</w:t>
            </w:r>
          </w:p>
        </w:tc>
        <w:tc>
          <w:tcPr>
            <w:tcW w:type="dxa" w:w="2376"/>
          </w:tcPr>
          <w:p>
            <w:r>
              <w:rPr>
                <w:rFonts w:ascii="Aptos" w:hAnsi="Aptos"/>
                <w:sz w:val="16"/>
              </w:rPr>
              <w:t>Avg(Revenue_Based_Variance_Percentage)</w:t>
            </w:r>
          </w:p>
        </w:tc>
        <w:tc>
          <w:tcPr>
            <w:tcW w:type="dxa" w:w="2376"/>
          </w:tcPr>
          <w:p>
            <w:r>
              <w:rPr>
                <w:rFonts w:ascii="Aptos" w:hAnsi="Aptos"/>
                <w:sz w:val="16"/>
              </w:rPr>
              <w:t>Compare revenue proxy to actual emissions</w:t>
            </w:r>
          </w:p>
        </w:tc>
        <w:tc>
          <w:tcPr>
            <w:tcW w:type="dxa" w:w="2376"/>
          </w:tcPr>
          <w:p>
            <w:r>
              <w:rPr>
                <w:rFonts w:ascii="Aptos" w:hAnsi="Aptos"/>
                <w:sz w:val="16"/>
              </w:rPr>
              <w:t>Which industries diverge from revenue-based estimates?</w:t>
            </w:r>
          </w:p>
        </w:tc>
      </w:tr>
    </w:tbl>
    <w:p/>
    <w:p>
      <w:pPr>
        <w:pStyle w:val="Heading2"/>
      </w:pPr>
      <w:r>
        <w:t>12.5 Gap-to-Target Analysis</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Gap by Supplier</w:t>
            </w:r>
          </w:p>
        </w:tc>
        <w:tc>
          <w:tcPr>
            <w:tcW w:type="dxa" w:w="2376"/>
          </w:tcPr>
          <w:p>
            <w:r>
              <w:rPr>
                <w:rFonts w:ascii="Aptos" w:hAnsi="Aptos"/>
                <w:sz w:val="16"/>
              </w:rPr>
              <w:t>Supplier_Name</w:t>
            </w:r>
          </w:p>
        </w:tc>
        <w:tc>
          <w:tcPr>
            <w:tcW w:type="dxa" w:w="2376"/>
          </w:tcPr>
          <w:p>
            <w:r>
              <w:rPr>
                <w:rFonts w:ascii="Aptos" w:hAnsi="Aptos"/>
                <w:sz w:val="16"/>
              </w:rPr>
              <w:t>Gap to target</w:t>
            </w:r>
          </w:p>
        </w:tc>
        <w:tc>
          <w:tcPr>
            <w:tcW w:type="dxa" w:w="2376"/>
          </w:tcPr>
          <w:p>
            <w:r>
              <w:rPr>
                <w:rFonts w:ascii="Aptos" w:hAnsi="Aptos"/>
                <w:sz w:val="16"/>
              </w:rPr>
              <w:t>Sum(Gap_to_Target)</w:t>
            </w:r>
          </w:p>
        </w:tc>
        <w:tc>
          <w:tcPr>
            <w:tcW w:type="dxa" w:w="2376"/>
          </w:tcPr>
          <w:p>
            <w:r>
              <w:rPr>
                <w:rFonts w:ascii="Aptos" w:hAnsi="Aptos"/>
                <w:sz w:val="16"/>
              </w:rPr>
              <w:t>Supplier target gap ranking</w:t>
            </w:r>
          </w:p>
        </w:tc>
        <w:tc>
          <w:tcPr>
            <w:tcW w:type="dxa" w:w="2376"/>
          </w:tcPr>
          <w:p>
            <w:r>
              <w:rPr>
                <w:rFonts w:ascii="Aptos" w:hAnsi="Aptos"/>
                <w:sz w:val="16"/>
              </w:rPr>
              <w:t>Which suppliers are furthest off target?</w:t>
            </w:r>
          </w:p>
        </w:tc>
      </w:tr>
      <w:tr>
        <w:tc>
          <w:tcPr>
            <w:tcW w:type="dxa" w:w="2376"/>
          </w:tcPr>
          <w:p>
            <w:r>
              <w:rPr>
                <w:rFonts w:ascii="Aptos" w:hAnsi="Aptos"/>
                <w:sz w:val="16"/>
              </w:rPr>
              <w:t>Gap by Year</w:t>
            </w:r>
          </w:p>
        </w:tc>
        <w:tc>
          <w:tcPr>
            <w:tcW w:type="dxa" w:w="2376"/>
          </w:tcPr>
          <w:p>
            <w:r>
              <w:rPr>
                <w:rFonts w:ascii="Aptos" w:hAnsi="Aptos"/>
                <w:sz w:val="16"/>
              </w:rPr>
              <w:t>Forecast_Year</w:t>
            </w:r>
          </w:p>
        </w:tc>
        <w:tc>
          <w:tcPr>
            <w:tcW w:type="dxa" w:w="2376"/>
          </w:tcPr>
          <w:p>
            <w:r>
              <w:rPr>
                <w:rFonts w:ascii="Aptos" w:hAnsi="Aptos"/>
                <w:sz w:val="16"/>
              </w:rPr>
              <w:t>Gap to target</w:t>
            </w:r>
          </w:p>
        </w:tc>
        <w:tc>
          <w:tcPr>
            <w:tcW w:type="dxa" w:w="2376"/>
          </w:tcPr>
          <w:p>
            <w:r>
              <w:rPr>
                <w:rFonts w:ascii="Aptos" w:hAnsi="Aptos"/>
                <w:sz w:val="16"/>
              </w:rPr>
              <w:t>Sum(Gap_to_Target)</w:t>
            </w:r>
          </w:p>
        </w:tc>
        <w:tc>
          <w:tcPr>
            <w:tcW w:type="dxa" w:w="2376"/>
          </w:tcPr>
          <w:p>
            <w:r>
              <w:rPr>
                <w:rFonts w:ascii="Aptos" w:hAnsi="Aptos"/>
                <w:sz w:val="16"/>
              </w:rPr>
              <w:t>Time-based gap tracking</w:t>
            </w:r>
          </w:p>
        </w:tc>
        <w:tc>
          <w:tcPr>
            <w:tcW w:type="dxa" w:w="2376"/>
          </w:tcPr>
          <w:p>
            <w:r>
              <w:rPr>
                <w:rFonts w:ascii="Aptos" w:hAnsi="Aptos"/>
                <w:sz w:val="16"/>
              </w:rPr>
              <w:t>When does the target gap peak?</w:t>
            </w:r>
          </w:p>
        </w:tc>
      </w:tr>
      <w:tr>
        <w:tc>
          <w:tcPr>
            <w:tcW w:type="dxa" w:w="2376"/>
          </w:tcPr>
          <w:p>
            <w:r>
              <w:rPr>
                <w:rFonts w:ascii="Aptos" w:hAnsi="Aptos"/>
                <w:sz w:val="16"/>
              </w:rPr>
              <w:t>Off-Track Supplier Count</w:t>
            </w:r>
          </w:p>
        </w:tc>
        <w:tc>
          <w:tcPr>
            <w:tcW w:type="dxa" w:w="2376"/>
          </w:tcPr>
          <w:p>
            <w:r>
              <w:rPr>
                <w:rFonts w:ascii="Aptos" w:hAnsi="Aptos"/>
                <w:sz w:val="16"/>
              </w:rPr>
              <w:t>Target_Achievement_Status</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Status view</w:t>
            </w:r>
          </w:p>
        </w:tc>
        <w:tc>
          <w:tcPr>
            <w:tcW w:type="dxa" w:w="2376"/>
          </w:tcPr>
          <w:p>
            <w:r>
              <w:rPr>
                <w:rFonts w:ascii="Aptos" w:hAnsi="Aptos"/>
                <w:sz w:val="16"/>
              </w:rPr>
              <w:t>How many suppliers are off track?</w:t>
            </w:r>
          </w:p>
        </w:tc>
      </w:tr>
    </w:tbl>
    <w:p/>
    <w:p>
      <w:pPr>
        <w:pStyle w:val="Heading2"/>
      </w:pPr>
      <w:r>
        <w:t>12.6 Glide Path Analysis</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Forecast vs Glide Path</w:t>
            </w:r>
          </w:p>
        </w:tc>
        <w:tc>
          <w:tcPr>
            <w:tcW w:type="dxa" w:w="2376"/>
          </w:tcPr>
          <w:p>
            <w:r>
              <w:rPr>
                <w:rFonts w:ascii="Aptos" w:hAnsi="Aptos"/>
                <w:sz w:val="16"/>
              </w:rPr>
              <w:t>Forecast_Year</w:t>
            </w:r>
          </w:p>
        </w:tc>
        <w:tc>
          <w:tcPr>
            <w:tcW w:type="dxa" w:w="2376"/>
          </w:tcPr>
          <w:p>
            <w:r>
              <w:rPr>
                <w:rFonts w:ascii="Aptos" w:hAnsi="Aptos"/>
                <w:sz w:val="16"/>
              </w:rPr>
              <w:t>Forecast and glide path emissions</w:t>
            </w:r>
          </w:p>
        </w:tc>
        <w:tc>
          <w:tcPr>
            <w:tcW w:type="dxa" w:w="2376"/>
          </w:tcPr>
          <w:p>
            <w:r>
              <w:rPr>
                <w:rFonts w:ascii="Aptos" w:hAnsi="Aptos"/>
                <w:sz w:val="16"/>
              </w:rPr>
              <w:t>Sum(Forecast_Emission) and Sum(Glide_Path_Emission)</w:t>
            </w:r>
          </w:p>
        </w:tc>
        <w:tc>
          <w:tcPr>
            <w:tcW w:type="dxa" w:w="2376"/>
          </w:tcPr>
          <w:p>
            <w:r>
              <w:rPr>
                <w:rFonts w:ascii="Aptos" w:hAnsi="Aptos"/>
                <w:sz w:val="16"/>
              </w:rPr>
              <w:t>Compare trajectory</w:t>
            </w:r>
          </w:p>
        </w:tc>
        <w:tc>
          <w:tcPr>
            <w:tcW w:type="dxa" w:w="2376"/>
          </w:tcPr>
          <w:p>
            <w:r>
              <w:rPr>
                <w:rFonts w:ascii="Aptos" w:hAnsi="Aptos"/>
                <w:sz w:val="16"/>
              </w:rPr>
              <w:t>Are forecasts aligned with required glide path?</w:t>
            </w:r>
          </w:p>
        </w:tc>
      </w:tr>
      <w:tr>
        <w:tc>
          <w:tcPr>
            <w:tcW w:type="dxa" w:w="2376"/>
          </w:tcPr>
          <w:p>
            <w:r>
              <w:rPr>
                <w:rFonts w:ascii="Aptos" w:hAnsi="Aptos"/>
                <w:sz w:val="16"/>
              </w:rPr>
              <w:t>Annual Reduction Requirement</w:t>
            </w:r>
          </w:p>
        </w:tc>
        <w:tc>
          <w:tcPr>
            <w:tcW w:type="dxa" w:w="2376"/>
          </w:tcPr>
          <w:p>
            <w:r>
              <w:rPr>
                <w:rFonts w:ascii="Aptos" w:hAnsi="Aptos"/>
                <w:sz w:val="16"/>
              </w:rPr>
              <w:t>Forecast_Year</w:t>
            </w:r>
          </w:p>
        </w:tc>
        <w:tc>
          <w:tcPr>
            <w:tcW w:type="dxa" w:w="2376"/>
          </w:tcPr>
          <w:p>
            <w:r>
              <w:rPr>
                <w:rFonts w:ascii="Aptos" w:hAnsi="Aptos"/>
                <w:sz w:val="16"/>
              </w:rPr>
              <w:t>Annual reduction</w:t>
            </w:r>
          </w:p>
        </w:tc>
        <w:tc>
          <w:tcPr>
            <w:tcW w:type="dxa" w:w="2376"/>
          </w:tcPr>
          <w:p>
            <w:r>
              <w:rPr>
                <w:rFonts w:ascii="Aptos" w:hAnsi="Aptos"/>
                <w:sz w:val="16"/>
              </w:rPr>
              <w:t>Sum(Annual_Reduction_Required)</w:t>
            </w:r>
          </w:p>
        </w:tc>
        <w:tc>
          <w:tcPr>
            <w:tcW w:type="dxa" w:w="2376"/>
          </w:tcPr>
          <w:p>
            <w:r>
              <w:rPr>
                <w:rFonts w:ascii="Aptos" w:hAnsi="Aptos"/>
                <w:sz w:val="16"/>
              </w:rPr>
              <w:t>Execution planning</w:t>
            </w:r>
          </w:p>
        </w:tc>
        <w:tc>
          <w:tcPr>
            <w:tcW w:type="dxa" w:w="2376"/>
          </w:tcPr>
          <w:p>
            <w:r>
              <w:rPr>
                <w:rFonts w:ascii="Aptos" w:hAnsi="Aptos"/>
                <w:sz w:val="16"/>
              </w:rPr>
              <w:t>How much reduction is required annually?</w:t>
            </w:r>
          </w:p>
        </w:tc>
      </w:tr>
      <w:tr>
        <w:tc>
          <w:tcPr>
            <w:tcW w:type="dxa" w:w="2376"/>
          </w:tcPr>
          <w:p>
            <w:r>
              <w:rPr>
                <w:rFonts w:ascii="Aptos" w:hAnsi="Aptos"/>
                <w:sz w:val="16"/>
              </w:rPr>
              <w:t>Target Endpoint View</w:t>
            </w:r>
          </w:p>
        </w:tc>
        <w:tc>
          <w:tcPr>
            <w:tcW w:type="dxa" w:w="2376"/>
          </w:tcPr>
          <w:p>
            <w:r>
              <w:rPr>
                <w:rFonts w:ascii="Aptos" w:hAnsi="Aptos"/>
                <w:sz w:val="16"/>
              </w:rPr>
              <w:t>Target_Year</w:t>
            </w:r>
          </w:p>
        </w:tc>
        <w:tc>
          <w:tcPr>
            <w:tcW w:type="dxa" w:w="2376"/>
          </w:tcPr>
          <w:p>
            <w:r>
              <w:rPr>
                <w:rFonts w:ascii="Aptos" w:hAnsi="Aptos"/>
                <w:sz w:val="16"/>
              </w:rPr>
              <w:t>Target emissions</w:t>
            </w:r>
          </w:p>
        </w:tc>
        <w:tc>
          <w:tcPr>
            <w:tcW w:type="dxa" w:w="2376"/>
          </w:tcPr>
          <w:p>
            <w:r>
              <w:rPr>
                <w:rFonts w:ascii="Aptos" w:hAnsi="Aptos"/>
                <w:sz w:val="16"/>
              </w:rPr>
              <w:t>Sum(Target_Emission)</w:t>
            </w:r>
          </w:p>
        </w:tc>
        <w:tc>
          <w:tcPr>
            <w:tcW w:type="dxa" w:w="2376"/>
          </w:tcPr>
          <w:p>
            <w:r>
              <w:rPr>
                <w:rFonts w:ascii="Aptos" w:hAnsi="Aptos"/>
                <w:sz w:val="16"/>
              </w:rPr>
              <w:t>Endpoint planning</w:t>
            </w:r>
          </w:p>
        </w:tc>
        <w:tc>
          <w:tcPr>
            <w:tcW w:type="dxa" w:w="2376"/>
          </w:tcPr>
          <w:p>
            <w:r>
              <w:rPr>
                <w:rFonts w:ascii="Aptos" w:hAnsi="Aptos"/>
                <w:sz w:val="16"/>
              </w:rPr>
              <w:t>What target emissions must be achieved?</w:t>
            </w:r>
          </w:p>
        </w:tc>
      </w:tr>
    </w:tbl>
    <w:p/>
    <w:p>
      <w:pPr>
        <w:pStyle w:val="Heading2"/>
      </w:pPr>
      <w:r>
        <w:t>12.7 Forecast Method Coverage</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Method Coverage Donut</w:t>
            </w:r>
          </w:p>
        </w:tc>
        <w:tc>
          <w:tcPr>
            <w:tcW w:type="dxa" w:w="2376"/>
          </w:tcPr>
          <w:p>
            <w:r>
              <w:rPr>
                <w:rFonts w:ascii="Aptos" w:hAnsi="Aptos"/>
                <w:sz w:val="16"/>
              </w:rPr>
              <w:t>Forecast_Method_Flag</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Method transparency</w:t>
            </w:r>
          </w:p>
        </w:tc>
        <w:tc>
          <w:tcPr>
            <w:tcW w:type="dxa" w:w="2376"/>
          </w:tcPr>
          <w:p>
            <w:r>
              <w:rPr>
                <w:rFonts w:ascii="Aptos" w:hAnsi="Aptos"/>
                <w:sz w:val="16"/>
              </w:rPr>
              <w:t>Which forecast methods are most used?</w:t>
            </w:r>
          </w:p>
        </w:tc>
      </w:tr>
      <w:tr>
        <w:tc>
          <w:tcPr>
            <w:tcW w:type="dxa" w:w="2376"/>
          </w:tcPr>
          <w:p>
            <w:r>
              <w:rPr>
                <w:rFonts w:ascii="Aptos" w:hAnsi="Aptos"/>
                <w:sz w:val="16"/>
              </w:rPr>
              <w:t>Emissions by Method</w:t>
            </w:r>
          </w:p>
        </w:tc>
        <w:tc>
          <w:tcPr>
            <w:tcW w:type="dxa" w:w="2376"/>
          </w:tcPr>
          <w:p>
            <w:r>
              <w:rPr>
                <w:rFonts w:ascii="Aptos" w:hAnsi="Aptos"/>
                <w:sz w:val="16"/>
              </w:rPr>
              <w:t>Forecast_Method_Flag</w:t>
            </w:r>
          </w:p>
        </w:tc>
        <w:tc>
          <w:tcPr>
            <w:tcW w:type="dxa" w:w="2376"/>
          </w:tcPr>
          <w:p>
            <w:r>
              <w:rPr>
                <w:rFonts w:ascii="Aptos" w:hAnsi="Aptos"/>
                <w:sz w:val="16"/>
              </w:rPr>
              <w:t>Forecast emissions</w:t>
            </w:r>
          </w:p>
        </w:tc>
        <w:tc>
          <w:tcPr>
            <w:tcW w:type="dxa" w:w="2376"/>
          </w:tcPr>
          <w:p>
            <w:r>
              <w:rPr>
                <w:rFonts w:ascii="Aptos" w:hAnsi="Aptos"/>
                <w:sz w:val="16"/>
              </w:rPr>
              <w:t>Sum(Forecast_Emission)</w:t>
            </w:r>
          </w:p>
        </w:tc>
        <w:tc>
          <w:tcPr>
            <w:tcW w:type="dxa" w:w="2376"/>
          </w:tcPr>
          <w:p>
            <w:r>
              <w:rPr>
                <w:rFonts w:ascii="Aptos" w:hAnsi="Aptos"/>
                <w:sz w:val="16"/>
              </w:rPr>
              <w:t>Exposure by method</w:t>
            </w:r>
          </w:p>
        </w:tc>
        <w:tc>
          <w:tcPr>
            <w:tcW w:type="dxa" w:w="2376"/>
          </w:tcPr>
          <w:p>
            <w:r>
              <w:rPr>
                <w:rFonts w:ascii="Aptos" w:hAnsi="Aptos"/>
                <w:sz w:val="16"/>
              </w:rPr>
              <w:t>How much emissions exposure is estimated vs target based?</w:t>
            </w:r>
          </w:p>
        </w:tc>
      </w:tr>
      <w:tr>
        <w:tc>
          <w:tcPr>
            <w:tcW w:type="dxa" w:w="2376"/>
          </w:tcPr>
          <w:p>
            <w:r>
              <w:rPr>
                <w:rFonts w:ascii="Aptos" w:hAnsi="Aptos"/>
                <w:sz w:val="16"/>
              </w:rPr>
              <w:t>Confidence by Method</w:t>
            </w:r>
          </w:p>
        </w:tc>
        <w:tc>
          <w:tcPr>
            <w:tcW w:type="dxa" w:w="2376"/>
          </w:tcPr>
          <w:p>
            <w:r>
              <w:rPr>
                <w:rFonts w:ascii="Aptos" w:hAnsi="Aptos"/>
                <w:sz w:val="16"/>
              </w:rPr>
              <w:t>Forecast_Method_Flag</w:t>
            </w:r>
          </w:p>
        </w:tc>
        <w:tc>
          <w:tcPr>
            <w:tcW w:type="dxa" w:w="2376"/>
          </w:tcPr>
          <w:p>
            <w:r>
              <w:rPr>
                <w:rFonts w:ascii="Aptos" w:hAnsi="Aptos"/>
                <w:sz w:val="16"/>
              </w:rPr>
              <w:t>Confidence</w:t>
            </w:r>
          </w:p>
        </w:tc>
        <w:tc>
          <w:tcPr>
            <w:tcW w:type="dxa" w:w="2376"/>
          </w:tcPr>
          <w:p>
            <w:r>
              <w:rPr>
                <w:rFonts w:ascii="Aptos" w:hAnsi="Aptos"/>
                <w:sz w:val="16"/>
              </w:rPr>
              <w:t>Avg(Confidence_Score)</w:t>
            </w:r>
          </w:p>
        </w:tc>
        <w:tc>
          <w:tcPr>
            <w:tcW w:type="dxa" w:w="2376"/>
          </w:tcPr>
          <w:p>
            <w:r>
              <w:rPr>
                <w:rFonts w:ascii="Aptos" w:hAnsi="Aptos"/>
                <w:sz w:val="16"/>
              </w:rPr>
              <w:t>Reliability view</w:t>
            </w:r>
          </w:p>
        </w:tc>
        <w:tc>
          <w:tcPr>
            <w:tcW w:type="dxa" w:w="2376"/>
          </w:tcPr>
          <w:p>
            <w:r>
              <w:rPr>
                <w:rFonts w:ascii="Aptos" w:hAnsi="Aptos"/>
                <w:sz w:val="16"/>
              </w:rPr>
              <w:t>Which methods have lower confidence?</w:t>
            </w:r>
          </w:p>
        </w:tc>
      </w:tr>
    </w:tbl>
    <w:p/>
    <w:p>
      <w:pPr>
        <w:pStyle w:val="Heading2"/>
      </w:pPr>
      <w:r>
        <w:t>12.8 Data Quality Page</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Quality Flag Split</w:t>
            </w:r>
          </w:p>
        </w:tc>
        <w:tc>
          <w:tcPr>
            <w:tcW w:type="dxa" w:w="2376"/>
          </w:tcPr>
          <w:p>
            <w:r>
              <w:rPr>
                <w:rFonts w:ascii="Aptos" w:hAnsi="Aptos"/>
                <w:sz w:val="16"/>
              </w:rPr>
              <w:t>Data_Quality_Flag</w:t>
            </w:r>
          </w:p>
        </w:tc>
        <w:tc>
          <w:tcPr>
            <w:tcW w:type="dxa" w:w="2376"/>
          </w:tcPr>
          <w:p>
            <w:r>
              <w:rPr>
                <w:rFonts w:ascii="Aptos" w:hAnsi="Aptos"/>
                <w:sz w:val="16"/>
              </w:rPr>
              <w:t>Record count</w:t>
            </w:r>
          </w:p>
        </w:tc>
        <w:tc>
          <w:tcPr>
            <w:tcW w:type="dxa" w:w="2376"/>
          </w:tcPr>
          <w:p>
            <w:r>
              <w:rPr>
                <w:rFonts w:ascii="Aptos" w:hAnsi="Aptos"/>
                <w:sz w:val="16"/>
              </w:rPr>
              <w:t>Count(Supplier_ID)</w:t>
            </w:r>
          </w:p>
        </w:tc>
        <w:tc>
          <w:tcPr>
            <w:tcW w:type="dxa" w:w="2376"/>
          </w:tcPr>
          <w:p>
            <w:r>
              <w:rPr>
                <w:rFonts w:ascii="Aptos" w:hAnsi="Aptos"/>
                <w:sz w:val="16"/>
              </w:rPr>
              <w:t>Quality monitoring</w:t>
            </w:r>
          </w:p>
        </w:tc>
        <w:tc>
          <w:tcPr>
            <w:tcW w:type="dxa" w:w="2376"/>
          </w:tcPr>
          <w:p>
            <w:r>
              <w:rPr>
                <w:rFonts w:ascii="Aptos" w:hAnsi="Aptos"/>
                <w:sz w:val="16"/>
              </w:rPr>
              <w:t>How much data is high or low quality?</w:t>
            </w:r>
          </w:p>
        </w:tc>
      </w:tr>
      <w:tr>
        <w:tc>
          <w:tcPr>
            <w:tcW w:type="dxa" w:w="2376"/>
          </w:tcPr>
          <w:p>
            <w:r>
              <w:rPr>
                <w:rFonts w:ascii="Aptos" w:hAnsi="Aptos"/>
                <w:sz w:val="16"/>
              </w:rPr>
              <w:t>Emission Source Split</w:t>
            </w:r>
          </w:p>
        </w:tc>
        <w:tc>
          <w:tcPr>
            <w:tcW w:type="dxa" w:w="2376"/>
          </w:tcPr>
          <w:p>
            <w:r>
              <w:rPr>
                <w:rFonts w:ascii="Aptos" w:hAnsi="Aptos"/>
                <w:sz w:val="16"/>
              </w:rPr>
              <w:t>Emission_Source_Flag</w:t>
            </w:r>
          </w:p>
        </w:tc>
        <w:tc>
          <w:tcPr>
            <w:tcW w:type="dxa" w:w="2376"/>
          </w:tcPr>
          <w:p>
            <w:r>
              <w:rPr>
                <w:rFonts w:ascii="Aptos" w:hAnsi="Aptos"/>
                <w:sz w:val="16"/>
              </w:rPr>
              <w:t>Emissions</w:t>
            </w:r>
          </w:p>
        </w:tc>
        <w:tc>
          <w:tcPr>
            <w:tcW w:type="dxa" w:w="2376"/>
          </w:tcPr>
          <w:p>
            <w:r>
              <w:rPr>
                <w:rFonts w:ascii="Aptos" w:hAnsi="Aptos"/>
                <w:sz w:val="16"/>
              </w:rPr>
              <w:t>Sum(Total_Emission_Value)</w:t>
            </w:r>
          </w:p>
        </w:tc>
        <w:tc>
          <w:tcPr>
            <w:tcW w:type="dxa" w:w="2376"/>
          </w:tcPr>
          <w:p>
            <w:r>
              <w:rPr>
                <w:rFonts w:ascii="Aptos" w:hAnsi="Aptos"/>
                <w:sz w:val="16"/>
              </w:rPr>
              <w:t>Source transparency</w:t>
            </w:r>
          </w:p>
        </w:tc>
        <w:tc>
          <w:tcPr>
            <w:tcW w:type="dxa" w:w="2376"/>
          </w:tcPr>
          <w:p>
            <w:r>
              <w:rPr>
                <w:rFonts w:ascii="Aptos" w:hAnsi="Aptos"/>
                <w:sz w:val="16"/>
              </w:rPr>
              <w:t>Which direct emissions source is used?</w:t>
            </w:r>
          </w:p>
        </w:tc>
      </w:tr>
      <w:tr>
        <w:tc>
          <w:tcPr>
            <w:tcW w:type="dxa" w:w="2376"/>
          </w:tcPr>
          <w:p>
            <w:r>
              <w:rPr>
                <w:rFonts w:ascii="Aptos" w:hAnsi="Aptos"/>
                <w:sz w:val="16"/>
              </w:rPr>
              <w:t>Spend vs Actual Variance</w:t>
            </w:r>
          </w:p>
        </w:tc>
        <w:tc>
          <w:tcPr>
            <w:tcW w:type="dxa" w:w="2376"/>
          </w:tcPr>
          <w:p>
            <w:r>
              <w:rPr>
                <w:rFonts w:ascii="Aptos" w:hAnsi="Aptos"/>
                <w:sz w:val="16"/>
              </w:rPr>
              <w:t>Supplier_Name</w:t>
            </w:r>
          </w:p>
        </w:tc>
        <w:tc>
          <w:tcPr>
            <w:tcW w:type="dxa" w:w="2376"/>
          </w:tcPr>
          <w:p>
            <w:r>
              <w:rPr>
                <w:rFonts w:ascii="Aptos" w:hAnsi="Aptos"/>
                <w:sz w:val="16"/>
              </w:rPr>
              <w:t>Variance</w:t>
            </w:r>
          </w:p>
        </w:tc>
        <w:tc>
          <w:tcPr>
            <w:tcW w:type="dxa" w:w="2376"/>
          </w:tcPr>
          <w:p>
            <w:r>
              <w:rPr>
                <w:rFonts w:ascii="Aptos" w:hAnsi="Aptos"/>
                <w:sz w:val="16"/>
              </w:rPr>
              <w:t>Sum(Spend_Based_vs_Actual)</w:t>
            </w:r>
          </w:p>
        </w:tc>
        <w:tc>
          <w:tcPr>
            <w:tcW w:type="dxa" w:w="2376"/>
          </w:tcPr>
          <w:p>
            <w:r>
              <w:rPr>
                <w:rFonts w:ascii="Aptos" w:hAnsi="Aptos"/>
                <w:sz w:val="16"/>
              </w:rPr>
              <w:t>Reasonableness check</w:t>
            </w:r>
          </w:p>
        </w:tc>
        <w:tc>
          <w:tcPr>
            <w:tcW w:type="dxa" w:w="2376"/>
          </w:tcPr>
          <w:p>
            <w:r>
              <w:rPr>
                <w:rFonts w:ascii="Aptos" w:hAnsi="Aptos"/>
                <w:sz w:val="16"/>
              </w:rPr>
              <w:t>Which suppliers differ most from spend proxy?</w:t>
            </w:r>
          </w:p>
        </w:tc>
      </w:tr>
      <w:tr>
        <w:tc>
          <w:tcPr>
            <w:tcW w:type="dxa" w:w="2376"/>
          </w:tcPr>
          <w:p>
            <w:r>
              <w:rPr>
                <w:rFonts w:ascii="Aptos" w:hAnsi="Aptos"/>
                <w:sz w:val="16"/>
              </w:rPr>
              <w:t>Revenue vs Actual Variance</w:t>
            </w:r>
          </w:p>
        </w:tc>
        <w:tc>
          <w:tcPr>
            <w:tcW w:type="dxa" w:w="2376"/>
          </w:tcPr>
          <w:p>
            <w:r>
              <w:rPr>
                <w:rFonts w:ascii="Aptos" w:hAnsi="Aptos"/>
                <w:sz w:val="16"/>
              </w:rPr>
              <w:t>Supplier_Name</w:t>
            </w:r>
          </w:p>
        </w:tc>
        <w:tc>
          <w:tcPr>
            <w:tcW w:type="dxa" w:w="2376"/>
          </w:tcPr>
          <w:p>
            <w:r>
              <w:rPr>
                <w:rFonts w:ascii="Aptos" w:hAnsi="Aptos"/>
                <w:sz w:val="16"/>
              </w:rPr>
              <w:t>Variance</w:t>
            </w:r>
          </w:p>
        </w:tc>
        <w:tc>
          <w:tcPr>
            <w:tcW w:type="dxa" w:w="2376"/>
          </w:tcPr>
          <w:p>
            <w:r>
              <w:rPr>
                <w:rFonts w:ascii="Aptos" w:hAnsi="Aptos"/>
                <w:sz w:val="16"/>
              </w:rPr>
              <w:t>Sum(Revenue_Based_vs_Actual)</w:t>
            </w:r>
          </w:p>
        </w:tc>
        <w:tc>
          <w:tcPr>
            <w:tcW w:type="dxa" w:w="2376"/>
          </w:tcPr>
          <w:p>
            <w:r>
              <w:rPr>
                <w:rFonts w:ascii="Aptos" w:hAnsi="Aptos"/>
                <w:sz w:val="16"/>
              </w:rPr>
              <w:t>Reasonableness check</w:t>
            </w:r>
          </w:p>
        </w:tc>
        <w:tc>
          <w:tcPr>
            <w:tcW w:type="dxa" w:w="2376"/>
          </w:tcPr>
          <w:p>
            <w:r>
              <w:rPr>
                <w:rFonts w:ascii="Aptos" w:hAnsi="Aptos"/>
                <w:sz w:val="16"/>
              </w:rPr>
              <w:t>Which suppliers differ most from revenue proxy?</w:t>
            </w:r>
          </w:p>
        </w:tc>
      </w:tr>
      <w:tr>
        <w:tc>
          <w:tcPr>
            <w:tcW w:type="dxa" w:w="2376"/>
          </w:tcPr>
          <w:p>
            <w:r>
              <w:rPr>
                <w:rFonts w:ascii="Aptos" w:hAnsi="Aptos"/>
                <w:sz w:val="16"/>
              </w:rPr>
              <w:t>Missing Parameters</w:t>
            </w:r>
          </w:p>
        </w:tc>
        <w:tc>
          <w:tcPr>
            <w:tcW w:type="dxa" w:w="2376"/>
          </w:tcPr>
          <w:p>
            <w:r>
              <w:rPr>
                <w:rFonts w:ascii="Aptos" w:hAnsi="Aptos"/>
                <w:sz w:val="16"/>
              </w:rPr>
              <w:t>Missing_Parameter_Flag</w:t>
            </w:r>
          </w:p>
        </w:tc>
        <w:tc>
          <w:tcPr>
            <w:tcW w:type="dxa" w:w="2376"/>
          </w:tcPr>
          <w:p>
            <w:r>
              <w:rPr>
                <w:rFonts w:ascii="Aptos" w:hAnsi="Aptos"/>
                <w:sz w:val="16"/>
              </w:rPr>
              <w:t>Record count</w:t>
            </w:r>
          </w:p>
        </w:tc>
        <w:tc>
          <w:tcPr>
            <w:tcW w:type="dxa" w:w="2376"/>
          </w:tcPr>
          <w:p>
            <w:r>
              <w:rPr>
                <w:rFonts w:ascii="Aptos" w:hAnsi="Aptos"/>
                <w:sz w:val="16"/>
              </w:rPr>
              <w:t>Count(Supplier_ID)</w:t>
            </w:r>
          </w:p>
        </w:tc>
        <w:tc>
          <w:tcPr>
            <w:tcW w:type="dxa" w:w="2376"/>
          </w:tcPr>
          <w:p>
            <w:r>
              <w:rPr>
                <w:rFonts w:ascii="Aptos" w:hAnsi="Aptos"/>
                <w:sz w:val="16"/>
              </w:rPr>
              <w:t>Data remediation</w:t>
            </w:r>
          </w:p>
        </w:tc>
        <w:tc>
          <w:tcPr>
            <w:tcW w:type="dxa" w:w="2376"/>
          </w:tcPr>
          <w:p>
            <w:r>
              <w:rPr>
                <w:rFonts w:ascii="Aptos" w:hAnsi="Aptos"/>
                <w:sz w:val="16"/>
              </w:rPr>
              <w:t>Which inputs should be collected first?</w:t>
            </w:r>
          </w:p>
        </w:tc>
      </w:tr>
      <w:tr>
        <w:tc>
          <w:tcPr>
            <w:tcW w:type="dxa" w:w="2376"/>
          </w:tcPr>
          <w:p>
            <w:r>
              <w:rPr>
                <w:rFonts w:ascii="Aptos" w:hAnsi="Aptos"/>
                <w:sz w:val="16"/>
              </w:rPr>
              <w:t>Validation Exceptions</w:t>
            </w:r>
          </w:p>
        </w:tc>
        <w:tc>
          <w:tcPr>
            <w:tcW w:type="dxa" w:w="2376"/>
          </w:tcPr>
          <w:p>
            <w:r>
              <w:rPr>
                <w:rFonts w:ascii="Aptos" w:hAnsi="Aptos"/>
                <w:sz w:val="16"/>
              </w:rPr>
              <w:t>Validation_Flag</w:t>
            </w:r>
          </w:p>
        </w:tc>
        <w:tc>
          <w:tcPr>
            <w:tcW w:type="dxa" w:w="2376"/>
          </w:tcPr>
          <w:p>
            <w:r>
              <w:rPr>
                <w:rFonts w:ascii="Aptos" w:hAnsi="Aptos"/>
                <w:sz w:val="16"/>
              </w:rPr>
              <w:t>Record count</w:t>
            </w:r>
          </w:p>
        </w:tc>
        <w:tc>
          <w:tcPr>
            <w:tcW w:type="dxa" w:w="2376"/>
          </w:tcPr>
          <w:p>
            <w:r>
              <w:rPr>
                <w:rFonts w:ascii="Aptos" w:hAnsi="Aptos"/>
                <w:sz w:val="16"/>
              </w:rPr>
              <w:t>Count(Supplier_ID)</w:t>
            </w:r>
          </w:p>
        </w:tc>
        <w:tc>
          <w:tcPr>
            <w:tcW w:type="dxa" w:w="2376"/>
          </w:tcPr>
          <w:p>
            <w:r>
              <w:rPr>
                <w:rFonts w:ascii="Aptos" w:hAnsi="Aptos"/>
                <w:sz w:val="16"/>
              </w:rPr>
              <w:t>Audit controls</w:t>
            </w:r>
          </w:p>
        </w:tc>
        <w:tc>
          <w:tcPr>
            <w:tcW w:type="dxa" w:w="2376"/>
          </w:tcPr>
          <w:p>
            <w:r>
              <w:rPr>
                <w:rFonts w:ascii="Aptos" w:hAnsi="Aptos"/>
                <w:sz w:val="16"/>
              </w:rPr>
              <w:t>What records require review?</w:t>
            </w:r>
          </w:p>
        </w:tc>
      </w:tr>
    </w:tbl>
    <w:p/>
    <w:p>
      <w:pPr>
        <w:pStyle w:val="Heading2"/>
      </w:pPr>
      <w:r>
        <w:t>12.9 Supplier Risk Heatmap</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Risk Heatmap</w:t>
            </w:r>
          </w:p>
        </w:tc>
        <w:tc>
          <w:tcPr>
            <w:tcW w:type="dxa" w:w="2376"/>
          </w:tcPr>
          <w:p>
            <w:r>
              <w:rPr>
                <w:rFonts w:ascii="Aptos" w:hAnsi="Aptos"/>
                <w:sz w:val="16"/>
              </w:rPr>
              <w:t>Supplier_Industry, Supplier_Risk_Category</w:t>
            </w:r>
          </w:p>
        </w:tc>
        <w:tc>
          <w:tcPr>
            <w:tcW w:type="dxa" w:w="2376"/>
          </w:tcPr>
          <w:p>
            <w:r>
              <w:rPr>
                <w:rFonts w:ascii="Aptos" w:hAnsi="Aptos"/>
                <w:sz w:val="16"/>
              </w:rPr>
              <w:t>Supplier count</w:t>
            </w:r>
          </w:p>
        </w:tc>
        <w:tc>
          <w:tcPr>
            <w:tcW w:type="dxa" w:w="2376"/>
          </w:tcPr>
          <w:p>
            <w:r>
              <w:rPr>
                <w:rFonts w:ascii="Aptos" w:hAnsi="Aptos"/>
                <w:sz w:val="16"/>
              </w:rPr>
              <w:t>Count(DISTINCT Supplier_ID)</w:t>
            </w:r>
          </w:p>
        </w:tc>
        <w:tc>
          <w:tcPr>
            <w:tcW w:type="dxa" w:w="2376"/>
          </w:tcPr>
          <w:p>
            <w:r>
              <w:rPr>
                <w:rFonts w:ascii="Aptos" w:hAnsi="Aptos"/>
                <w:sz w:val="16"/>
              </w:rPr>
              <w:t>Risk concentration</w:t>
            </w:r>
          </w:p>
        </w:tc>
        <w:tc>
          <w:tcPr>
            <w:tcW w:type="dxa" w:w="2376"/>
          </w:tcPr>
          <w:p>
            <w:r>
              <w:rPr>
                <w:rFonts w:ascii="Aptos" w:hAnsi="Aptos"/>
                <w:sz w:val="16"/>
              </w:rPr>
              <w:t>Which industries have critical suppliers?</w:t>
            </w:r>
          </w:p>
        </w:tc>
      </w:tr>
      <w:tr>
        <w:tc>
          <w:tcPr>
            <w:tcW w:type="dxa" w:w="2376"/>
          </w:tcPr>
          <w:p>
            <w:r>
              <w:rPr>
                <w:rFonts w:ascii="Aptos" w:hAnsi="Aptos"/>
                <w:sz w:val="16"/>
              </w:rPr>
              <w:t>Supplier Risk Table</w:t>
            </w:r>
          </w:p>
        </w:tc>
        <w:tc>
          <w:tcPr>
            <w:tcW w:type="dxa" w:w="2376"/>
          </w:tcPr>
          <w:p>
            <w:r>
              <w:rPr>
                <w:rFonts w:ascii="Aptos" w:hAnsi="Aptos"/>
                <w:sz w:val="16"/>
              </w:rPr>
              <w:t>Supplier_Name</w:t>
            </w:r>
          </w:p>
        </w:tc>
        <w:tc>
          <w:tcPr>
            <w:tcW w:type="dxa" w:w="2376"/>
          </w:tcPr>
          <w:p>
            <w:r>
              <w:rPr>
                <w:rFonts w:ascii="Aptos" w:hAnsi="Aptos"/>
                <w:sz w:val="16"/>
              </w:rPr>
              <w:t>Risk, gap, confidence</w:t>
            </w:r>
          </w:p>
        </w:tc>
        <w:tc>
          <w:tcPr>
            <w:tcW w:type="dxa" w:w="2376"/>
          </w:tcPr>
          <w:p>
            <w:r>
              <w:rPr>
                <w:rFonts w:ascii="Aptos" w:hAnsi="Aptos"/>
                <w:sz w:val="16"/>
              </w:rPr>
              <w:t>Only(Supplier_Risk_Category), Sum(Gap_to_Target), Avg(Confidence_Score)</w:t>
            </w:r>
          </w:p>
        </w:tc>
        <w:tc>
          <w:tcPr>
            <w:tcW w:type="dxa" w:w="2376"/>
          </w:tcPr>
          <w:p>
            <w:r>
              <w:rPr>
                <w:rFonts w:ascii="Aptos" w:hAnsi="Aptos"/>
                <w:sz w:val="16"/>
              </w:rPr>
              <w:t>Supplier action list</w:t>
            </w:r>
          </w:p>
        </w:tc>
        <w:tc>
          <w:tcPr>
            <w:tcW w:type="dxa" w:w="2376"/>
          </w:tcPr>
          <w:p>
            <w:r>
              <w:rPr>
                <w:rFonts w:ascii="Aptos" w:hAnsi="Aptos"/>
                <w:sz w:val="16"/>
              </w:rPr>
              <w:t>Which suppliers need immediate action?</w:t>
            </w:r>
          </w:p>
        </w:tc>
      </w:tr>
      <w:tr>
        <w:tc>
          <w:tcPr>
            <w:tcW w:type="dxa" w:w="2376"/>
          </w:tcPr>
          <w:p>
            <w:r>
              <w:rPr>
                <w:rFonts w:ascii="Aptos" w:hAnsi="Aptos"/>
                <w:sz w:val="16"/>
              </w:rPr>
              <w:t>Critical Emissions Exposure</w:t>
            </w:r>
          </w:p>
        </w:tc>
        <w:tc>
          <w:tcPr>
            <w:tcW w:type="dxa" w:w="2376"/>
          </w:tcPr>
          <w:p>
            <w:r>
              <w:rPr>
                <w:rFonts w:ascii="Aptos" w:hAnsi="Aptos"/>
                <w:sz w:val="16"/>
              </w:rPr>
              <w:t>Supplier_Risk_Category</w:t>
            </w:r>
          </w:p>
        </w:tc>
        <w:tc>
          <w:tcPr>
            <w:tcW w:type="dxa" w:w="2376"/>
          </w:tcPr>
          <w:p>
            <w:r>
              <w:rPr>
                <w:rFonts w:ascii="Aptos" w:hAnsi="Aptos"/>
                <w:sz w:val="16"/>
              </w:rPr>
              <w:t>Forecast emissions</w:t>
            </w:r>
          </w:p>
        </w:tc>
        <w:tc>
          <w:tcPr>
            <w:tcW w:type="dxa" w:w="2376"/>
          </w:tcPr>
          <w:p>
            <w:r>
              <w:rPr>
                <w:rFonts w:ascii="Aptos" w:hAnsi="Aptos"/>
                <w:sz w:val="16"/>
              </w:rPr>
              <w:t>Sum({&lt;Supplier_Risk_Category={'Critical'}&gt;} Forecast_Emission)</w:t>
            </w:r>
          </w:p>
        </w:tc>
        <w:tc>
          <w:tcPr>
            <w:tcW w:type="dxa" w:w="2376"/>
          </w:tcPr>
          <w:p>
            <w:r>
              <w:rPr>
                <w:rFonts w:ascii="Aptos" w:hAnsi="Aptos"/>
                <w:sz w:val="16"/>
              </w:rPr>
              <w:t>Critical exposure</w:t>
            </w:r>
          </w:p>
        </w:tc>
        <w:tc>
          <w:tcPr>
            <w:tcW w:type="dxa" w:w="2376"/>
          </w:tcPr>
          <w:p>
            <w:r>
              <w:rPr>
                <w:rFonts w:ascii="Aptos" w:hAnsi="Aptos"/>
                <w:sz w:val="16"/>
              </w:rPr>
              <w:t>What emissions are associated with critical suppliers?</w:t>
            </w:r>
          </w:p>
        </w:tc>
      </w:tr>
    </w:tbl>
    <w:p/>
    <w:p>
      <w:pPr>
        <w:pStyle w:val="Heading2"/>
      </w:pPr>
      <w:r>
        <w:t>12.10 Scenario Analysis</w:t>
      </w:r>
    </w:p>
    <w:tbl>
      <w:tblPr>
        <w:tblStyle w:val="TableGrid"/>
        <w:tblW w:type="auto" w:w="0"/>
        <w:tblLayout w:type="autofit"/>
        <w:tblLook w:firstColumn="1" w:firstRow="1" w:lastColumn="0" w:lastRow="0" w:noHBand="0" w:noVBand="1" w:val="04A0"/>
      </w:tblPr>
      <w:tblGrid>
        <w:gridCol w:w="2376"/>
        <w:gridCol w:w="2376"/>
        <w:gridCol w:w="2376"/>
        <w:gridCol w:w="2376"/>
        <w:gridCol w:w="2376"/>
        <w:gridCol w:w="2376"/>
      </w:tblGrid>
      <w:tr>
        <w:tc>
          <w:tcPr>
            <w:tcW w:type="dxa" w:w="2376"/>
          </w:tcPr>
          <w:p>
            <w:r>
              <w:rPr>
                <w:rFonts w:ascii="Aptos" w:hAnsi="Aptos"/>
                <w:b/>
                <w:color w:val="152B4D"/>
                <w:sz w:val="16"/>
              </w:rPr>
              <w:t>Chart name</w:t>
            </w:r>
          </w:p>
        </w:tc>
        <w:tc>
          <w:tcPr>
            <w:tcW w:type="dxa" w:w="2376"/>
          </w:tcPr>
          <w:p>
            <w:r>
              <w:rPr>
                <w:rFonts w:ascii="Aptos" w:hAnsi="Aptos"/>
                <w:b/>
                <w:color w:val="152B4D"/>
                <w:sz w:val="16"/>
              </w:rPr>
              <w:t>Dimension</w:t>
            </w:r>
          </w:p>
        </w:tc>
        <w:tc>
          <w:tcPr>
            <w:tcW w:type="dxa" w:w="2376"/>
          </w:tcPr>
          <w:p>
            <w:r>
              <w:rPr>
                <w:rFonts w:ascii="Aptos" w:hAnsi="Aptos"/>
                <w:b/>
                <w:color w:val="152B4D"/>
                <w:sz w:val="16"/>
              </w:rPr>
              <w:t>Measure</w:t>
            </w:r>
          </w:p>
        </w:tc>
        <w:tc>
          <w:tcPr>
            <w:tcW w:type="dxa" w:w="2376"/>
          </w:tcPr>
          <w:p>
            <w:r>
              <w:rPr>
                <w:rFonts w:ascii="Aptos" w:hAnsi="Aptos"/>
                <w:b/>
                <w:color w:val="152B4D"/>
                <w:sz w:val="16"/>
              </w:rPr>
              <w:t>Qlik expression</w:t>
            </w:r>
          </w:p>
        </w:tc>
        <w:tc>
          <w:tcPr>
            <w:tcW w:type="dxa" w:w="2376"/>
          </w:tcPr>
          <w:p>
            <w:r>
              <w:rPr>
                <w:rFonts w:ascii="Aptos" w:hAnsi="Aptos"/>
                <w:b/>
                <w:color w:val="152B4D"/>
                <w:sz w:val="16"/>
              </w:rPr>
              <w:t>Purpose</w:t>
            </w:r>
          </w:p>
        </w:tc>
        <w:tc>
          <w:tcPr>
            <w:tcW w:type="dxa" w:w="2376"/>
          </w:tcPr>
          <w:p>
            <w:r>
              <w:rPr>
                <w:rFonts w:ascii="Aptos" w:hAnsi="Aptos"/>
                <w:b/>
                <w:color w:val="152B4D"/>
                <w:sz w:val="16"/>
              </w:rPr>
              <w:t>Business question answered</w:t>
            </w:r>
          </w:p>
        </w:tc>
      </w:tr>
      <w:tr>
        <w:tc>
          <w:tcPr>
            <w:tcW w:type="dxa" w:w="2376"/>
          </w:tcPr>
          <w:p>
            <w:r>
              <w:rPr>
                <w:rFonts w:ascii="Aptos" w:hAnsi="Aptos"/>
                <w:sz w:val="16"/>
              </w:rPr>
              <w:t>Scenario Reduction Slider</w:t>
            </w:r>
          </w:p>
        </w:tc>
        <w:tc>
          <w:tcPr>
            <w:tcW w:type="dxa" w:w="2376"/>
          </w:tcPr>
          <w:p>
            <w:r>
              <w:rPr>
                <w:rFonts w:ascii="Aptos" w:hAnsi="Aptos"/>
                <w:sz w:val="16"/>
              </w:rPr>
              <w:t>Variable reduction</w:t>
            </w:r>
          </w:p>
        </w:tc>
        <w:tc>
          <w:tcPr>
            <w:tcW w:type="dxa" w:w="2376"/>
          </w:tcPr>
          <w:p>
            <w:r>
              <w:rPr>
                <w:rFonts w:ascii="Aptos" w:hAnsi="Aptos"/>
                <w:sz w:val="16"/>
              </w:rPr>
              <w:t>Forecast emissions</w:t>
            </w:r>
          </w:p>
        </w:tc>
        <w:tc>
          <w:tcPr>
            <w:tcW w:type="dxa" w:w="2376"/>
          </w:tcPr>
          <w:p>
            <w:r>
              <w:rPr>
                <w:rFonts w:ascii="Aptos" w:hAnsi="Aptos"/>
                <w:sz w:val="16"/>
              </w:rPr>
              <w:t>Sum(Forecast_Emission)*(1-vScenarioReduction)</w:t>
            </w:r>
          </w:p>
        </w:tc>
        <w:tc>
          <w:tcPr>
            <w:tcW w:type="dxa" w:w="2376"/>
          </w:tcPr>
          <w:p>
            <w:r>
              <w:rPr>
                <w:rFonts w:ascii="Aptos" w:hAnsi="Aptos"/>
                <w:sz w:val="16"/>
              </w:rPr>
              <w:t>What-if modeling</w:t>
            </w:r>
          </w:p>
        </w:tc>
        <w:tc>
          <w:tcPr>
            <w:tcW w:type="dxa" w:w="2376"/>
          </w:tcPr>
          <w:p>
            <w:r>
              <w:rPr>
                <w:rFonts w:ascii="Aptos" w:hAnsi="Aptos"/>
                <w:sz w:val="16"/>
              </w:rPr>
              <w:t>What happens with stronger reductions?</w:t>
            </w:r>
          </w:p>
        </w:tc>
      </w:tr>
      <w:tr>
        <w:tc>
          <w:tcPr>
            <w:tcW w:type="dxa" w:w="2376"/>
          </w:tcPr>
          <w:p>
            <w:r>
              <w:rPr>
                <w:rFonts w:ascii="Aptos" w:hAnsi="Aptos"/>
                <w:sz w:val="16"/>
              </w:rPr>
              <w:t>Growth Scenario</w:t>
            </w:r>
          </w:p>
        </w:tc>
        <w:tc>
          <w:tcPr>
            <w:tcW w:type="dxa" w:w="2376"/>
          </w:tcPr>
          <w:p>
            <w:r>
              <w:rPr>
                <w:rFonts w:ascii="Aptos" w:hAnsi="Aptos"/>
                <w:sz w:val="16"/>
              </w:rPr>
              <w:t>Variable growth</w:t>
            </w:r>
          </w:p>
        </w:tc>
        <w:tc>
          <w:tcPr>
            <w:tcW w:type="dxa" w:w="2376"/>
          </w:tcPr>
          <w:p>
            <w:r>
              <w:rPr>
                <w:rFonts w:ascii="Aptos" w:hAnsi="Aptos"/>
                <w:sz w:val="16"/>
              </w:rPr>
              <w:t>Forecast emissions</w:t>
            </w:r>
          </w:p>
        </w:tc>
        <w:tc>
          <w:tcPr>
            <w:tcW w:type="dxa" w:w="2376"/>
          </w:tcPr>
          <w:p>
            <w:r>
              <w:rPr>
                <w:rFonts w:ascii="Aptos" w:hAnsi="Aptos"/>
                <w:sz w:val="16"/>
              </w:rPr>
              <w:t>Sum(Forecast_Emission)*Pow(1+vGrowthRate,Forecast_Year-Min(TOTAL Forecast_Year))</w:t>
            </w:r>
          </w:p>
        </w:tc>
        <w:tc>
          <w:tcPr>
            <w:tcW w:type="dxa" w:w="2376"/>
          </w:tcPr>
          <w:p>
            <w:r>
              <w:rPr>
                <w:rFonts w:ascii="Aptos" w:hAnsi="Aptos"/>
                <w:sz w:val="16"/>
              </w:rPr>
              <w:t>Growth sensitivity</w:t>
            </w:r>
          </w:p>
        </w:tc>
        <w:tc>
          <w:tcPr>
            <w:tcW w:type="dxa" w:w="2376"/>
          </w:tcPr>
          <w:p>
            <w:r>
              <w:rPr>
                <w:rFonts w:ascii="Aptos" w:hAnsi="Aptos"/>
                <w:sz w:val="16"/>
              </w:rPr>
              <w:t>How does supplier growth affect emissions?</w:t>
            </w:r>
          </w:p>
        </w:tc>
      </w:tr>
      <w:tr>
        <w:tc>
          <w:tcPr>
            <w:tcW w:type="dxa" w:w="2376"/>
          </w:tcPr>
          <w:p>
            <w:r>
              <w:rPr>
                <w:rFonts w:ascii="Aptos" w:hAnsi="Aptos"/>
                <w:sz w:val="16"/>
              </w:rPr>
              <w:t>Confidence Filter</w:t>
            </w:r>
          </w:p>
        </w:tc>
        <w:tc>
          <w:tcPr>
            <w:tcW w:type="dxa" w:w="2376"/>
          </w:tcPr>
          <w:p>
            <w:r>
              <w:rPr>
                <w:rFonts w:ascii="Aptos" w:hAnsi="Aptos"/>
                <w:sz w:val="16"/>
              </w:rPr>
              <w:t>Confidence band</w:t>
            </w:r>
          </w:p>
        </w:tc>
        <w:tc>
          <w:tcPr>
            <w:tcW w:type="dxa" w:w="2376"/>
          </w:tcPr>
          <w:p>
            <w:r>
              <w:rPr>
                <w:rFonts w:ascii="Aptos" w:hAnsi="Aptos"/>
                <w:sz w:val="16"/>
              </w:rPr>
              <w:t>Forecast emissions</w:t>
            </w:r>
          </w:p>
        </w:tc>
        <w:tc>
          <w:tcPr>
            <w:tcW w:type="dxa" w:w="2376"/>
          </w:tcPr>
          <w:p>
            <w:r>
              <w:rPr>
                <w:rFonts w:ascii="Aptos" w:hAnsi="Aptos"/>
                <w:sz w:val="16"/>
              </w:rPr>
              <w:t>Sum({&lt;Confidence_Score={"&gt;=0.7"}&gt;} Forecast_Emission)</w:t>
            </w:r>
          </w:p>
        </w:tc>
        <w:tc>
          <w:tcPr>
            <w:tcW w:type="dxa" w:w="2376"/>
          </w:tcPr>
          <w:p>
            <w:r>
              <w:rPr>
                <w:rFonts w:ascii="Aptos" w:hAnsi="Aptos"/>
                <w:sz w:val="16"/>
              </w:rPr>
              <w:t>Reliability filtering</w:t>
            </w:r>
          </w:p>
        </w:tc>
        <w:tc>
          <w:tcPr>
            <w:tcW w:type="dxa" w:w="2376"/>
          </w:tcPr>
          <w:p>
            <w:r>
              <w:rPr>
                <w:rFonts w:ascii="Aptos" w:hAnsi="Aptos"/>
                <w:sz w:val="16"/>
              </w:rPr>
              <w:t>What is the high-confidence emissions view?</w:t>
            </w:r>
          </w:p>
        </w:tc>
      </w:tr>
    </w:tbl>
    <w:p/>
    <w:p>
      <w:pPr>
        <w:pStyle w:val="Heading1"/>
      </w:pPr>
      <w:r>
        <w:t>13. Validation Checks</w:t>
      </w:r>
    </w:p>
    <w:p>
      <w:r>
        <w:t>Recommended validation rules:</w:t>
      </w:r>
    </w:p>
    <w:tbl>
      <w:tblPr>
        <w:tblStyle w:val="TableGrid"/>
        <w:tblW w:type="auto" w:w="0"/>
        <w:tblLayout w:type="autofit"/>
        <w:tblLook w:firstColumn="1" w:firstRow="1" w:lastColumn="0" w:lastRow="0" w:noHBand="0" w:noVBand="1" w:val="04A0"/>
      </w:tblPr>
      <w:tblGrid>
        <w:gridCol w:w="4752"/>
        <w:gridCol w:w="4752"/>
        <w:gridCol w:w="4752"/>
      </w:tblGrid>
      <w:tr>
        <w:tc>
          <w:tcPr>
            <w:tcW w:type="dxa" w:w="4752"/>
          </w:tcPr>
          <w:p>
            <w:r>
              <w:rPr>
                <w:rFonts w:ascii="Aptos" w:hAnsi="Aptos"/>
                <w:b/>
                <w:color w:val="152B4D"/>
                <w:sz w:val="16"/>
              </w:rPr>
              <w:t>Check</w:t>
            </w:r>
          </w:p>
        </w:tc>
        <w:tc>
          <w:tcPr>
            <w:tcW w:type="dxa" w:w="4752"/>
          </w:tcPr>
          <w:p>
            <w:r>
              <w:rPr>
                <w:rFonts w:ascii="Aptos" w:hAnsi="Aptos"/>
                <w:b/>
                <w:color w:val="152B4D"/>
                <w:sz w:val="16"/>
              </w:rPr>
              <w:t>Rule</w:t>
            </w:r>
          </w:p>
        </w:tc>
        <w:tc>
          <w:tcPr>
            <w:tcW w:type="dxa" w:w="4752"/>
          </w:tcPr>
          <w:p>
            <w:r>
              <w:rPr>
                <w:rFonts w:ascii="Aptos" w:hAnsi="Aptos"/>
                <w:b/>
                <w:color w:val="152B4D"/>
                <w:sz w:val="16"/>
              </w:rPr>
              <w:t>Action</w:t>
            </w:r>
          </w:p>
        </w:tc>
      </w:tr>
      <w:tr>
        <w:tc>
          <w:tcPr>
            <w:tcW w:type="dxa" w:w="4752"/>
          </w:tcPr>
          <w:p>
            <w:r>
              <w:rPr>
                <w:rFonts w:ascii="Aptos" w:hAnsi="Aptos"/>
                <w:sz w:val="16"/>
              </w:rPr>
              <w:t>Negative emissions</w:t>
            </w:r>
          </w:p>
        </w:tc>
        <w:tc>
          <w:tcPr>
            <w:tcW w:type="dxa" w:w="4752"/>
          </w:tcPr>
          <w:p>
            <w:r>
              <w:rPr>
                <w:rFonts w:ascii="Aptos" w:hAnsi="Aptos"/>
                <w:sz w:val="16"/>
              </w:rPr>
              <w:t>Emissions must be &gt;= 0</w:t>
            </w:r>
          </w:p>
        </w:tc>
        <w:tc>
          <w:tcPr>
            <w:tcW w:type="dxa" w:w="4752"/>
          </w:tcPr>
          <w:p>
            <w:r>
              <w:rPr>
                <w:rFonts w:ascii="Aptos" w:hAnsi="Aptos"/>
                <w:sz w:val="16"/>
              </w:rPr>
              <w:t>Flag invalid</w:t>
            </w:r>
          </w:p>
        </w:tc>
      </w:tr>
      <w:tr>
        <w:tc>
          <w:tcPr>
            <w:tcW w:type="dxa" w:w="4752"/>
          </w:tcPr>
          <w:p>
            <w:r>
              <w:rPr>
                <w:rFonts w:ascii="Aptos" w:hAnsi="Aptos"/>
                <w:sz w:val="16"/>
              </w:rPr>
              <w:t>Missing total emissions</w:t>
            </w:r>
          </w:p>
        </w:tc>
        <w:tc>
          <w:tcPr>
            <w:tcW w:type="dxa" w:w="4752"/>
          </w:tcPr>
          <w:p>
            <w:r>
              <w:rPr>
                <w:rFonts w:ascii="Aptos" w:hAnsi="Aptos"/>
                <w:sz w:val="16"/>
              </w:rPr>
              <w:t>Total_Emission_Value is null</w:t>
            </w:r>
          </w:p>
        </w:tc>
        <w:tc>
          <w:tcPr>
            <w:tcW w:type="dxa" w:w="4752"/>
          </w:tcPr>
          <w:p>
            <w:r>
              <w:rPr>
                <w:rFonts w:ascii="Aptos" w:hAnsi="Aptos"/>
                <w:sz w:val="16"/>
              </w:rPr>
              <w:t>Exclude from forecast or remediate</w:t>
            </w:r>
          </w:p>
        </w:tc>
      </w:tr>
      <w:tr>
        <w:tc>
          <w:tcPr>
            <w:tcW w:type="dxa" w:w="4752"/>
          </w:tcPr>
          <w:p>
            <w:r>
              <w:rPr>
                <w:rFonts w:ascii="Aptos" w:hAnsi="Aptos"/>
                <w:sz w:val="16"/>
              </w:rPr>
              <w:t>Extreme outliers</w:t>
            </w:r>
          </w:p>
        </w:tc>
        <w:tc>
          <w:tcPr>
            <w:tcW w:type="dxa" w:w="4752"/>
          </w:tcPr>
          <w:p>
            <w:r>
              <w:rPr>
                <w:rFonts w:ascii="Aptos" w:hAnsi="Aptos"/>
                <w:sz w:val="16"/>
              </w:rPr>
              <w:t>Total emissions above threshold or z-score limit</w:t>
            </w:r>
          </w:p>
        </w:tc>
        <w:tc>
          <w:tcPr>
            <w:tcW w:type="dxa" w:w="4752"/>
          </w:tcPr>
          <w:p>
            <w:r>
              <w:rPr>
                <w:rFonts w:ascii="Aptos" w:hAnsi="Aptos"/>
                <w:sz w:val="16"/>
              </w:rPr>
              <w:t>Flag for review</w:t>
            </w:r>
          </w:p>
        </w:tc>
      </w:tr>
      <w:tr>
        <w:tc>
          <w:tcPr>
            <w:tcW w:type="dxa" w:w="4752"/>
          </w:tcPr>
          <w:p>
            <w:r>
              <w:rPr>
                <w:rFonts w:ascii="Aptos" w:hAnsi="Aptos"/>
                <w:sz w:val="16"/>
              </w:rPr>
              <w:t>Missing target year</w:t>
            </w:r>
          </w:p>
        </w:tc>
        <w:tc>
          <w:tcPr>
            <w:tcW w:type="dxa" w:w="4752"/>
          </w:tcPr>
          <w:p>
            <w:r>
              <w:rPr>
                <w:rFonts w:ascii="Aptos" w:hAnsi="Aptos"/>
                <w:sz w:val="16"/>
              </w:rPr>
              <w:t>Supplier target reduction exists but target year missing</w:t>
            </w:r>
          </w:p>
        </w:tc>
        <w:tc>
          <w:tcPr>
            <w:tcW w:type="dxa" w:w="4752"/>
          </w:tcPr>
          <w:p>
            <w:r>
              <w:rPr>
                <w:rFonts w:ascii="Aptos" w:hAnsi="Aptos"/>
                <w:sz w:val="16"/>
              </w:rPr>
              <w:t>Use industry pathway</w:t>
            </w:r>
          </w:p>
        </w:tc>
      </w:tr>
      <w:tr>
        <w:tc>
          <w:tcPr>
            <w:tcW w:type="dxa" w:w="4752"/>
          </w:tcPr>
          <w:p>
            <w:r>
              <w:rPr>
                <w:rFonts w:ascii="Aptos" w:hAnsi="Aptos"/>
                <w:sz w:val="16"/>
              </w:rPr>
              <w:t>Target year before baseline year</w:t>
            </w:r>
          </w:p>
        </w:tc>
        <w:tc>
          <w:tcPr>
            <w:tcW w:type="dxa" w:w="4752"/>
          </w:tcPr>
          <w:p>
            <w:r>
              <w:rPr>
                <w:rFonts w:ascii="Aptos" w:hAnsi="Aptos"/>
                <w:sz w:val="16"/>
              </w:rPr>
              <w:t>Target_Year &lt;= Baseline_Year</w:t>
            </w:r>
          </w:p>
        </w:tc>
        <w:tc>
          <w:tcPr>
            <w:tcW w:type="dxa" w:w="4752"/>
          </w:tcPr>
          <w:p>
            <w:r>
              <w:rPr>
                <w:rFonts w:ascii="Aptos" w:hAnsi="Aptos"/>
                <w:sz w:val="16"/>
              </w:rPr>
              <w:t>Flag invalid target</w:t>
            </w:r>
          </w:p>
        </w:tc>
      </w:tr>
      <w:tr>
        <w:tc>
          <w:tcPr>
            <w:tcW w:type="dxa" w:w="4752"/>
          </w:tcPr>
          <w:p>
            <w:r>
              <w:rPr>
                <w:rFonts w:ascii="Aptos" w:hAnsi="Aptos"/>
                <w:sz w:val="16"/>
              </w:rPr>
              <w:t>Missing spend or revenue</w:t>
            </w:r>
          </w:p>
        </w:tc>
        <w:tc>
          <w:tcPr>
            <w:tcW w:type="dxa" w:w="4752"/>
          </w:tcPr>
          <w:p>
            <w:r>
              <w:rPr>
                <w:rFonts w:ascii="Aptos" w:hAnsi="Aptos"/>
                <w:sz w:val="16"/>
              </w:rPr>
              <w:t>Activity denominator missing</w:t>
            </w:r>
          </w:p>
        </w:tc>
        <w:tc>
          <w:tcPr>
            <w:tcW w:type="dxa" w:w="4752"/>
          </w:tcPr>
          <w:p>
            <w:r>
              <w:rPr>
                <w:rFonts w:ascii="Aptos" w:hAnsi="Aptos"/>
                <w:sz w:val="16"/>
              </w:rPr>
              <w:t>Intensity or growth metrics may be blank</w:t>
            </w:r>
          </w:p>
        </w:tc>
      </w:tr>
      <w:tr>
        <w:tc>
          <w:tcPr>
            <w:tcW w:type="dxa" w:w="4752"/>
          </w:tcPr>
          <w:p>
            <w:r>
              <w:rPr>
                <w:rFonts w:ascii="Aptos" w:hAnsi="Aptos"/>
                <w:sz w:val="16"/>
              </w:rPr>
              <w:t>Low confidence</w:t>
            </w:r>
          </w:p>
        </w:tc>
        <w:tc>
          <w:tcPr>
            <w:tcW w:type="dxa" w:w="4752"/>
          </w:tcPr>
          <w:p>
            <w:r>
              <w:rPr>
                <w:rFonts w:ascii="Aptos" w:hAnsi="Aptos"/>
                <w:sz w:val="16"/>
              </w:rPr>
              <w:t>Confidence_Score below threshold</w:t>
            </w:r>
          </w:p>
        </w:tc>
        <w:tc>
          <w:tcPr>
            <w:tcW w:type="dxa" w:w="4752"/>
          </w:tcPr>
          <w:p>
            <w:r>
              <w:rPr>
                <w:rFonts w:ascii="Aptos" w:hAnsi="Aptos"/>
                <w:sz w:val="16"/>
              </w:rPr>
              <w:t>Prioritize data improvement</w:t>
            </w:r>
          </w:p>
        </w:tc>
      </w:tr>
    </w:tbl>
    <w:p/>
    <w:p>
      <w:pPr>
        <w:pStyle w:val="Heading1"/>
      </w:pPr>
      <w:r>
        <w:t>14. Advantages, Drawbacks, Assumptions, and Risks</w:t>
      </w:r>
    </w:p>
    <w:p>
      <w:pPr>
        <w:pStyle w:val="Heading2"/>
      </w:pPr>
      <w:r>
        <w:t>Advantages</w:t>
      </w:r>
    </w:p>
    <w:p>
      <w:pPr>
        <w:pStyle w:val="ListBullet"/>
      </w:pPr>
      <w:r>
        <w:t>Direct use of actual historical/current supplier emissions.</w:t>
      </w:r>
    </w:p>
    <w:p>
      <w:pPr>
        <w:pStyle w:val="ListBullet"/>
      </w:pPr>
      <w:r>
        <w:t>Avoids unnecessary estimates when emissions data is already complete.</w:t>
      </w:r>
    </w:p>
    <w:p>
      <w:pPr>
        <w:pStyle w:val="ListBullet"/>
      </w:pPr>
      <w:r>
        <w:t>Supports supplier-specific and industry decarbonization pathways.</w:t>
      </w:r>
    </w:p>
    <w:p>
      <w:pPr>
        <w:pStyle w:val="ListBullet"/>
      </w:pPr>
      <w:r>
        <w:t>Produces audit-friendly source, method, quality, and validation flags.</w:t>
      </w:r>
    </w:p>
    <w:p>
      <w:pPr>
        <w:pStyle w:val="ListBullet"/>
      </w:pPr>
      <w:r>
        <w:t>Scales across Python, Excel, and Qlik Sense.</w:t>
      </w:r>
    </w:p>
    <w:p>
      <w:pPr>
        <w:pStyle w:val="ListBullet"/>
      </w:pPr>
      <w:r>
        <w:t>Creates supplier risk and confidence views for procurement action.</w:t>
      </w:r>
    </w:p>
    <w:p>
      <w:pPr>
        <w:pStyle w:val="Heading2"/>
      </w:pPr>
      <w:r>
        <w:t>Drawbacks</w:t>
      </w:r>
    </w:p>
    <w:p>
      <w:pPr>
        <w:pStyle w:val="ListBullet"/>
      </w:pPr>
      <w:r>
        <w:t>Industry haircuts may not represent individual supplier operations.</w:t>
      </w:r>
    </w:p>
    <w:p>
      <w:pPr>
        <w:pStyle w:val="ListBullet"/>
      </w:pPr>
      <w:r>
        <w:t>Historical trend models can be distorted by one-time events, acquisitions, or reporting changes.</w:t>
      </w:r>
    </w:p>
    <w:p>
      <w:pPr>
        <w:pStyle w:val="ListBullet"/>
      </w:pPr>
      <w:r>
        <w:t>Scope 3 supplier data may have inconsistent boundaries across suppliers.</w:t>
      </w:r>
    </w:p>
    <w:p>
      <w:pPr>
        <w:pStyle w:val="ListBullet"/>
      </w:pPr>
      <w:r>
        <w:t>Carbon budget calculations depend on policy assumptions.</w:t>
      </w:r>
    </w:p>
    <w:p>
      <w:pPr>
        <w:pStyle w:val="Heading2"/>
      </w:pPr>
      <w:r>
        <w:t>Key assumptions</w:t>
      </w:r>
    </w:p>
    <w:p>
      <w:pPr>
        <w:pStyle w:val="ListBullet"/>
      </w:pPr>
      <w:r>
        <w:t>Historical and current supplier emissions are available for every supplier.</w:t>
      </w:r>
    </w:p>
    <w:p>
      <w:pPr>
        <w:pStyle w:val="ListBullet"/>
      </w:pPr>
      <w:r>
        <w:t>Supplied emissions are non-negative and aligned to the reporting period.</w:t>
      </w:r>
    </w:p>
    <w:p>
      <w:pPr>
        <w:pStyle w:val="ListBullet"/>
      </w:pPr>
      <w:r>
        <w:t>Spend and revenue values are aligned to the same currency and period when used for intensity.</w:t>
      </w:r>
    </w:p>
    <w:p>
      <w:pPr>
        <w:pStyle w:val="ListBullet"/>
      </w:pPr>
      <w:r>
        <w:t>Target reduction percentages are expressed as decimals, for example 0.42 for 42%.</w:t>
      </w:r>
    </w:p>
    <w:p>
      <w:pPr>
        <w:pStyle w:val="ListBullet"/>
      </w:pPr>
      <w:r>
        <w:t>Linear glide paths are acceptable for annual planning unless a science-based nonlinear pathway is provided.</w:t>
      </w:r>
    </w:p>
    <w:p>
      <w:pPr>
        <w:pStyle w:val="ListBullet"/>
      </w:pPr>
      <w:r>
        <w:t>Latest historical emissions are the starting point for forward forecasts.</w:t>
      </w:r>
    </w:p>
    <w:p>
      <w:pPr>
        <w:pStyle w:val="Heading2"/>
      </w:pPr>
      <w:r>
        <w:t>Risks</w:t>
      </w:r>
    </w:p>
    <w:p>
      <w:pPr>
        <w:pStyle w:val="ListBullet"/>
      </w:pPr>
      <w:r>
        <w:t>Supplier-reported data may be unaudited or use inconsistent methods.</w:t>
      </w:r>
    </w:p>
    <w:p>
      <w:pPr>
        <w:pStyle w:val="ListBullet"/>
      </w:pPr>
      <w:r>
        <w:t>Emission factors may become outdated.</w:t>
      </w:r>
    </w:p>
    <w:p>
      <w:pPr>
        <w:pStyle w:val="ListBullet"/>
      </w:pPr>
      <w:r>
        <w:t>Procurement spend changes may reflect price inflation rather than real activity growth.</w:t>
      </w:r>
    </w:p>
    <w:p>
      <w:pPr>
        <w:pStyle w:val="ListBullet"/>
      </w:pPr>
      <w:r>
        <w:t>Revenue-based intensity can be distorted by supplier margin changes.</w:t>
      </w:r>
    </w:p>
    <w:p>
      <w:pPr>
        <w:pStyle w:val="ListBullet"/>
      </w:pPr>
      <w:r>
        <w:t>Missing supplier target coverage can increase reliance on lower-confidence methods.</w:t>
      </w:r>
    </w:p>
    <w:p>
      <w:pPr>
        <w:pStyle w:val="Heading1"/>
      </w:pPr>
      <w:r>
        <w:t>15. Future Enhancements</w:t>
      </w:r>
    </w:p>
    <w:p>
      <w:pPr>
        <w:pStyle w:val="ListNumber"/>
      </w:pPr>
      <w:r>
        <w:t>Add region-specific emission factors and grid decarbonization curves.</w:t>
      </w:r>
    </w:p>
    <w:p>
      <w:pPr>
        <w:pStyle w:val="ListNumber"/>
      </w:pPr>
      <w:r>
        <w:t>Add nonlinear S-curve or science-based sectoral decarbonization pathways.</w:t>
      </w:r>
    </w:p>
    <w:p>
      <w:pPr>
        <w:pStyle w:val="ListNumber"/>
      </w:pPr>
      <w:r>
        <w:t>Add supplier-specific production volume denominators.</w:t>
      </w:r>
    </w:p>
    <w:p>
      <w:pPr>
        <w:pStyle w:val="ListNumber"/>
      </w:pPr>
      <w:r>
        <w:t>Add Monte Carlo confidence intervals for forecast uncertainty.</w:t>
      </w:r>
    </w:p>
    <w:p>
      <w:pPr>
        <w:pStyle w:val="ListNumber"/>
      </w:pPr>
      <w:r>
        <w:t>Add automated anomaly detection for emissions and spend.</w:t>
      </w:r>
    </w:p>
    <w:p>
      <w:pPr>
        <w:pStyle w:val="ListNumber"/>
      </w:pPr>
      <w:r>
        <w:t>Add scenario parameters for procurement growth, supplier switching, and renewable energy adoption.</w:t>
      </w:r>
    </w:p>
    <w:p>
      <w:pPr>
        <w:pStyle w:val="ListNumber"/>
      </w:pPr>
      <w:r>
        <w:t>Integrate external datasets such as CDP, SBTi, EcoVadis, or lifecycle assessment factors.</w:t>
      </w:r>
    </w:p>
    <w:p>
      <w:pPr>
        <w:pStyle w:val="ListNumber"/>
      </w:pPr>
      <w:r>
        <w:t>Add model backtesting using historical holdout years.</w:t>
      </w:r>
    </w:p>
    <w:p>
      <w:pPr>
        <w:pStyle w:val="ListNumber"/>
      </w:pPr>
      <w:r>
        <w:t>Add workflow controls for supplier engagement and data remediation.</w:t>
      </w:r>
    </w:p>
    <w:p>
      <w:pPr>
        <w:pStyle w:val="ListNumber"/>
      </w:pPr>
      <w:r>
        <w:t>Add auditable versioning for emission factors and target assumptions.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2B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808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5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