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Sheet 2 Front Dashboard Design and Development Steps</w:t>
      </w:r>
    </w:p>
    <w:p>
      <w:r>
        <w:t/>
      </w:r>
    </w:p>
    <w:p>
      <w:pPr>
        <w:pStyle w:val="Heading1"/>
      </w:pPr>
      <w:r>
        <w:t>Document purpose</w:t>
      </w:r>
    </w:p>
    <w:p>
      <w:r>
        <w:t/>
      </w:r>
    </w:p>
    <w:p>
      <w:r>
        <w:t>This document provides an end-to-end front-end build guide for the Qlik Sense</w:t>
      </w:r>
    </w:p>
    <w:p>
      <w:r>
        <w:t>dashboard: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Supply Chain Emissions Forecasting - What-If Analysis</w:t>
      </w:r>
    </w:p>
    <w:p>
      <w:pPr>
        <w:spacing w:before="0" w:after="0"/>
      </w:pPr>
      <w:r>
        <w:rPr>
          <w:rFonts w:ascii="Courier New" w:hAnsi="Courier New"/>
          <w:sz w:val="18"/>
        </w:rPr>
        <w:t>Multi-Supplier Scenario and Supplier-Specific Reduction Controls</w:t>
      </w:r>
    </w:p>
    <w:p>
      <w:r>
        <w:t/>
      </w:r>
    </w:p>
    <w:p>
      <w:r>
        <w:t>It explains how to design and develop each dashboard object shown in the Sheet 2</w:t>
      </w:r>
    </w:p>
    <w:p>
      <w:r>
        <w:t>mockup using native Qlik Sense objects and native Qlik expressions.</w:t>
      </w:r>
    </w:p>
    <w:p>
      <w:r>
        <w:t/>
      </w:r>
    </w:p>
    <w:p>
      <w:r>
        <w:t>Use this document together with:</w:t>
      </w:r>
    </w:p>
    <w:p>
      <w:r>
        <w:t/>
      </w:r>
    </w:p>
    <w:p>
      <w:pPr>
        <w:numPr>
          <w:ilvl w:val="0"/>
          <w:numId w:val="1"/>
        </w:numPr>
      </w:pPr>
      <w:r>
        <w:t>`qlik/sheet2_supplier_specific_what_if_load_script.qvs`</w:t>
      </w:r>
    </w:p>
    <w:p>
      <w:pPr>
        <w:numPr>
          <w:ilvl w:val="0"/>
          <w:numId w:val="1"/>
        </w:numPr>
      </w:pPr>
      <w:r>
        <w:t>`docs/qlik_sheet2_expression_catalog.md`</w:t>
      </w:r>
    </w:p>
    <w:p>
      <w:pPr>
        <w:numPr>
          <w:ilvl w:val="0"/>
          <w:numId w:val="1"/>
        </w:numPr>
      </w:pPr>
      <w:r>
        <w:t>`docs/qlik_sheet2_design_development_guide.md`</w:t>
      </w:r>
    </w:p>
    <w:p>
      <w:r>
        <w:t/>
      </w:r>
    </w:p>
    <w:p>
      <w:r>
        <w:t>No third-party extensions are required.</w:t>
      </w:r>
    </w:p>
    <w:p>
      <w:r>
        <w:t/>
      </w:r>
    </w:p>
    <w:p>
      <w:pPr>
        <w:pStyle w:val="Heading1"/>
      </w:pPr>
      <w:r>
        <w:t>1. Front-end prerequisites</w:t>
      </w:r>
    </w:p>
    <w:p>
      <w:r>
        <w:t/>
      </w:r>
    </w:p>
    <w:p>
      <w:r>
        <w:t>Before starting the front-end build:</w:t>
      </w:r>
    </w:p>
    <w:p>
      <w:r>
        <w:t/>
      </w:r>
    </w:p>
    <w:p>
      <w:r>
        <w:t>1. Create or open the Qlik Sense app:</w:t>
      </w:r>
    </w:p>
    <w:p>
      <w:r>
        <w:t/>
      </w:r>
    </w:p>
    <w:p>
      <w:r>
        <w:t xml:space="preserve">   text</w:t>
      </w:r>
    </w:p>
    <w:p>
      <w:r>
        <w:t xml:space="preserve">   Supply Chain Emissions Forecasting - Supplier Scenario What-If</w:t>
      </w:r>
    </w:p>
    <w:p>
      <w:r>
        <w:t xml:space="preserve">   </w:t>
      </w:r>
    </w:p>
    <w:p>
      <w:r>
        <w:t/>
      </w:r>
    </w:p>
    <w:p>
      <w:r>
        <w:t>2. Paste and reload the data model script:</w:t>
      </w:r>
    </w:p>
    <w:p>
      <w:r>
        <w:t/>
      </w:r>
    </w:p>
    <w:p>
      <w:r>
        <w:t xml:space="preserve">   text</w:t>
      </w:r>
    </w:p>
    <w:p>
      <w:r>
        <w:t xml:space="preserve">   qlik/sheet2_supplier_specific_what_if_load_script.qvs</w:t>
      </w:r>
    </w:p>
    <w:p>
      <w:r>
        <w:t xml:space="preserve">   </w:t>
      </w:r>
    </w:p>
    <w:p>
      <w:r>
        <w:t/>
      </w:r>
    </w:p>
    <w:p>
      <w:r>
        <w:t>3. Create all helper variables from:</w:t>
      </w:r>
    </w:p>
    <w:p>
      <w:r>
        <w:t/>
      </w:r>
    </w:p>
    <w:p>
      <w:r>
        <w:t xml:space="preserve">   text</w:t>
      </w:r>
    </w:p>
    <w:p>
      <w:r>
        <w:t xml:space="preserve">   docs/qlik_sheet2_expression_catalog.md</w:t>
      </w:r>
    </w:p>
    <w:p>
      <w:r>
        <w:t xml:space="preserve">   </w:t>
      </w:r>
    </w:p>
    <w:p>
      <w:r>
        <w:t/>
      </w:r>
    </w:p>
    <w:p>
      <w:r>
        <w:t>4. Create master dimensions and master measures from the same expression</w:t>
      </w:r>
    </w:p>
    <w:p>
      <w:r>
        <w:t xml:space="preserve">   catalog.</w:t>
      </w:r>
    </w:p>
    <w:p>
      <w:r>
        <w:t>5. Confirm the app contains these tables:</w:t>
      </w:r>
    </w:p>
    <w:p>
      <w:pPr>
        <w:numPr>
          <w:ilvl w:val="0"/>
          <w:numId w:val="1"/>
        </w:numPr>
      </w:pPr>
      <w:r>
        <w:t>`Supplier`</w:t>
      </w:r>
    </w:p>
    <w:p>
      <w:pPr>
        <w:numPr>
          <w:ilvl w:val="0"/>
          <w:numId w:val="1"/>
        </w:numPr>
      </w:pPr>
      <w:r>
        <w:t>`Supplier_Group_Bridge`</w:t>
      </w:r>
    </w:p>
    <w:p>
      <w:pPr>
        <w:numPr>
          <w:ilvl w:val="0"/>
          <w:numId w:val="1"/>
        </w:numPr>
      </w:pPr>
      <w:r>
        <w:t>`Supplier_Adjustment_Slot`</w:t>
      </w:r>
    </w:p>
    <w:p>
      <w:pPr>
        <w:numPr>
          <w:ilvl w:val="0"/>
          <w:numId w:val="1"/>
        </w:numPr>
      </w:pPr>
      <w:r>
        <w:t>`Scenario_Year`</w:t>
      </w:r>
    </w:p>
    <w:p>
      <w:pPr>
        <w:numPr>
          <w:ilvl w:val="0"/>
          <w:numId w:val="1"/>
        </w:numPr>
      </w:pPr>
      <w:r>
        <w:t>`Scenario_Profile`</w:t>
      </w:r>
    </w:p>
    <w:p>
      <w:pPr>
        <w:numPr>
          <w:ilvl w:val="0"/>
          <w:numId w:val="1"/>
        </w:numPr>
      </w:pPr>
      <w:r>
        <w:t>`Forecast_Method_Color`</w:t>
      </w:r>
    </w:p>
    <w:p>
      <w:pPr>
        <w:numPr>
          <w:ilvl w:val="0"/>
          <w:numId w:val="1"/>
        </w:numPr>
      </w:pPr>
      <w:r>
        <w:t>`What_If_Assumptions`</w:t>
      </w:r>
    </w:p>
    <w:p>
      <w:r>
        <w:t/>
      </w:r>
    </w:p>
    <w:p>
      <w:pPr>
        <w:pStyle w:val="Heading1"/>
      </w:pPr>
      <w:r>
        <w:t>2. Sheet canvas setup</w:t>
      </w:r>
    </w:p>
    <w:p>
      <w:r>
        <w:t/>
      </w:r>
    </w:p>
    <w:p>
      <w:pPr>
        <w:pStyle w:val="Heading2"/>
      </w:pPr>
      <w:r>
        <w:t>Object type</w:t>
      </w:r>
    </w:p>
    <w:p>
      <w:r>
        <w:t/>
      </w:r>
    </w:p>
    <w:p>
      <w:r>
        <w:t>Native Qlik Sense sheet.</w:t>
      </w:r>
    </w:p>
    <w:p>
      <w:r>
        <w:t/>
      </w:r>
    </w:p>
    <w:p>
      <w:pPr>
        <w:pStyle w:val="Heading2"/>
      </w:pPr>
      <w:r>
        <w:t>Sheet name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Sheet 2 - Multi-Supplier What-If Scenario</w:t>
      </w:r>
    </w:p>
    <w:p>
      <w:r>
        <w:t/>
      </w:r>
    </w:p>
    <w:p>
      <w:pPr>
        <w:pStyle w:val="Heading2"/>
      </w:pPr>
      <w:r>
        <w:t>Layout intent</w:t>
      </w:r>
    </w:p>
    <w:p>
      <w:r>
        <w:t/>
      </w:r>
    </w:p>
    <w:p>
      <w:r>
        <w:t>Use a dashboard layout with five zones:</w:t>
      </w:r>
    </w:p>
    <w:p>
      <w:r>
        <w:t/>
      </w:r>
    </w:p>
    <w:p>
      <w:r>
        <w:t>1. Header bar</w:t>
      </w:r>
    </w:p>
    <w:p>
      <w:r>
        <w:t>2. Left control panel</w:t>
      </w:r>
    </w:p>
    <w:p>
      <w:r>
        <w:t>3. KPI row</w:t>
      </w:r>
    </w:p>
    <w:p>
      <w:r>
        <w:t>4. Main analytical canvas</w:t>
      </w:r>
    </w:p>
    <w:p>
      <w:r>
        <w:t>5. Bottom forecast table</w:t>
      </w:r>
    </w:p>
    <w:p>
      <w:r>
        <w:t/>
      </w:r>
    </w:p>
    <w:p>
      <w:pPr>
        <w:pStyle w:val="Heading2"/>
      </w:pPr>
      <w:r>
        <w:t>Recommended grid</w:t>
      </w:r>
    </w:p>
    <w:p>
      <w:r>
        <w:t/>
      </w:r>
    </w:p>
    <w:p>
      <w:r>
        <w:t>Use the Qlik Sense responsive grid and allocate space approximately as follows: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| Area | Width | Height |</w:t>
      </w:r>
    </w:p>
    <w:p>
      <w:pPr>
        <w:spacing w:before="0" w:after="0"/>
      </w:pPr>
      <w:r>
        <w:rPr>
          <w:rFonts w:ascii="Courier New" w:hAnsi="Courier New"/>
          <w:sz w:val="18"/>
        </w:rPr>
        <w:t>| --- | ---: | ---: |</w:t>
      </w:r>
    </w:p>
    <w:p>
      <w:pPr>
        <w:spacing w:before="0" w:after="0"/>
      </w:pPr>
      <w:r>
        <w:rPr>
          <w:rFonts w:ascii="Courier New" w:hAnsi="Courier New"/>
          <w:sz w:val="18"/>
        </w:rPr>
        <w:t>| Header | 100% | 7% |</w:t>
      </w:r>
    </w:p>
    <w:p>
      <w:pPr>
        <w:spacing w:before="0" w:after="0"/>
      </w:pPr>
      <w:r>
        <w:rPr>
          <w:rFonts w:ascii="Courier New" w:hAnsi="Courier New"/>
          <w:sz w:val="18"/>
        </w:rPr>
        <w:t>| Left control panel | 22% | 86% |</w:t>
      </w:r>
    </w:p>
    <w:p>
      <w:pPr>
        <w:spacing w:before="0" w:after="0"/>
      </w:pPr>
      <w:r>
        <w:rPr>
          <w:rFonts w:ascii="Courier New" w:hAnsi="Courier New"/>
          <w:sz w:val="18"/>
        </w:rPr>
        <w:t>| KPI row | 78% | 13% |</w:t>
      </w:r>
    </w:p>
    <w:p>
      <w:pPr>
        <w:spacing w:before="0" w:after="0"/>
      </w:pPr>
      <w:r>
        <w:rPr>
          <w:rFonts w:ascii="Courier New" w:hAnsi="Courier New"/>
          <w:sz w:val="18"/>
        </w:rPr>
        <w:t>| Main line chart | 56% | 55% |</w:t>
      </w:r>
    </w:p>
    <w:p>
      <w:pPr>
        <w:spacing w:before="0" w:after="0"/>
      </w:pPr>
      <w:r>
        <w:rPr>
          <w:rFonts w:ascii="Courier New" w:hAnsi="Courier New"/>
          <w:sz w:val="18"/>
        </w:rPr>
        <w:t>| Right insight panel | 22% | 55% |</w:t>
      </w:r>
    </w:p>
    <w:p>
      <w:pPr>
        <w:spacing w:before="0" w:after="0"/>
      </w:pPr>
      <w:r>
        <w:rPr>
          <w:rFonts w:ascii="Courier New" w:hAnsi="Courier New"/>
          <w:sz w:val="18"/>
        </w:rPr>
        <w:t>| Bottom table | 78% | 24% |</w:t>
      </w:r>
    </w:p>
    <w:p>
      <w:r>
        <w:t/>
      </w:r>
    </w:p>
    <w:p>
      <w:pPr>
        <w:pStyle w:val="Heading2"/>
      </w:pPr>
      <w:r>
        <w:t>Global style</w:t>
      </w:r>
    </w:p>
    <w:p>
      <w:r>
        <w:t/>
      </w:r>
    </w:p>
    <w:p>
      <w:r>
        <w:t>Use a clean ESG dashboard style:</w:t>
      </w:r>
    </w:p>
    <w:p>
      <w:r>
        <w:t/>
      </w:r>
    </w:p>
    <w:p>
      <w:pPr>
        <w:numPr>
          <w:ilvl w:val="0"/>
          <w:numId w:val="1"/>
        </w:numPr>
      </w:pPr>
      <w:r>
        <w:t>Page background: `#F7F9FC`</w:t>
      </w:r>
    </w:p>
    <w:p>
      <w:pPr>
        <w:numPr>
          <w:ilvl w:val="0"/>
          <w:numId w:val="1"/>
        </w:numPr>
      </w:pPr>
      <w:r>
        <w:t>Header background: `#061F3D`</w:t>
      </w:r>
    </w:p>
    <w:p>
      <w:pPr>
        <w:numPr>
          <w:ilvl w:val="0"/>
          <w:numId w:val="1"/>
        </w:numPr>
      </w:pPr>
      <w:r>
        <w:t>Card background: `#FFFFFF`</w:t>
      </w:r>
    </w:p>
    <w:p>
      <w:pPr>
        <w:numPr>
          <w:ilvl w:val="0"/>
          <w:numId w:val="1"/>
        </w:numPr>
      </w:pPr>
      <w:r>
        <w:t>Border color: `#E5E7EB`</w:t>
      </w:r>
    </w:p>
    <w:p>
      <w:pPr>
        <w:numPr>
          <w:ilvl w:val="0"/>
          <w:numId w:val="1"/>
        </w:numPr>
      </w:pPr>
      <w:r>
        <w:t>Primary navy: `#0B2E5F`</w:t>
      </w:r>
    </w:p>
    <w:p>
      <w:pPr>
        <w:numPr>
          <w:ilvl w:val="0"/>
          <w:numId w:val="1"/>
        </w:numPr>
      </w:pPr>
      <w:r>
        <w:t>ESG green: `#16A34A`</w:t>
      </w:r>
    </w:p>
    <w:p>
      <w:pPr>
        <w:numPr>
          <w:ilvl w:val="0"/>
          <w:numId w:val="1"/>
        </w:numPr>
      </w:pPr>
      <w:r>
        <w:t>Forecast blue: `#2563EB`</w:t>
      </w:r>
    </w:p>
    <w:p>
      <w:pPr>
        <w:numPr>
          <w:ilvl w:val="0"/>
          <w:numId w:val="1"/>
        </w:numPr>
      </w:pPr>
      <w:r>
        <w:t>Warning orange: `#FB8C00`</w:t>
      </w:r>
    </w:p>
    <w:p>
      <w:pPr>
        <w:numPr>
          <w:ilvl w:val="0"/>
          <w:numId w:val="1"/>
        </w:numPr>
      </w:pPr>
      <w:r>
        <w:t>High-growth red: `#DC2626`</w:t>
      </w:r>
    </w:p>
    <w:p>
      <w:pPr>
        <w:numPr>
          <w:ilvl w:val="0"/>
          <w:numId w:val="1"/>
        </w:numPr>
      </w:pPr>
      <w:r>
        <w:t>Neutral gray: `#6B7280`</w:t>
      </w:r>
    </w:p>
    <w:p>
      <w:r>
        <w:t/>
      </w:r>
    </w:p>
    <w:p>
      <w:pPr>
        <w:pStyle w:val="Heading1"/>
      </w:pPr>
      <w:r>
        <w:t>3. Object 1 - Header bar</w:t>
      </w:r>
    </w:p>
    <w:p>
      <w:r>
        <w:t/>
      </w:r>
    </w:p>
    <w:p>
      <w:pPr>
        <w:pStyle w:val="Heading2"/>
      </w:pPr>
      <w:r>
        <w:t>Business purpose</w:t>
      </w:r>
    </w:p>
    <w:p>
      <w:r>
        <w:t/>
      </w:r>
    </w:p>
    <w:p>
      <w:r>
        <w:t>Provides the dashboard title, scenario context, navigation identity, and last</w:t>
      </w:r>
    </w:p>
    <w:p>
      <w:r>
        <w:t>updated date.</w:t>
      </w:r>
    </w:p>
    <w:p>
      <w:r>
        <w:t/>
      </w:r>
    </w:p>
    <w:p>
      <w:pPr>
        <w:pStyle w:val="Heading2"/>
      </w:pPr>
      <w:r>
        <w:t>Native object</w:t>
      </w:r>
    </w:p>
    <w:p>
      <w:r>
        <w:t/>
      </w:r>
    </w:p>
    <w:p>
      <w:r>
        <w:t>Text and image object.</w:t>
      </w:r>
    </w:p>
    <w:p>
      <w:r>
        <w:t/>
      </w:r>
    </w:p>
    <w:p>
      <w:pPr>
        <w:pStyle w:val="Heading2"/>
      </w:pPr>
      <w:r>
        <w:t>Placement</w:t>
      </w:r>
    </w:p>
    <w:p>
      <w:r>
        <w:t/>
      </w:r>
    </w:p>
    <w:p>
      <w:r>
        <w:t>Top full-width header.</w:t>
      </w:r>
    </w:p>
    <w:p>
      <w:r>
        <w:t/>
      </w:r>
    </w:p>
    <w:p>
      <w:pPr>
        <w:pStyle w:val="Heading2"/>
      </w:pPr>
      <w:r>
        <w:t>Title text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Supply Chain Emissions Forecasting - What-If Analysis</w:t>
      </w:r>
    </w:p>
    <w:p>
      <w:r>
        <w:t/>
      </w:r>
    </w:p>
    <w:p>
      <w:pPr>
        <w:pStyle w:val="Heading2"/>
      </w:pPr>
      <w:r>
        <w:t>Subtitle text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Multi-Supplier Scenario and Supplier-Specific Reduction Controls</w:t>
      </w:r>
    </w:p>
    <w:p>
      <w:r>
        <w:t/>
      </w:r>
    </w:p>
    <w:p>
      <w:pPr>
        <w:pStyle w:val="Heading2"/>
      </w:pPr>
      <w:r>
        <w:t>Last updated expression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='Last updated: ' &amp; Date(Today(), 'MMM DD, YYYY')</w:t>
      </w:r>
    </w:p>
    <w:p>
      <w:r>
        <w:t/>
      </w:r>
    </w:p>
    <w:p>
      <w:pPr>
        <w:pStyle w:val="Heading2"/>
      </w:pPr>
      <w:r>
        <w:t>Design steps</w:t>
      </w:r>
    </w:p>
    <w:p>
      <w:r>
        <w:t/>
      </w:r>
    </w:p>
    <w:p>
      <w:r>
        <w:t>1. Open the sheet in edit mode.</w:t>
      </w:r>
    </w:p>
    <w:p>
      <w:r>
        <w:t>2. Drag a native Text and image object to the top row.</w:t>
      </w:r>
    </w:p>
    <w:p>
      <w:r>
        <w:t>3. Add the title as the primary text.</w:t>
      </w:r>
    </w:p>
    <w:p>
      <w:r>
        <w:t>4. Add the subtitle below the title.</w:t>
      </w:r>
    </w:p>
    <w:p>
      <w:r>
        <w:t>5. Add the last updated expression on the right side.</w:t>
      </w:r>
    </w:p>
    <w:p>
      <w:r>
        <w:t>6. Apply dark navy background.</w:t>
      </w:r>
    </w:p>
    <w:p>
      <w:r>
        <w:t>7. Set title color to white and subtitle color to light gray.</w:t>
      </w:r>
    </w:p>
    <w:p>
      <w:r>
        <w:t/>
      </w:r>
    </w:p>
    <w:p>
      <w:pPr>
        <w:pStyle w:val="Heading2"/>
      </w:pPr>
      <w:r>
        <w:t>Formatting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| Element | Setting |</w:t>
      </w:r>
    </w:p>
    <w:p>
      <w:pPr>
        <w:spacing w:before="0" w:after="0"/>
      </w:pPr>
      <w:r>
        <w:rPr>
          <w:rFonts w:ascii="Courier New" w:hAnsi="Courier New"/>
          <w:sz w:val="18"/>
        </w:rPr>
        <w:t>| --- | --- |</w:t>
      </w:r>
    </w:p>
    <w:p>
      <w:pPr>
        <w:spacing w:before="0" w:after="0"/>
      </w:pPr>
      <w:r>
        <w:rPr>
          <w:rFonts w:ascii="Courier New" w:hAnsi="Courier New"/>
          <w:sz w:val="18"/>
        </w:rPr>
        <w:t>| Background | `#061F3D` |</w:t>
      </w:r>
    </w:p>
    <w:p>
      <w:pPr>
        <w:spacing w:before="0" w:after="0"/>
      </w:pPr>
      <w:r>
        <w:rPr>
          <w:rFonts w:ascii="Courier New" w:hAnsi="Courier New"/>
          <w:sz w:val="18"/>
        </w:rPr>
        <w:t>| Title font | 20 to 24 px, bold, white |</w:t>
      </w:r>
    </w:p>
    <w:p>
      <w:pPr>
        <w:spacing w:before="0" w:after="0"/>
      </w:pPr>
      <w:r>
        <w:rPr>
          <w:rFonts w:ascii="Courier New" w:hAnsi="Courier New"/>
          <w:sz w:val="18"/>
        </w:rPr>
        <w:t>| Subtitle font | 10 to 12 px, italic, white |</w:t>
      </w:r>
    </w:p>
    <w:p>
      <w:pPr>
        <w:spacing w:before="0" w:after="0"/>
      </w:pPr>
      <w:r>
        <w:rPr>
          <w:rFonts w:ascii="Courier New" w:hAnsi="Courier New"/>
          <w:sz w:val="18"/>
        </w:rPr>
        <w:t>| Last updated font | 10 px, white |</w:t>
      </w:r>
    </w:p>
    <w:p>
      <w:r>
        <w:t/>
      </w:r>
    </w:p>
    <w:p>
      <w:pPr>
        <w:pStyle w:val="Heading1"/>
      </w:pPr>
      <w:r>
        <w:t>4. Object 2 - Overall Additional Reduction control</w:t>
      </w:r>
    </w:p>
    <w:p>
      <w:r>
        <w:t/>
      </w:r>
    </w:p>
    <w:p>
      <w:pPr>
        <w:pStyle w:val="Heading2"/>
      </w:pPr>
      <w:r>
        <w:t>Business purpose</w:t>
      </w:r>
    </w:p>
    <w:p>
      <w:r>
        <w:t/>
      </w:r>
    </w:p>
    <w:p>
      <w:r>
        <w:t>Lets the user apply an extra emissions reduction percentage across the selected</w:t>
      </w:r>
    </w:p>
    <w:p>
      <w:r>
        <w:t>supplier population.</w:t>
      </w:r>
    </w:p>
    <w:p>
      <w:r>
        <w:t/>
      </w:r>
    </w:p>
    <w:p>
      <w:pPr>
        <w:pStyle w:val="Heading2"/>
      </w:pPr>
      <w:r>
        <w:t>Native object</w:t>
      </w:r>
    </w:p>
    <w:p>
      <w:r>
        <w:t/>
      </w:r>
    </w:p>
    <w:p>
      <w:r>
        <w:t>Qlik-managed Variable input slider. If the Dashboard bundle is disabled, use</w:t>
      </w:r>
    </w:p>
    <w:p>
      <w:r>
        <w:t>Variable overview or bookmarks.</w:t>
      </w:r>
    </w:p>
    <w:p>
      <w:r>
        <w:t/>
      </w:r>
    </w:p>
    <w:p>
      <w:pPr>
        <w:pStyle w:val="Heading2"/>
      </w:pPr>
      <w:r>
        <w:t>Variable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vOverallAdditionalReductionPct</w:t>
      </w:r>
    </w:p>
    <w:p>
      <w:r>
        <w:t/>
      </w:r>
    </w:p>
    <w:p>
      <w:pPr>
        <w:pStyle w:val="Heading2"/>
      </w:pPr>
      <w:r>
        <w:t>Placement</w:t>
      </w:r>
    </w:p>
    <w:p>
      <w:r>
        <w:t/>
      </w:r>
    </w:p>
    <w:p>
      <w:r>
        <w:t>Top of the left control panel.</w:t>
      </w:r>
    </w:p>
    <w:p>
      <w:r>
        <w:t/>
      </w:r>
    </w:p>
    <w:p>
      <w:pPr>
        <w:pStyle w:val="Heading2"/>
      </w:pPr>
      <w:r>
        <w:t>Slider settings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| Property | Value |</w:t>
      </w:r>
    </w:p>
    <w:p>
      <w:pPr>
        <w:spacing w:before="0" w:after="0"/>
      </w:pPr>
      <w:r>
        <w:rPr>
          <w:rFonts w:ascii="Courier New" w:hAnsi="Courier New"/>
          <w:sz w:val="18"/>
        </w:rPr>
        <w:t>| --- | --- |</w:t>
      </w:r>
    </w:p>
    <w:p>
      <w:pPr>
        <w:spacing w:before="0" w:after="0"/>
      </w:pPr>
      <w:r>
        <w:rPr>
          <w:rFonts w:ascii="Courier New" w:hAnsi="Courier New"/>
          <w:sz w:val="18"/>
        </w:rPr>
        <w:t>| Input type | Slider |</w:t>
      </w:r>
    </w:p>
    <w:p>
      <w:pPr>
        <w:spacing w:before="0" w:after="0"/>
      </w:pPr>
      <w:r>
        <w:rPr>
          <w:rFonts w:ascii="Courier New" w:hAnsi="Courier New"/>
          <w:sz w:val="18"/>
        </w:rPr>
        <w:t>| Minimum | `0` |</w:t>
      </w:r>
    </w:p>
    <w:p>
      <w:pPr>
        <w:spacing w:before="0" w:after="0"/>
      </w:pPr>
      <w:r>
        <w:rPr>
          <w:rFonts w:ascii="Courier New" w:hAnsi="Courier New"/>
          <w:sz w:val="18"/>
        </w:rPr>
        <w:t>| Maximum | `0.30` or `0.50` |</w:t>
      </w:r>
    </w:p>
    <w:p>
      <w:pPr>
        <w:spacing w:before="0" w:after="0"/>
      </w:pPr>
      <w:r>
        <w:rPr>
          <w:rFonts w:ascii="Courier New" w:hAnsi="Courier New"/>
          <w:sz w:val="18"/>
        </w:rPr>
        <w:t>| Step | `0.01` |</w:t>
      </w:r>
    </w:p>
    <w:p>
      <w:pPr>
        <w:spacing w:before="0" w:after="0"/>
      </w:pPr>
      <w:r>
        <w:rPr>
          <w:rFonts w:ascii="Courier New" w:hAnsi="Courier New"/>
          <w:sz w:val="18"/>
        </w:rPr>
        <w:t>| Default | `0.12` |</w:t>
      </w:r>
    </w:p>
    <w:p>
      <w:pPr>
        <w:spacing w:before="0" w:after="0"/>
      </w:pPr>
      <w:r>
        <w:rPr>
          <w:rFonts w:ascii="Courier New" w:hAnsi="Courier New"/>
          <w:sz w:val="18"/>
        </w:rPr>
        <w:t>| Display | Percentage |</w:t>
      </w:r>
    </w:p>
    <w:p>
      <w:r>
        <w:t/>
      </w:r>
    </w:p>
    <w:p>
      <w:pPr>
        <w:pStyle w:val="Heading2"/>
      </w:pPr>
      <w:r>
        <w:t>Display expression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=Num($(vOverallAdditionalReductionPct), '0%')</w:t>
      </w:r>
    </w:p>
    <w:p>
      <w:r>
        <w:t/>
      </w:r>
    </w:p>
    <w:p>
      <w:pPr>
        <w:pStyle w:val="Heading2"/>
      </w:pPr>
      <w:r>
        <w:t>Design steps</w:t>
      </w:r>
    </w:p>
    <w:p>
      <w:r>
        <w:t/>
      </w:r>
    </w:p>
    <w:p>
      <w:r>
        <w:t>1. Add a small Text and image object with the title:</w:t>
      </w:r>
    </w:p>
    <w:p>
      <w:r>
        <w:t/>
      </w:r>
    </w:p>
    <w:p>
      <w:r>
        <w:t xml:space="preserve">   text</w:t>
      </w:r>
    </w:p>
    <w:p>
      <w:r>
        <w:t xml:space="preserve">   Overall Additional Reduction (%)</w:t>
      </w:r>
    </w:p>
    <w:p>
      <w:r>
        <w:t xml:space="preserve">   </w:t>
      </w:r>
    </w:p>
    <w:p>
      <w:r>
        <w:t/>
      </w:r>
    </w:p>
    <w:p>
      <w:r>
        <w:t>2. Add the Variable input object below the title.</w:t>
      </w:r>
    </w:p>
    <w:p>
      <w:r>
        <w:t>3. Bind it to vOverallAdditionalReductionPct.</w:t>
      </w:r>
    </w:p>
    <w:p>
      <w:r>
        <w:t>4. Set slider min, max, step, and default value.</w:t>
      </w:r>
    </w:p>
    <w:p>
      <w:r>
        <w:t>5. Add a center value label using the display expression.</w:t>
      </w:r>
    </w:p>
    <w:p>
      <w:r>
        <w:t>6. Add helper text:</w:t>
      </w:r>
    </w:p>
    <w:p>
      <w:r>
        <w:t/>
      </w:r>
    </w:p>
    <w:p>
      <w:r>
        <w:t xml:space="preserve">   text</w:t>
      </w:r>
    </w:p>
    <w:p>
      <w:r>
        <w:t xml:space="preserve">   Evenly distributed across all suppliers</w:t>
      </w:r>
    </w:p>
    <w:p>
      <w:r>
        <w:t xml:space="preserve">   </w:t>
      </w:r>
    </w:p>
    <w:p>
      <w:r>
        <w:t/>
      </w:r>
    </w:p>
    <w:p>
      <w:pPr>
        <w:pStyle w:val="Heading2"/>
      </w:pPr>
      <w:r>
        <w:t>Formatting</w:t>
      </w:r>
    </w:p>
    <w:p>
      <w:r>
        <w:t/>
      </w:r>
    </w:p>
    <w:p>
      <w:pPr>
        <w:numPr>
          <w:ilvl w:val="0"/>
          <w:numId w:val="1"/>
        </w:numPr>
      </w:pPr>
      <w:r>
        <w:t>Slider active color: green</w:t>
      </w:r>
    </w:p>
    <w:p>
      <w:pPr>
        <w:numPr>
          <w:ilvl w:val="0"/>
          <w:numId w:val="1"/>
        </w:numPr>
      </w:pPr>
      <w:r>
        <w:t>Value text: large green, 24 to 28 px</w:t>
      </w:r>
    </w:p>
    <w:p>
      <w:pPr>
        <w:numPr>
          <w:ilvl w:val="0"/>
          <w:numId w:val="1"/>
        </w:numPr>
      </w:pPr>
      <w:r>
        <w:t>Helper text: 9 px gray</w:t>
      </w:r>
    </w:p>
    <w:p>
      <w:r>
        <w:t/>
      </w:r>
    </w:p>
    <w:p>
      <w:pPr>
        <w:pStyle w:val="Heading1"/>
      </w:pPr>
      <w:r>
        <w:t>5. Object 3 - Forecast Method filter</w:t>
      </w:r>
    </w:p>
    <w:p>
      <w:r>
        <w:t/>
      </w:r>
    </w:p>
    <w:p>
      <w:pPr>
        <w:pStyle w:val="Heading2"/>
      </w:pPr>
      <w:r>
        <w:t>Business purpose</w:t>
      </w:r>
    </w:p>
    <w:p>
      <w:r>
        <w:t/>
      </w:r>
    </w:p>
    <w:p>
      <w:r>
        <w:t>Allows users to compare suppliers with disclosed supplier targets against</w:t>
      </w:r>
    </w:p>
    <w:p>
      <w:r>
        <w:t>suppliers using expert judgement assumptions.</w:t>
      </w:r>
    </w:p>
    <w:p>
      <w:r>
        <w:t/>
      </w:r>
    </w:p>
    <w:p>
      <w:pPr>
        <w:pStyle w:val="Heading2"/>
      </w:pPr>
      <w:r>
        <w:t>Native object</w:t>
      </w:r>
    </w:p>
    <w:p>
      <w:r>
        <w:t/>
      </w:r>
    </w:p>
    <w:p>
      <w:r>
        <w:t>Filter pane.</w:t>
      </w:r>
    </w:p>
    <w:p>
      <w:r>
        <w:t/>
      </w:r>
    </w:p>
    <w:p>
      <w:pPr>
        <w:pStyle w:val="Heading2"/>
      </w:pPr>
      <w:r>
        <w:t>Field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[Forecast Method]</w:t>
      </w:r>
    </w:p>
    <w:p>
      <w:r>
        <w:t/>
      </w:r>
    </w:p>
    <w:p>
      <w:pPr>
        <w:pStyle w:val="Heading2"/>
      </w:pPr>
      <w:r>
        <w:t>Placement</w:t>
      </w:r>
    </w:p>
    <w:p>
      <w:r>
        <w:t/>
      </w:r>
    </w:p>
    <w:p>
      <w:r>
        <w:t>Left control panel, below the overall reduction slider.</w:t>
      </w:r>
    </w:p>
    <w:p>
      <w:r>
        <w:t/>
      </w:r>
    </w:p>
    <w:p>
      <w:pPr>
        <w:pStyle w:val="Heading2"/>
      </w:pPr>
      <w:r>
        <w:t>Design steps</w:t>
      </w:r>
    </w:p>
    <w:p>
      <w:r>
        <w:t/>
      </w:r>
    </w:p>
    <w:p>
      <w:r>
        <w:t>1. Drag a Filter pane object below the overall reduction control.</w:t>
      </w:r>
    </w:p>
    <w:p>
      <w:r>
        <w:t>2. Add field [Forecast Method].</w:t>
      </w:r>
    </w:p>
    <w:p>
      <w:r>
        <w:t>3. Set title to:</w:t>
      </w:r>
    </w:p>
    <w:p>
      <w:r>
        <w:t/>
      </w:r>
    </w:p>
    <w:p>
      <w:r>
        <w:t xml:space="preserve">   text</w:t>
      </w:r>
    </w:p>
    <w:p>
      <w:r>
        <w:t xml:space="preserve">   Forecast Method</w:t>
      </w:r>
    </w:p>
    <w:p>
      <w:r>
        <w:t xml:space="preserve">   </w:t>
      </w:r>
    </w:p>
    <w:p>
      <w:r>
        <w:t/>
      </w:r>
    </w:p>
    <w:p>
      <w:r>
        <w:t>4. Enable single or multi-select based on business preference.</w:t>
      </w:r>
    </w:p>
    <w:p>
      <w:r>
        <w:t>5. Optionally set the default selection to both methods.</w:t>
      </w:r>
    </w:p>
    <w:p>
      <w:r>
        <w:t/>
      </w:r>
    </w:p>
    <w:p>
      <w:pPr>
        <w:pStyle w:val="Heading2"/>
      </w:pPr>
      <w:r>
        <w:t>Formatting</w:t>
      </w:r>
    </w:p>
    <w:p>
      <w:r>
        <w:t/>
      </w:r>
    </w:p>
    <w:p>
      <w:pPr>
        <w:numPr>
          <w:ilvl w:val="0"/>
          <w:numId w:val="1"/>
        </w:numPr>
      </w:pPr>
      <w:r>
        <w:t>Compact dropdown style if available.</w:t>
      </w:r>
    </w:p>
    <w:p>
      <w:pPr>
        <w:numPr>
          <w:ilvl w:val="0"/>
          <w:numId w:val="1"/>
        </w:numPr>
      </w:pPr>
      <w:r>
        <w:t>White background.</w:t>
      </w:r>
    </w:p>
    <w:p>
      <w:pPr>
        <w:numPr>
          <w:ilvl w:val="0"/>
          <w:numId w:val="1"/>
        </w:numPr>
      </w:pPr>
      <w:r>
        <w:t>Thin border.</w:t>
      </w:r>
    </w:p>
    <w:p>
      <w:r>
        <w:t/>
      </w:r>
    </w:p>
    <w:p>
      <w:pPr>
        <w:pStyle w:val="Heading1"/>
      </w:pPr>
      <w:r>
        <w:t>6. Object 4 - Supplier search filter</w:t>
      </w:r>
    </w:p>
    <w:p>
      <w:r>
        <w:t/>
      </w:r>
    </w:p>
    <w:p>
      <w:pPr>
        <w:pStyle w:val="Heading2"/>
      </w:pPr>
      <w:r>
        <w:t>Business purpose</w:t>
      </w:r>
    </w:p>
    <w:p>
      <w:r>
        <w:t/>
      </w:r>
    </w:p>
    <w:p>
      <w:r>
        <w:t>Allows users to search and select individual suppliers.</w:t>
      </w:r>
    </w:p>
    <w:p>
      <w:r>
        <w:t/>
      </w:r>
    </w:p>
    <w:p>
      <w:pPr>
        <w:pStyle w:val="Heading2"/>
      </w:pPr>
      <w:r>
        <w:t>Native object</w:t>
      </w:r>
    </w:p>
    <w:p>
      <w:r>
        <w:t/>
      </w:r>
    </w:p>
    <w:p>
      <w:r>
        <w:t>Filter pane.</w:t>
      </w:r>
    </w:p>
    <w:p>
      <w:r>
        <w:t/>
      </w:r>
    </w:p>
    <w:p>
      <w:pPr>
        <w:pStyle w:val="Heading2"/>
      </w:pPr>
      <w:r>
        <w:t>Field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[Supplier Name]</w:t>
      </w:r>
    </w:p>
    <w:p>
      <w:r>
        <w:t/>
      </w:r>
    </w:p>
    <w:p>
      <w:pPr>
        <w:pStyle w:val="Heading2"/>
      </w:pPr>
      <w:r>
        <w:t>Placement</w:t>
      </w:r>
    </w:p>
    <w:p>
      <w:r>
        <w:t/>
      </w:r>
    </w:p>
    <w:p>
      <w:r>
        <w:t>Left control panel under: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What-If Scenario Controls</w:t>
      </w:r>
    </w:p>
    <w:p>
      <w:r>
        <w:t/>
      </w:r>
    </w:p>
    <w:p>
      <w:pPr>
        <w:pStyle w:val="Heading2"/>
      </w:pPr>
      <w:r>
        <w:t>Design steps</w:t>
      </w:r>
    </w:p>
    <w:p>
      <w:r>
        <w:t/>
      </w:r>
    </w:p>
    <w:p>
      <w:r>
        <w:t>1. Add a Text and image title:</w:t>
      </w:r>
    </w:p>
    <w:p>
      <w:r>
        <w:t/>
      </w:r>
    </w:p>
    <w:p>
      <w:r>
        <w:t xml:space="preserve">   text</w:t>
      </w:r>
    </w:p>
    <w:p>
      <w:r>
        <w:t xml:space="preserve">   What-If Scenario Controls</w:t>
      </w:r>
    </w:p>
    <w:p>
      <w:r>
        <w:t xml:space="preserve">   </w:t>
      </w:r>
    </w:p>
    <w:p>
      <w:r>
        <w:t/>
      </w:r>
    </w:p>
    <w:p>
      <w:r>
        <w:t>2. Add a Filter pane for [Supplier Name].</w:t>
      </w:r>
    </w:p>
    <w:p>
      <w:r>
        <w:t>3. Enable search.</w:t>
      </w:r>
    </w:p>
    <w:p>
      <w:r>
        <w:t>4. Use compact view so the object resembles a search box.</w:t>
      </w:r>
    </w:p>
    <w:p>
      <w:r>
        <w:t/>
      </w:r>
    </w:p>
    <w:p>
      <w:pPr>
        <w:pStyle w:val="Heading2"/>
      </w:pPr>
      <w:r>
        <w:t>Formatting</w:t>
      </w:r>
    </w:p>
    <w:p>
      <w:r>
        <w:t/>
      </w:r>
    </w:p>
    <w:p>
      <w:pPr>
        <w:numPr>
          <w:ilvl w:val="0"/>
          <w:numId w:val="1"/>
        </w:numPr>
      </w:pPr>
      <w:r>
        <w:t>Placeholder behavior: Qlik search box.</w:t>
      </w:r>
    </w:p>
    <w:p>
      <w:pPr>
        <w:numPr>
          <w:ilvl w:val="0"/>
          <w:numId w:val="1"/>
        </w:numPr>
      </w:pPr>
      <w:r>
        <w:t>Border color: `#CBD5E1`.</w:t>
      </w:r>
    </w:p>
    <w:p>
      <w:pPr>
        <w:numPr>
          <w:ilvl w:val="0"/>
          <w:numId w:val="1"/>
        </w:numPr>
      </w:pPr>
      <w:r>
        <w:t>Background: white.</w:t>
      </w:r>
    </w:p>
    <w:p>
      <w:r>
        <w:t/>
      </w:r>
    </w:p>
    <w:p>
      <w:pPr>
        <w:pStyle w:val="Heading1"/>
      </w:pPr>
      <w:r>
        <w:t>7. Object 5 - Supplier Group filter buttons</w:t>
      </w:r>
    </w:p>
    <w:p>
      <w:r>
        <w:t/>
      </w:r>
    </w:p>
    <w:p>
      <w:pPr>
        <w:pStyle w:val="Heading2"/>
      </w:pPr>
      <w:r>
        <w:t>Business purpose</w:t>
      </w:r>
    </w:p>
    <w:p>
      <w:r>
        <w:t/>
      </w:r>
    </w:p>
    <w:p>
      <w:r>
        <w:t>Lets users switch between intervention groups such as Top 25 Suppliers, Region A</w:t>
      </w:r>
    </w:p>
    <w:p>
      <w:r>
        <w:t>Suppliers, Region B Suppliers, and Expert Judgement Suppliers.</w:t>
      </w:r>
    </w:p>
    <w:p>
      <w:r>
        <w:t/>
      </w:r>
    </w:p>
    <w:p>
      <w:pPr>
        <w:pStyle w:val="Heading2"/>
      </w:pPr>
      <w:r>
        <w:t>Native object</w:t>
      </w:r>
    </w:p>
    <w:p>
      <w:r>
        <w:t/>
      </w:r>
    </w:p>
    <w:p>
      <w:r>
        <w:t>Filter pane using the linked supplier group bridge.</w:t>
      </w:r>
    </w:p>
    <w:p>
      <w:r>
        <w:t/>
      </w:r>
    </w:p>
    <w:p>
      <w:pPr>
        <w:pStyle w:val="Heading2"/>
      </w:pPr>
      <w:r>
        <w:t>Field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[Supplier Group]</w:t>
      </w:r>
    </w:p>
    <w:p>
      <w:r>
        <w:t/>
      </w:r>
    </w:p>
    <w:p>
      <w:pPr>
        <w:pStyle w:val="Heading2"/>
      </w:pPr>
      <w:r>
        <w:t>Recommended values</w:t>
      </w:r>
    </w:p>
    <w:p>
      <w:r>
        <w:t/>
      </w:r>
    </w:p>
    <w:p>
      <w:pPr>
        <w:numPr>
          <w:ilvl w:val="0"/>
          <w:numId w:val="1"/>
        </w:numPr>
      </w:pPr>
      <w:r>
        <w:t>Top 25 Suppliers</w:t>
      </w:r>
    </w:p>
    <w:p>
      <w:pPr>
        <w:numPr>
          <w:ilvl w:val="0"/>
          <w:numId w:val="1"/>
        </w:numPr>
      </w:pPr>
      <w:r>
        <w:t>Region A Suppliers</w:t>
      </w:r>
    </w:p>
    <w:p>
      <w:pPr>
        <w:numPr>
          <w:ilvl w:val="0"/>
          <w:numId w:val="1"/>
        </w:numPr>
      </w:pPr>
      <w:r>
        <w:t>Region B Suppliers</w:t>
      </w:r>
    </w:p>
    <w:p>
      <w:pPr>
        <w:numPr>
          <w:ilvl w:val="0"/>
          <w:numId w:val="1"/>
        </w:numPr>
      </w:pPr>
      <w:r>
        <w:t>Expert Judgement Suppliers</w:t>
      </w:r>
    </w:p>
    <w:p>
      <w:pPr>
        <w:numPr>
          <w:ilvl w:val="0"/>
          <w:numId w:val="1"/>
        </w:numPr>
      </w:pPr>
      <w:r>
        <w:t>Supplier Target Suppliers</w:t>
      </w:r>
    </w:p>
    <w:p>
      <w:pPr>
        <w:numPr>
          <w:ilvl w:val="0"/>
          <w:numId w:val="1"/>
        </w:numPr>
      </w:pPr>
      <w:r>
        <w:t>All Suppliers</w:t>
      </w:r>
    </w:p>
    <w:p>
      <w:r>
        <w:t/>
      </w:r>
    </w:p>
    <w:p>
      <w:pPr>
        <w:pStyle w:val="Heading2"/>
      </w:pPr>
      <w:r>
        <w:t>Placement</w:t>
      </w:r>
    </w:p>
    <w:p>
      <w:r>
        <w:t/>
      </w:r>
    </w:p>
    <w:p>
      <w:r>
        <w:t>Left control panel below the supplier search filter.</w:t>
      </w:r>
    </w:p>
    <w:p>
      <w:r>
        <w:t/>
      </w:r>
    </w:p>
    <w:p>
      <w:pPr>
        <w:pStyle w:val="Heading2"/>
      </w:pPr>
      <w:r>
        <w:t>Design steps</w:t>
      </w:r>
    </w:p>
    <w:p>
      <w:r>
        <w:t/>
      </w:r>
    </w:p>
    <w:p>
      <w:r>
        <w:t>1. Add a Filter pane.</w:t>
      </w:r>
    </w:p>
    <w:p>
      <w:r>
        <w:t>2. Add field [Supplier Group].</w:t>
      </w:r>
    </w:p>
    <w:p>
      <w:r>
        <w:t>3. Set presentation to list view.</w:t>
      </w:r>
    </w:p>
    <w:p>
      <w:r>
        <w:t>4. Resize rows so they look like selectable buttons.</w:t>
      </w:r>
    </w:p>
    <w:p>
      <w:r>
        <w:t>5. Use the default bookmark to select:</w:t>
      </w:r>
    </w:p>
    <w:p>
      <w:r>
        <w:t/>
      </w:r>
    </w:p>
    <w:p>
      <w:r>
        <w:t xml:space="preserve">   text</w:t>
      </w:r>
    </w:p>
    <w:p>
      <w:r>
        <w:t xml:space="preserve">   Top 25 Suppliers</w:t>
      </w:r>
    </w:p>
    <w:p>
      <w:r>
        <w:t xml:space="preserve">   </w:t>
      </w:r>
    </w:p>
    <w:p>
      <w:r>
        <w:t/>
      </w:r>
    </w:p>
    <w:p>
      <w:pPr>
        <w:pStyle w:val="Heading2"/>
      </w:pPr>
      <w:r>
        <w:t>Formatting</w:t>
      </w:r>
    </w:p>
    <w:p>
      <w:r>
        <w:t/>
      </w:r>
    </w:p>
    <w:p>
      <w:pPr>
        <w:numPr>
          <w:ilvl w:val="0"/>
          <w:numId w:val="1"/>
        </w:numPr>
      </w:pPr>
      <w:r>
        <w:t>Selected item background: light blue `#E8F1FF`</w:t>
      </w:r>
    </w:p>
    <w:p>
      <w:pPr>
        <w:numPr>
          <w:ilvl w:val="0"/>
          <w:numId w:val="1"/>
        </w:numPr>
      </w:pPr>
      <w:r>
        <w:t>Border: `#CBD5E1`</w:t>
      </w:r>
    </w:p>
    <w:p>
      <w:pPr>
        <w:numPr>
          <w:ilvl w:val="0"/>
          <w:numId w:val="1"/>
        </w:numPr>
      </w:pPr>
      <w:r>
        <w:t>Text: `#111827`</w:t>
      </w:r>
    </w:p>
    <w:p>
      <w:r>
        <w:t/>
      </w:r>
    </w:p>
    <w:p>
      <w:pPr>
        <w:pStyle w:val="Heading1"/>
      </w:pPr>
      <w:r>
        <w:t>8. Object 6 - Supplier-Specific Reduction Adjustments panel</w:t>
      </w:r>
    </w:p>
    <w:p>
      <w:r>
        <w:t/>
      </w:r>
    </w:p>
    <w:p>
      <w:pPr>
        <w:pStyle w:val="Heading2"/>
      </w:pPr>
      <w:r>
        <w:t>Business purpose</w:t>
      </w:r>
    </w:p>
    <w:p>
      <w:r>
        <w:t/>
      </w:r>
    </w:p>
    <w:p>
      <w:r>
        <w:t>Allows selected high-emission suppliers to receive individual reduction</w:t>
      </w:r>
    </w:p>
    <w:p>
      <w:r>
        <w:t>adjustments on top of global and scenario-level assumptions.</w:t>
      </w:r>
    </w:p>
    <w:p>
      <w:r>
        <w:t/>
      </w:r>
    </w:p>
    <w:p>
      <w:pPr>
        <w:pStyle w:val="Heading2"/>
      </w:pPr>
      <w:r>
        <w:t>Native objects</w:t>
      </w:r>
    </w:p>
    <w:p>
      <w:r>
        <w:t/>
      </w:r>
    </w:p>
    <w:p>
      <w:pPr>
        <w:numPr>
          <w:ilvl w:val="0"/>
          <w:numId w:val="1"/>
        </w:numPr>
      </w:pPr>
      <w:r>
        <w:t>Text and image objects for labels</w:t>
      </w:r>
    </w:p>
    <w:p>
      <w:pPr>
        <w:numPr>
          <w:ilvl w:val="0"/>
          <w:numId w:val="1"/>
        </w:numPr>
      </w:pPr>
      <w:r>
        <w:t>Qlik-managed Variable input sliders</w:t>
      </w:r>
    </w:p>
    <w:p>
      <w:pPr>
        <w:numPr>
          <w:ilvl w:val="0"/>
          <w:numId w:val="1"/>
        </w:numPr>
      </w:pPr>
      <w:r>
        <w:t>Text and image objects for percentage values</w:t>
      </w:r>
    </w:p>
    <w:p>
      <w:pPr>
        <w:numPr>
          <w:ilvl w:val="0"/>
          <w:numId w:val="1"/>
        </w:numPr>
      </w:pPr>
      <w:r>
        <w:t>Optional native straight table to show slot mapping</w:t>
      </w:r>
    </w:p>
    <w:p>
      <w:r>
        <w:t/>
      </w:r>
    </w:p>
    <w:p>
      <w:pPr>
        <w:pStyle w:val="Heading2"/>
      </w:pPr>
      <w:r>
        <w:t>Variables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vSupplierReduction01 through vSupplierReduction20</w:t>
      </w:r>
    </w:p>
    <w:p>
      <w:r>
        <w:t/>
      </w:r>
    </w:p>
    <w:p>
      <w:pPr>
        <w:pStyle w:val="Heading2"/>
      </w:pPr>
      <w:r>
        <w:t>Placement</w:t>
      </w:r>
    </w:p>
    <w:p>
      <w:r>
        <w:t/>
      </w:r>
    </w:p>
    <w:p>
      <w:r>
        <w:t>Lower left control panel.</w:t>
      </w:r>
    </w:p>
    <w:p>
      <w:r>
        <w:t/>
      </w:r>
    </w:p>
    <w:p>
      <w:pPr>
        <w:pStyle w:val="Heading2"/>
      </w:pPr>
      <w:r>
        <w:t>Panel title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Supplier-Specific Reduction Adjustments (%)</w:t>
      </w:r>
    </w:p>
    <w:p>
      <w:r>
        <w:t/>
      </w:r>
    </w:p>
    <w:p>
      <w:pPr>
        <w:pStyle w:val="Heading2"/>
      </w:pPr>
      <w:r>
        <w:t>Two-column layout</w:t>
      </w:r>
    </w:p>
    <w:p>
      <w:r>
        <w:t/>
      </w:r>
    </w:p>
    <w:p>
      <w:r>
        <w:t>Left column: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Supplier A to Supplier J</w:t>
      </w:r>
    </w:p>
    <w:p>
      <w:r>
        <w:t/>
      </w:r>
    </w:p>
    <w:p>
      <w:r>
        <w:t>Right column: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Supplier K to Supplier T</w:t>
      </w:r>
    </w:p>
    <w:p>
      <w:r>
        <w:t/>
      </w:r>
    </w:p>
    <w:p>
      <w:pPr>
        <w:pStyle w:val="Heading2"/>
      </w:pPr>
      <w:r>
        <w:t>Slider settings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| Property | Value |</w:t>
      </w:r>
    </w:p>
    <w:p>
      <w:pPr>
        <w:spacing w:before="0" w:after="0"/>
      </w:pPr>
      <w:r>
        <w:rPr>
          <w:rFonts w:ascii="Courier New" w:hAnsi="Courier New"/>
          <w:sz w:val="18"/>
        </w:rPr>
        <w:t>| --- | --- |</w:t>
      </w:r>
    </w:p>
    <w:p>
      <w:pPr>
        <w:spacing w:before="0" w:after="0"/>
      </w:pPr>
      <w:r>
        <w:rPr>
          <w:rFonts w:ascii="Courier New" w:hAnsi="Courier New"/>
          <w:sz w:val="18"/>
        </w:rPr>
        <w:t>| Input type | Slider |</w:t>
      </w:r>
    </w:p>
    <w:p>
      <w:pPr>
        <w:spacing w:before="0" w:after="0"/>
      </w:pPr>
      <w:r>
        <w:rPr>
          <w:rFonts w:ascii="Courier New" w:hAnsi="Courier New"/>
          <w:sz w:val="18"/>
        </w:rPr>
        <w:t>| Minimum | `0` |</w:t>
      </w:r>
    </w:p>
    <w:p>
      <w:pPr>
        <w:spacing w:before="0" w:after="0"/>
      </w:pPr>
      <w:r>
        <w:rPr>
          <w:rFonts w:ascii="Courier New" w:hAnsi="Courier New"/>
          <w:sz w:val="18"/>
        </w:rPr>
        <w:t>| Maximum | `0.50` |</w:t>
      </w:r>
    </w:p>
    <w:p>
      <w:pPr>
        <w:spacing w:before="0" w:after="0"/>
      </w:pPr>
      <w:r>
        <w:rPr>
          <w:rFonts w:ascii="Courier New" w:hAnsi="Courier New"/>
          <w:sz w:val="18"/>
        </w:rPr>
        <w:t>| Step | `0.01` |</w:t>
      </w:r>
    </w:p>
    <w:p>
      <w:pPr>
        <w:spacing w:before="0" w:after="0"/>
      </w:pPr>
      <w:r>
        <w:rPr>
          <w:rFonts w:ascii="Courier New" w:hAnsi="Courier New"/>
          <w:sz w:val="18"/>
        </w:rPr>
        <w:t>| Display | Percentage |</w:t>
      </w:r>
    </w:p>
    <w:p>
      <w:r>
        <w:t/>
      </w:r>
    </w:p>
    <w:p>
      <w:pPr>
        <w:pStyle w:val="Heading2"/>
      </w:pPr>
      <w:r>
        <w:t>Supplier label source</w:t>
      </w:r>
    </w:p>
    <w:p>
      <w:r>
        <w:t/>
      </w:r>
    </w:p>
    <w:p>
      <w:r>
        <w:t>Use the top supplier slot table: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[Supplier Adjustment Label]</w:t>
      </w:r>
    </w:p>
    <w:p>
      <w:r>
        <w:t/>
      </w:r>
    </w:p>
    <w:p>
      <w:r>
        <w:t>For static layout, label each slider manually. For governed mapping, add a small</w:t>
      </w:r>
    </w:p>
    <w:p>
      <w:r>
        <w:t>straight table with [Supplier Adjustment Label] and</w:t>
      </w:r>
    </w:p>
    <w:p>
      <w:r>
        <w:t>[Supplier Reduction Variable Name].</w:t>
      </w:r>
    </w:p>
    <w:p>
      <w:r>
        <w:t/>
      </w:r>
    </w:p>
    <w:p>
      <w:pPr>
        <w:pStyle w:val="Heading2"/>
      </w:pPr>
      <w:r>
        <w:t>Value expressions</w:t>
      </w:r>
    </w:p>
    <w:p>
      <w:r>
        <w:t/>
      </w:r>
    </w:p>
    <w:p>
      <w:r>
        <w:t>Supplier A / slot 01: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=Num($(vSupplierReduction01), '0%')</w:t>
      </w:r>
    </w:p>
    <w:p>
      <w:r>
        <w:t/>
      </w:r>
    </w:p>
    <w:p>
      <w:r>
        <w:t>Supplier B / slot 02: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=Num($(vSupplierReduction02), '0%')</w:t>
      </w:r>
    </w:p>
    <w:p>
      <w:r>
        <w:t/>
      </w:r>
    </w:p>
    <w:p>
      <w:r>
        <w:t>Continue through: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=Num($(vSupplierReduction20), '0%')</w:t>
      </w:r>
    </w:p>
    <w:p>
      <w:r>
        <w:t/>
      </w:r>
    </w:p>
    <w:p>
      <w:pPr>
        <w:pStyle w:val="Heading2"/>
      </w:pPr>
      <w:r>
        <w:t>Design steps</w:t>
      </w:r>
    </w:p>
    <w:p>
      <w:r>
        <w:t/>
      </w:r>
    </w:p>
    <w:p>
      <w:r>
        <w:t>1. Add a Text and image object for the section title.</w:t>
      </w:r>
    </w:p>
    <w:p>
      <w:r>
        <w:t>2. Add two small column headers:</w:t>
      </w:r>
    </w:p>
    <w:p>
      <w:r>
        <w:t/>
      </w:r>
    </w:p>
    <w:p>
      <w:r>
        <w:t xml:space="preserve">   text</w:t>
      </w:r>
    </w:p>
    <w:p>
      <w:r>
        <w:t xml:space="preserve">   Supplier</w:t>
      </w:r>
    </w:p>
    <w:p>
      <w:r>
        <w:t xml:space="preserve">   Reduction %</w:t>
      </w:r>
    </w:p>
    <w:p>
      <w:r>
        <w:t xml:space="preserve">   </w:t>
      </w:r>
    </w:p>
    <w:p>
      <w:r>
        <w:t/>
      </w:r>
    </w:p>
    <w:p>
      <w:r>
        <w:t>3. Add ten supplier rows in the left column.</w:t>
      </w:r>
    </w:p>
    <w:p>
      <w:r>
        <w:t>4. Add ten supplier rows in the right column.</w:t>
      </w:r>
    </w:p>
    <w:p>
      <w:r>
        <w:t>5. For each row:</w:t>
      </w:r>
    </w:p>
    <w:p>
      <w:pPr>
        <w:numPr>
          <w:ilvl w:val="0"/>
          <w:numId w:val="1"/>
        </w:numPr>
      </w:pPr>
      <w:r>
        <w:t>add a label;</w:t>
      </w:r>
    </w:p>
    <w:p>
      <w:pPr>
        <w:numPr>
          <w:ilvl w:val="0"/>
          <w:numId w:val="1"/>
        </w:numPr>
      </w:pPr>
      <w:r>
        <w:t>add a Variable input slider;</w:t>
      </w:r>
    </w:p>
    <w:p>
      <w:pPr>
        <w:numPr>
          <w:ilvl w:val="0"/>
          <w:numId w:val="1"/>
        </w:numPr>
      </w:pPr>
      <w:r>
        <w:t>bind the slider to the matching supplier variable;</w:t>
      </w:r>
    </w:p>
    <w:p>
      <w:pPr>
        <w:numPr>
          <w:ilvl w:val="0"/>
          <w:numId w:val="1"/>
        </w:numPr>
      </w:pPr>
      <w:r>
        <w:t>add a percentage value object.</w:t>
      </w:r>
    </w:p>
    <w:p>
      <w:r>
        <w:t>6. Keep row heights consistent.</w:t>
      </w:r>
    </w:p>
    <w:p>
      <w:r>
        <w:t>7. Add enough vertical space for the reset button below the panel.</w:t>
      </w:r>
    </w:p>
    <w:p>
      <w:r>
        <w:t/>
      </w:r>
    </w:p>
    <w:p>
      <w:pPr>
        <w:pStyle w:val="Heading2"/>
      </w:pPr>
      <w:r>
        <w:t>Example row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Supplier A    [green slider bound to vSupplierReduction01]    15%</w:t>
      </w:r>
    </w:p>
    <w:p>
      <w:r>
        <w:t/>
      </w:r>
    </w:p>
    <w:p>
      <w:pPr>
        <w:pStyle w:val="Heading2"/>
      </w:pPr>
      <w:r>
        <w:t>Formatting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| Element | Setting |</w:t>
      </w:r>
    </w:p>
    <w:p>
      <w:pPr>
        <w:spacing w:before="0" w:after="0"/>
      </w:pPr>
      <w:r>
        <w:rPr>
          <w:rFonts w:ascii="Courier New" w:hAnsi="Courier New"/>
          <w:sz w:val="18"/>
        </w:rPr>
        <w:t>| --- | --- |</w:t>
      </w:r>
    </w:p>
    <w:p>
      <w:pPr>
        <w:spacing w:before="0" w:after="0"/>
      </w:pPr>
      <w:r>
        <w:rPr>
          <w:rFonts w:ascii="Courier New" w:hAnsi="Courier New"/>
          <w:sz w:val="18"/>
        </w:rPr>
        <w:t>| Panel background | `#FFFFFF` |</w:t>
      </w:r>
    </w:p>
    <w:p>
      <w:pPr>
        <w:spacing w:before="0" w:after="0"/>
      </w:pPr>
      <w:r>
        <w:rPr>
          <w:rFonts w:ascii="Courier New" w:hAnsi="Courier New"/>
          <w:sz w:val="18"/>
        </w:rPr>
        <w:t>| Border | `#E5E7EB` |</w:t>
      </w:r>
    </w:p>
    <w:p>
      <w:pPr>
        <w:spacing w:before="0" w:after="0"/>
      </w:pPr>
      <w:r>
        <w:rPr>
          <w:rFonts w:ascii="Courier New" w:hAnsi="Courier New"/>
          <w:sz w:val="18"/>
        </w:rPr>
        <w:t>| Section title | 12 px, bold |</w:t>
      </w:r>
    </w:p>
    <w:p>
      <w:pPr>
        <w:spacing w:before="0" w:after="0"/>
      </w:pPr>
      <w:r>
        <w:rPr>
          <w:rFonts w:ascii="Courier New" w:hAnsi="Courier New"/>
          <w:sz w:val="18"/>
        </w:rPr>
        <w:t>| Supplier label | 9 to 10 px |</w:t>
      </w:r>
    </w:p>
    <w:p>
      <w:pPr>
        <w:spacing w:before="0" w:after="0"/>
      </w:pPr>
      <w:r>
        <w:rPr>
          <w:rFonts w:ascii="Courier New" w:hAnsi="Courier New"/>
          <w:sz w:val="18"/>
        </w:rPr>
        <w:t>| Slider color | Green |</w:t>
      </w:r>
    </w:p>
    <w:p>
      <w:pPr>
        <w:spacing w:before="0" w:after="0"/>
      </w:pPr>
      <w:r>
        <w:rPr>
          <w:rFonts w:ascii="Courier New" w:hAnsi="Courier New"/>
          <w:sz w:val="18"/>
        </w:rPr>
        <w:t>| Value box | Light gray background, centered text |</w:t>
      </w:r>
    </w:p>
    <w:p>
      <w:r>
        <w:t/>
      </w:r>
    </w:p>
    <w:p>
      <w:pPr>
        <w:pStyle w:val="Heading1"/>
      </w:pPr>
      <w:r>
        <w:t>9. Object 7 - Reset to Default button</w:t>
      </w:r>
    </w:p>
    <w:p>
      <w:r>
        <w:t/>
      </w:r>
    </w:p>
    <w:p>
      <w:pPr>
        <w:pStyle w:val="Heading2"/>
      </w:pPr>
      <w:r>
        <w:t>Business purpose</w:t>
      </w:r>
    </w:p>
    <w:p>
      <w:r>
        <w:t/>
      </w:r>
    </w:p>
    <w:p>
      <w:r>
        <w:t>Restores all scenario variables and supplier-specific controls to the governed</w:t>
      </w:r>
    </w:p>
    <w:p>
      <w:r>
        <w:t>default values.</w:t>
      </w:r>
    </w:p>
    <w:p>
      <w:r>
        <w:t/>
      </w:r>
    </w:p>
    <w:p>
      <w:pPr>
        <w:pStyle w:val="Heading2"/>
      </w:pPr>
      <w:r>
        <w:t>Native object</w:t>
      </w:r>
    </w:p>
    <w:p>
      <w:r>
        <w:t/>
      </w:r>
    </w:p>
    <w:p>
      <w:r>
        <w:t>Button.</w:t>
      </w:r>
    </w:p>
    <w:p>
      <w:r>
        <w:t/>
      </w:r>
    </w:p>
    <w:p>
      <w:pPr>
        <w:pStyle w:val="Heading2"/>
      </w:pPr>
      <w:r>
        <w:t>Placement</w:t>
      </w:r>
    </w:p>
    <w:p>
      <w:r>
        <w:t/>
      </w:r>
    </w:p>
    <w:p>
      <w:r>
        <w:t>Bottom center of the left control panel.</w:t>
      </w:r>
    </w:p>
    <w:p>
      <w:r>
        <w:t/>
      </w:r>
    </w:p>
    <w:p>
      <w:pPr>
        <w:pStyle w:val="Heading2"/>
      </w:pPr>
      <w:r>
        <w:t>Button label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Reset to Default</w:t>
      </w:r>
    </w:p>
    <w:p>
      <w:r>
        <w:t/>
      </w:r>
    </w:p>
    <w:p>
      <w:pPr>
        <w:pStyle w:val="Heading2"/>
      </w:pPr>
      <w:r>
        <w:t>Button actions</w:t>
      </w:r>
    </w:p>
    <w:p>
      <w:r>
        <w:t/>
      </w:r>
    </w:p>
    <w:p>
      <w:r>
        <w:t>Add one Set variable action per variable: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vForecastYear = 2030</w:t>
      </w:r>
    </w:p>
    <w:p>
      <w:pPr>
        <w:spacing w:before="0" w:after="0"/>
      </w:pPr>
      <w:r>
        <w:rPr>
          <w:rFonts w:ascii="Courier New" w:hAnsi="Courier New"/>
          <w:sz w:val="18"/>
        </w:rPr>
        <w:t>vOverallAdditionalReductionPct = 0.12</w:t>
      </w:r>
    </w:p>
    <w:p>
      <w:pPr>
        <w:spacing w:before="0" w:after="0"/>
      </w:pPr>
      <w:r>
        <w:rPr>
          <w:rFonts w:ascii="Courier New" w:hAnsi="Courier New"/>
          <w:sz w:val="18"/>
        </w:rPr>
        <w:t>vExpertJudgementAdjustmentPct = 0.03</w:t>
      </w:r>
    </w:p>
    <w:p>
      <w:pPr>
        <w:spacing w:before="0" w:after="0"/>
      </w:pPr>
      <w:r>
        <w:rPr>
          <w:rFonts w:ascii="Courier New" w:hAnsi="Courier New"/>
          <w:sz w:val="18"/>
        </w:rPr>
        <w:t>vGrowthAdjustmentPct = 0.02</w:t>
      </w:r>
    </w:p>
    <w:p>
      <w:pPr>
        <w:spacing w:before="0" w:after="0"/>
      </w:pPr>
      <w:r>
        <w:rPr>
          <w:rFonts w:ascii="Courier New" w:hAnsi="Courier New"/>
          <w:sz w:val="18"/>
        </w:rPr>
        <w:t>vNetZeroYear = 2050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vSupplierReduction01 = 0.15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vSupplierReduction02 = 0.10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vSupplierReduction03 = 0.20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vSupplierReduction04 = 0.20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vSupplierReduction05 = 0.18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vSupplierReduction06 = 0.10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vSupplierReduction07 = 0.10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vSupplierReduction08 = 0.10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vSupplierReduction09 = 0.08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vSupplierReduction10 = 0.08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vSupplierReduction11 = 0.10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vSupplierReduction12 = 0.20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vSupplierReduction13 = 0.10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vSupplierReduction14 = 0.08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vSupplierReduction15 = 0.08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vSupplierReduction16 = 0.18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vSupplierReduction17 = 0.18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vSupplierReduction18 = 0.12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vSupplierReduction19 = 0.10</w:t>
      </w:r>
    </w:p>
    <w:p>
      <w:pPr>
        <w:spacing w:before="0" w:after="0"/>
      </w:pPr>
      <w:r>
        <w:rPr>
          <w:rFonts w:ascii="Courier New" w:hAnsi="Courier New"/>
          <w:sz w:val="18"/>
        </w:rPr>
        <w:t>vSupplierReduction20 = 0.10</w:t>
      </w:r>
    </w:p>
    <w:p>
      <w:r>
        <w:t/>
      </w:r>
    </w:p>
    <w:p>
      <w:pPr>
        <w:pStyle w:val="Heading2"/>
      </w:pPr>
      <w:r>
        <w:t>Formatting</w:t>
      </w:r>
    </w:p>
    <w:p>
      <w:r>
        <w:t/>
      </w:r>
    </w:p>
    <w:p>
      <w:pPr>
        <w:numPr>
          <w:ilvl w:val="0"/>
          <w:numId w:val="1"/>
        </w:numPr>
      </w:pPr>
      <w:r>
        <w:t>White background.</w:t>
      </w:r>
    </w:p>
    <w:p>
      <w:pPr>
        <w:numPr>
          <w:ilvl w:val="0"/>
          <w:numId w:val="1"/>
        </w:numPr>
      </w:pPr>
      <w:r>
        <w:t>Gray border.</w:t>
      </w:r>
    </w:p>
    <w:p>
      <w:pPr>
        <w:numPr>
          <w:ilvl w:val="0"/>
          <w:numId w:val="1"/>
        </w:numPr>
      </w:pPr>
      <w:r>
        <w:t>Optional refresh icon if available.</w:t>
      </w:r>
    </w:p>
    <w:p>
      <w:pPr>
        <w:numPr>
          <w:ilvl w:val="0"/>
          <w:numId w:val="1"/>
        </w:numPr>
      </w:pPr>
      <w:r>
        <w:t>Text color: `#1F2937`.</w:t>
      </w:r>
    </w:p>
    <w:p>
      <w:r>
        <w:t/>
      </w:r>
    </w:p>
    <w:p>
      <w:pPr>
        <w:pStyle w:val="Heading1"/>
      </w:pPr>
      <w:r>
        <w:t>10. Object 8 - KPI cards</w:t>
      </w:r>
    </w:p>
    <w:p>
      <w:r>
        <w:t/>
      </w:r>
    </w:p>
    <w:p>
      <w:pPr>
        <w:pStyle w:val="Heading2"/>
      </w:pPr>
      <w:r>
        <w:t>Business purpose</w:t>
      </w:r>
    </w:p>
    <w:p>
      <w:r>
        <w:t/>
      </w:r>
    </w:p>
    <w:p>
      <w:r>
        <w:t>Summarizes the selected scenario at executive level.</w:t>
      </w:r>
    </w:p>
    <w:p>
      <w:r>
        <w:t/>
      </w:r>
    </w:p>
    <w:p>
      <w:pPr>
        <w:pStyle w:val="Heading2"/>
      </w:pPr>
      <w:r>
        <w:t>Native object</w:t>
      </w:r>
    </w:p>
    <w:p>
      <w:r>
        <w:t/>
      </w:r>
    </w:p>
    <w:p>
      <w:r>
        <w:t>KPI object. Use one KPI object per card.</w:t>
      </w:r>
    </w:p>
    <w:p>
      <w:r>
        <w:t/>
      </w:r>
    </w:p>
    <w:p>
      <w:pPr>
        <w:pStyle w:val="Heading2"/>
      </w:pPr>
      <w:r>
        <w:t>Placement</w:t>
      </w:r>
    </w:p>
    <w:p>
      <w:r>
        <w:t/>
      </w:r>
    </w:p>
    <w:p>
      <w:r>
        <w:t>Top row of the main canvas, to the right of the left control panel.</w:t>
      </w:r>
    </w:p>
    <w:p>
      <w:r>
        <w:t/>
      </w:r>
    </w:p>
    <w:p>
      <w:pPr>
        <w:pStyle w:val="Heading2"/>
      </w:pPr>
      <w:r>
        <w:t>KPI 1 - Overall Additional Reduction</w:t>
      </w:r>
    </w:p>
    <w:p>
      <w:r>
        <w:t/>
      </w:r>
    </w:p>
    <w:p>
      <w:r>
        <w:t>Measure: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$(vOverallAdditionalReductionPct)</w:t>
      </w:r>
    </w:p>
    <w:p>
      <w:r>
        <w:t/>
      </w:r>
    </w:p>
    <w:p>
      <w:r>
        <w:t>Number format: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0.0%</w:t>
      </w:r>
    </w:p>
    <w:p>
      <w:r>
        <w:t/>
      </w:r>
    </w:p>
    <w:p>
      <w:r>
        <w:t>Title: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Overall Additional Reduction</w:t>
      </w:r>
    </w:p>
    <w:p>
      <w:r>
        <w:t/>
      </w:r>
    </w:p>
    <w:p>
      <w:pPr>
        <w:pStyle w:val="Heading2"/>
      </w:pPr>
      <w:r>
        <w:t>KPI 2 - Total Current Emissions</w:t>
      </w:r>
    </w:p>
    <w:p>
      <w:r>
        <w:t/>
      </w:r>
    </w:p>
    <w:p>
      <w:r>
        <w:t>Measure: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Sum(Aggr(Only([Current Emissions]), [Supplier ID]))</w:t>
      </w:r>
    </w:p>
    <w:p>
      <w:r>
        <w:t/>
      </w:r>
    </w:p>
    <w:p>
      <w:r>
        <w:t>Format: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#,##0 tCO2e</w:t>
      </w:r>
    </w:p>
    <w:p>
      <w:r>
        <w:t/>
      </w:r>
    </w:p>
    <w:p>
      <w:pPr>
        <w:pStyle w:val="Heading2"/>
      </w:pPr>
      <w:r>
        <w:t>KPI 3 - Total Forecast Emissions</w:t>
      </w:r>
    </w:p>
    <w:p>
      <w:r>
        <w:t/>
      </w:r>
    </w:p>
    <w:p>
      <w:r>
        <w:t>Measure: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Sum(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Aggr(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$(vForecastEmissionsSheet2AtYear($(vForecastYear))),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[Supplier ID]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)</w:t>
      </w:r>
    </w:p>
    <w:p>
      <w:pPr>
        <w:spacing w:before="0" w:after="0"/>
      </w:pPr>
      <w:r>
        <w:rPr>
          <w:rFonts w:ascii="Courier New" w:hAnsi="Courier New"/>
          <w:sz w:val="18"/>
        </w:rPr>
        <w:t>)</w:t>
      </w:r>
    </w:p>
    <w:p>
      <w:r>
        <w:t/>
      </w:r>
    </w:p>
    <w:p>
      <w:r>
        <w:t>Format: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#,##0 tCO2e</w:t>
      </w:r>
    </w:p>
    <w:p>
      <w:r>
        <w:t/>
      </w:r>
    </w:p>
    <w:p>
      <w:pPr>
        <w:pStyle w:val="Heading2"/>
      </w:pPr>
      <w:r>
        <w:t>KPI 4 - Total Reduction</w:t>
      </w:r>
    </w:p>
    <w:p>
      <w:r>
        <w:t/>
      </w:r>
    </w:p>
    <w:p>
      <w:r>
        <w:t>Measure: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Sum(Aggr(Only([Current Emissions]), [Supplier ID]))</w:t>
      </w:r>
    </w:p>
    <w:p>
      <w:pPr>
        <w:spacing w:before="0" w:after="0"/>
      </w:pPr>
      <w:r>
        <w:rPr>
          <w:rFonts w:ascii="Courier New" w:hAnsi="Courier New"/>
          <w:sz w:val="18"/>
        </w:rPr>
        <w:t>-</w:t>
      </w:r>
    </w:p>
    <w:p>
      <w:pPr>
        <w:spacing w:before="0" w:after="0"/>
      </w:pPr>
      <w:r>
        <w:rPr>
          <w:rFonts w:ascii="Courier New" w:hAnsi="Courier New"/>
          <w:sz w:val="18"/>
        </w:rPr>
        <w:t>Sum(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Aggr(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$(vForecastEmissionsSheet2AtYear($(vForecastYear))),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[Supplier ID]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)</w:t>
      </w:r>
    </w:p>
    <w:p>
      <w:pPr>
        <w:spacing w:before="0" w:after="0"/>
      </w:pPr>
      <w:r>
        <w:rPr>
          <w:rFonts w:ascii="Courier New" w:hAnsi="Courier New"/>
          <w:sz w:val="18"/>
        </w:rPr>
        <w:t>)</w:t>
      </w:r>
    </w:p>
    <w:p>
      <w:r>
        <w:t/>
      </w:r>
    </w:p>
    <w:p>
      <w:r>
        <w:t>Format: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#,##0 tCO2e</w:t>
      </w:r>
    </w:p>
    <w:p>
      <w:r>
        <w:t/>
      </w:r>
    </w:p>
    <w:p>
      <w:pPr>
        <w:pStyle w:val="Heading2"/>
      </w:pPr>
      <w:r>
        <w:t>KPI 5 - Reduction Achieved</w:t>
      </w:r>
    </w:p>
    <w:p>
      <w:r>
        <w:t/>
      </w:r>
    </w:p>
    <w:p>
      <w:r>
        <w:t>Measure: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Sum(Aggr(Only([Current Emissions]), [Supplier ID]))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-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Sum(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Aggr(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$(vForecastEmissionsSheet2AtYear($(vForecastYear))),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[Supplier ID]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)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)</w:t>
      </w:r>
    </w:p>
    <w:p>
      <w:pPr>
        <w:spacing w:before="0" w:after="0"/>
      </w:pPr>
      <w:r>
        <w:rPr>
          <w:rFonts w:ascii="Courier New" w:hAnsi="Courier New"/>
          <w:sz w:val="18"/>
        </w:rPr>
        <w:t>)</w:t>
      </w:r>
    </w:p>
    <w:p>
      <w:pPr>
        <w:spacing w:before="0" w:after="0"/>
      </w:pPr>
      <w:r>
        <w:rPr>
          <w:rFonts w:ascii="Courier New" w:hAnsi="Courier New"/>
          <w:sz w:val="18"/>
        </w:rPr>
        <w:t>/</w:t>
      </w:r>
    </w:p>
    <w:p>
      <w:pPr>
        <w:spacing w:before="0" w:after="0"/>
      </w:pPr>
      <w:r>
        <w:rPr>
          <w:rFonts w:ascii="Courier New" w:hAnsi="Courier New"/>
          <w:sz w:val="18"/>
        </w:rPr>
        <w:t>Sum(Aggr(Only([Current Emissions]), [Supplier ID]))</w:t>
      </w:r>
    </w:p>
    <w:p>
      <w:r>
        <w:t/>
      </w:r>
    </w:p>
    <w:p>
      <w:r>
        <w:t>Format: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0.0%</w:t>
      </w:r>
    </w:p>
    <w:p>
      <w:r>
        <w:t/>
      </w:r>
    </w:p>
    <w:p>
      <w:pPr>
        <w:pStyle w:val="Heading2"/>
      </w:pPr>
      <w:r>
        <w:t>KPI 6 - Suppliers with Target</w:t>
      </w:r>
    </w:p>
    <w:p>
      <w:r>
        <w:t/>
      </w:r>
    </w:p>
    <w:p>
      <w:r>
        <w:t>Measure: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Count({&lt;[Forecast Method] = {'Supplier Target'}&gt;} DISTINCT [Supplier ID])</w:t>
      </w:r>
    </w:p>
    <w:p>
      <w:r>
        <w:t/>
      </w:r>
    </w:p>
    <w:p>
      <w:pPr>
        <w:pStyle w:val="Heading2"/>
      </w:pPr>
      <w:r>
        <w:t>KPI 7 - Suppliers Expert Judgement</w:t>
      </w:r>
    </w:p>
    <w:p>
      <w:r>
        <w:t/>
      </w:r>
    </w:p>
    <w:p>
      <w:r>
        <w:t>Measure: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Count({&lt;[Forecast Method] = {'Expert Judgement'}&gt;} DISTINCT [Supplier ID])</w:t>
      </w:r>
    </w:p>
    <w:p>
      <w:r>
        <w:t/>
      </w:r>
    </w:p>
    <w:p>
      <w:pPr>
        <w:pStyle w:val="Heading2"/>
      </w:pPr>
      <w:r>
        <w:t>KPI formatting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| KPI | Accent color |</w:t>
      </w:r>
    </w:p>
    <w:p>
      <w:pPr>
        <w:spacing w:before="0" w:after="0"/>
      </w:pPr>
      <w:r>
        <w:rPr>
          <w:rFonts w:ascii="Courier New" w:hAnsi="Courier New"/>
          <w:sz w:val="18"/>
        </w:rPr>
        <w:t>| --- | --- |</w:t>
      </w:r>
    </w:p>
    <w:p>
      <w:pPr>
        <w:spacing w:before="0" w:after="0"/>
      </w:pPr>
      <w:r>
        <w:rPr>
          <w:rFonts w:ascii="Courier New" w:hAnsi="Courier New"/>
          <w:sz w:val="18"/>
        </w:rPr>
        <w:t>| Overall Additional Reduction | Green |</w:t>
      </w:r>
    </w:p>
    <w:p>
      <w:pPr>
        <w:spacing w:before="0" w:after="0"/>
      </w:pPr>
      <w:r>
        <w:rPr>
          <w:rFonts w:ascii="Courier New" w:hAnsi="Courier New"/>
          <w:sz w:val="18"/>
        </w:rPr>
        <w:t>| Total Current Emissions | Navy |</w:t>
      </w:r>
    </w:p>
    <w:p>
      <w:pPr>
        <w:spacing w:before="0" w:after="0"/>
      </w:pPr>
      <w:r>
        <w:rPr>
          <w:rFonts w:ascii="Courier New" w:hAnsi="Courier New"/>
          <w:sz w:val="18"/>
        </w:rPr>
        <w:t>| Total Forecast Emissions | Blue |</w:t>
      </w:r>
    </w:p>
    <w:p>
      <w:pPr>
        <w:spacing w:before="0" w:after="0"/>
      </w:pPr>
      <w:r>
        <w:rPr>
          <w:rFonts w:ascii="Courier New" w:hAnsi="Courier New"/>
          <w:sz w:val="18"/>
        </w:rPr>
        <w:t>| Total Reduction | Green |</w:t>
      </w:r>
    </w:p>
    <w:p>
      <w:pPr>
        <w:spacing w:before="0" w:after="0"/>
      </w:pPr>
      <w:r>
        <w:rPr>
          <w:rFonts w:ascii="Courier New" w:hAnsi="Courier New"/>
          <w:sz w:val="18"/>
        </w:rPr>
        <w:t>| Reduction Achieved | Green |</w:t>
      </w:r>
    </w:p>
    <w:p>
      <w:pPr>
        <w:spacing w:before="0" w:after="0"/>
      </w:pPr>
      <w:r>
        <w:rPr>
          <w:rFonts w:ascii="Courier New" w:hAnsi="Courier New"/>
          <w:sz w:val="18"/>
        </w:rPr>
        <w:t>| Suppliers with Target | Blue |</w:t>
      </w:r>
    </w:p>
    <w:p>
      <w:pPr>
        <w:spacing w:before="0" w:after="0"/>
      </w:pPr>
      <w:r>
        <w:rPr>
          <w:rFonts w:ascii="Courier New" w:hAnsi="Courier New"/>
          <w:sz w:val="18"/>
        </w:rPr>
        <w:t>| Suppliers Expert Judgement | Orange |</w:t>
      </w:r>
    </w:p>
    <w:p>
      <w:r>
        <w:t/>
      </w:r>
    </w:p>
    <w:p>
      <w:pPr>
        <w:pStyle w:val="Heading1"/>
      </w:pPr>
      <w:r>
        <w:t>11. Object 9 - Main multi-supplier what-if line chart</w:t>
      </w:r>
    </w:p>
    <w:p>
      <w:r>
        <w:t/>
      </w:r>
    </w:p>
    <w:p>
      <w:pPr>
        <w:pStyle w:val="Heading2"/>
      </w:pPr>
      <w:r>
        <w:t>Business purpose</w:t>
      </w:r>
    </w:p>
    <w:p>
      <w:r>
        <w:t/>
      </w:r>
    </w:p>
    <w:p>
      <w:r>
        <w:t>Shows historical emissions and multiple forecast scenarios through the net-zero</w:t>
      </w:r>
    </w:p>
    <w:p>
      <w:r>
        <w:t>target year.</w:t>
      </w:r>
    </w:p>
    <w:p>
      <w:r>
        <w:t/>
      </w:r>
    </w:p>
    <w:p>
      <w:pPr>
        <w:pStyle w:val="Heading2"/>
      </w:pPr>
      <w:r>
        <w:t>Native object</w:t>
      </w:r>
    </w:p>
    <w:p>
      <w:r>
        <w:t/>
      </w:r>
    </w:p>
    <w:p>
      <w:r>
        <w:t>Line chart.</w:t>
      </w:r>
    </w:p>
    <w:p>
      <w:r>
        <w:t/>
      </w:r>
    </w:p>
    <w:p>
      <w:pPr>
        <w:pStyle w:val="Heading2"/>
      </w:pPr>
      <w:r>
        <w:t>Placement</w:t>
      </w:r>
    </w:p>
    <w:p>
      <w:r>
        <w:t/>
      </w:r>
    </w:p>
    <w:p>
      <w:r>
        <w:t>Center of the dashboard, below the KPI row.</w:t>
      </w:r>
    </w:p>
    <w:p>
      <w:r>
        <w:t/>
      </w:r>
    </w:p>
    <w:p>
      <w:pPr>
        <w:pStyle w:val="Heading2"/>
      </w:pPr>
      <w:r>
        <w:t>Title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Emissions Forecast by Year - Multi-Supplier What-If Scenario</w:t>
      </w:r>
    </w:p>
    <w:p>
      <w:r>
        <w:t/>
      </w:r>
    </w:p>
    <w:p>
      <w:pPr>
        <w:pStyle w:val="Heading2"/>
      </w:pPr>
      <w:r>
        <w:t>Dimensions</w:t>
      </w:r>
    </w:p>
    <w:p>
      <w:r>
        <w:t/>
      </w:r>
    </w:p>
    <w:p>
      <w:r>
        <w:t>Dimension 1: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[Scenario Year]</w:t>
      </w:r>
    </w:p>
    <w:p>
      <w:r>
        <w:t/>
      </w:r>
    </w:p>
    <w:p>
      <w:r>
        <w:t>Dimension 2: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[Scenario Profile]</w:t>
      </w:r>
    </w:p>
    <w:p>
      <w:r>
        <w:t/>
      </w:r>
    </w:p>
    <w:p>
      <w:pPr>
        <w:pStyle w:val="Heading2"/>
      </w:pPr>
      <w:r>
        <w:t>Measure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Sum(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Aggr(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$(vForecastEmissionsSheet2AtYear(Only([Scenario Year]))),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[Supplier ID],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[Scenario Year],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[Scenario Profile]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)</w:t>
      </w:r>
    </w:p>
    <w:p>
      <w:pPr>
        <w:spacing w:before="0" w:after="0"/>
      </w:pPr>
      <w:r>
        <w:rPr>
          <w:rFonts w:ascii="Courier New" w:hAnsi="Courier New"/>
          <w:sz w:val="18"/>
        </w:rPr>
        <w:t>)</w:t>
      </w:r>
    </w:p>
    <w:p>
      <w:r>
        <w:t/>
      </w:r>
    </w:p>
    <w:p>
      <w:pPr>
        <w:pStyle w:val="Heading2"/>
      </w:pPr>
      <w:r>
        <w:t>Color by expression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Only([Scenario Color])</w:t>
      </w:r>
    </w:p>
    <w:p>
      <w:r>
        <w:t/>
      </w:r>
    </w:p>
    <w:p>
      <w:pPr>
        <w:pStyle w:val="Heading2"/>
      </w:pPr>
      <w:r>
        <w:t>Sort</w:t>
      </w:r>
    </w:p>
    <w:p>
      <w:r>
        <w:t/>
      </w:r>
    </w:p>
    <w:p>
      <w:r>
        <w:t>1. Sort [Scenario Year] ascending.</w:t>
      </w:r>
    </w:p>
    <w:p>
      <w:r>
        <w:t>2. Sort [Scenario Profile] by:</w:t>
      </w:r>
    </w:p>
    <w:p>
      <w:r>
        <w:t/>
      </w:r>
    </w:p>
    <w:p>
      <w:r>
        <w:t xml:space="preserve">   qlik</w:t>
      </w:r>
    </w:p>
    <w:p>
      <w:r>
        <w:t xml:space="preserve">   Only([Scenario Sort])</w:t>
      </w:r>
    </w:p>
    <w:p>
      <w:r>
        <w:t xml:space="preserve">   </w:t>
      </w:r>
    </w:p>
    <w:p>
      <w:r>
        <w:t/>
      </w:r>
    </w:p>
    <w:p>
      <w:pPr>
        <w:pStyle w:val="Heading2"/>
      </w:pPr>
      <w:r>
        <w:t>Axis settings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| Axis | Setting |</w:t>
      </w:r>
    </w:p>
    <w:p>
      <w:pPr>
        <w:spacing w:before="0" w:after="0"/>
      </w:pPr>
      <w:r>
        <w:rPr>
          <w:rFonts w:ascii="Courier New" w:hAnsi="Courier New"/>
          <w:sz w:val="18"/>
        </w:rPr>
        <w:t>| --- | --- |</w:t>
      </w:r>
    </w:p>
    <w:p>
      <w:pPr>
        <w:spacing w:before="0" w:after="0"/>
      </w:pPr>
      <w:r>
        <w:rPr>
          <w:rFonts w:ascii="Courier New" w:hAnsi="Courier New"/>
          <w:sz w:val="18"/>
        </w:rPr>
        <w:t>| X-axis | Year |</w:t>
      </w:r>
    </w:p>
    <w:p>
      <w:pPr>
        <w:spacing w:before="0" w:after="0"/>
      </w:pPr>
      <w:r>
        <w:rPr>
          <w:rFonts w:ascii="Courier New" w:hAnsi="Courier New"/>
          <w:sz w:val="18"/>
        </w:rPr>
        <w:t>| Y-axis | tCO2e |</w:t>
      </w:r>
    </w:p>
    <w:p>
      <w:pPr>
        <w:spacing w:before="0" w:after="0"/>
      </w:pPr>
      <w:r>
        <w:rPr>
          <w:rFonts w:ascii="Courier New" w:hAnsi="Courier New"/>
          <w:sz w:val="18"/>
        </w:rPr>
        <w:t>| Y-axis number format | `#,##0` |</w:t>
      </w:r>
    </w:p>
    <w:p>
      <w:r>
        <w:t/>
      </w:r>
    </w:p>
    <w:p>
      <w:pPr>
        <w:pStyle w:val="Heading2"/>
      </w:pPr>
      <w:r>
        <w:t>Presentation</w:t>
      </w:r>
    </w:p>
    <w:p>
      <w:r>
        <w:t/>
      </w:r>
    </w:p>
    <w:p>
      <w:pPr>
        <w:numPr>
          <w:ilvl w:val="0"/>
          <w:numId w:val="1"/>
        </w:numPr>
      </w:pPr>
      <w:r>
        <w:t>Historical/current plan line: navy.</w:t>
      </w:r>
    </w:p>
    <w:p>
      <w:pPr>
        <w:numPr>
          <w:ilvl w:val="0"/>
          <w:numId w:val="1"/>
        </w:numPr>
      </w:pPr>
      <w:r>
        <w:t>Primary what-if line: green.</w:t>
      </w:r>
    </w:p>
    <w:p>
      <w:pPr>
        <w:numPr>
          <w:ilvl w:val="0"/>
          <w:numId w:val="1"/>
        </w:numPr>
      </w:pPr>
      <w:r>
        <w:t>Accelerated scenario line: blue.</w:t>
      </w:r>
    </w:p>
    <w:p>
      <w:pPr>
        <w:numPr>
          <w:ilvl w:val="0"/>
          <w:numId w:val="1"/>
        </w:numPr>
      </w:pPr>
      <w:r>
        <w:t>High-growth pressure line: red.</w:t>
      </w:r>
    </w:p>
    <w:p>
      <w:pPr>
        <w:numPr>
          <w:ilvl w:val="0"/>
          <w:numId w:val="1"/>
        </w:numPr>
      </w:pPr>
      <w:r>
        <w:t>Net-zero pathway line: gray dashed if line style is available.</w:t>
      </w:r>
    </w:p>
    <w:p>
      <w:pPr>
        <w:numPr>
          <w:ilvl w:val="0"/>
          <w:numId w:val="1"/>
        </w:numPr>
      </w:pPr>
      <w:r>
        <w:t>Show data labels only for important forecast years if labels become crowded.</w:t>
      </w:r>
    </w:p>
    <w:p>
      <w:r>
        <w:t/>
      </w:r>
    </w:p>
    <w:p>
      <w:pPr>
        <w:pStyle w:val="Heading2"/>
      </w:pPr>
      <w:r>
        <w:t>Development steps</w:t>
      </w:r>
    </w:p>
    <w:p>
      <w:r>
        <w:t/>
      </w:r>
    </w:p>
    <w:p>
      <w:r>
        <w:t>1. Drag a native Line chart object to the main canvas.</w:t>
      </w:r>
    </w:p>
    <w:p>
      <w:r>
        <w:t>2. Add [Scenario Year] as the first dimension.</w:t>
      </w:r>
    </w:p>
    <w:p>
      <w:r>
        <w:t>3. Add [Scenario Profile] as the second dimension.</w:t>
      </w:r>
    </w:p>
    <w:p>
      <w:r>
        <w:t>4. Add the scenario forecast emissions measure.</w:t>
      </w:r>
    </w:p>
    <w:p>
      <w:r>
        <w:t>5. Enable color by expression and use Only([Scenario Color]).</w:t>
      </w:r>
    </w:p>
    <w:p>
      <w:r>
        <w:t>6. Sort years ascending.</w:t>
      </w:r>
    </w:p>
    <w:p>
      <w:r>
        <w:t>7. Sort scenario profiles by Only([Scenario Sort]).</w:t>
      </w:r>
    </w:p>
    <w:p>
      <w:r>
        <w:t>8. Format Y-axis as emissions.</w:t>
      </w:r>
    </w:p>
    <w:p>
      <w:r>
        <w:t>9. Enable legend at bottom.</w:t>
      </w:r>
    </w:p>
    <w:p>
      <w:r>
        <w:t>10. Test selections by changing supplier group and scenario variables.</w:t>
      </w:r>
    </w:p>
    <w:p>
      <w:r>
        <w:t/>
      </w:r>
    </w:p>
    <w:p>
      <w:pPr>
        <w:pStyle w:val="Heading1"/>
      </w:pPr>
      <w:r>
        <w:t>12. Object 10 - Scenario assumptions card</w:t>
      </w:r>
    </w:p>
    <w:p>
      <w:r>
        <w:t/>
      </w:r>
    </w:p>
    <w:p>
      <w:pPr>
        <w:pStyle w:val="Heading2"/>
      </w:pPr>
      <w:r>
        <w:t>Business purpose</w:t>
      </w:r>
    </w:p>
    <w:p>
      <w:r>
        <w:t/>
      </w:r>
    </w:p>
    <w:p>
      <w:r>
        <w:t>Shows the active what-if assumptions used by the line chart and KPIs.</w:t>
      </w:r>
    </w:p>
    <w:p>
      <w:r>
        <w:t/>
      </w:r>
    </w:p>
    <w:p>
      <w:pPr>
        <w:pStyle w:val="Heading2"/>
      </w:pPr>
      <w:r>
        <w:t>Native object</w:t>
      </w:r>
    </w:p>
    <w:p>
      <w:r>
        <w:t/>
      </w:r>
    </w:p>
    <w:p>
      <w:r>
        <w:t>Text and image object.</w:t>
      </w:r>
    </w:p>
    <w:p>
      <w:r>
        <w:t/>
      </w:r>
    </w:p>
    <w:p>
      <w:pPr>
        <w:pStyle w:val="Heading2"/>
      </w:pPr>
      <w:r>
        <w:t>Placement</w:t>
      </w:r>
    </w:p>
    <w:p>
      <w:r>
        <w:t/>
      </w:r>
    </w:p>
    <w:p>
      <w:r>
        <w:t>Inside or next to the main chart area.</w:t>
      </w:r>
    </w:p>
    <w:p>
      <w:r>
        <w:t/>
      </w:r>
    </w:p>
    <w:p>
      <w:pPr>
        <w:pStyle w:val="Heading2"/>
      </w:pPr>
      <w:r>
        <w:t>Expression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='Scenario Assumptions' &amp; Chr(10)</w:t>
      </w:r>
    </w:p>
    <w:p>
      <w:pPr>
        <w:spacing w:before="0" w:after="0"/>
      </w:pPr>
      <w:r>
        <w:rPr>
          <w:rFonts w:ascii="Courier New" w:hAnsi="Courier New"/>
          <w:sz w:val="18"/>
        </w:rPr>
        <w:t>&amp; 'Forecast Year: ' &amp; $(vForecastYear) &amp; Chr(10)</w:t>
      </w:r>
    </w:p>
    <w:p>
      <w:pPr>
        <w:spacing w:before="0" w:after="0"/>
      </w:pPr>
      <w:r>
        <w:rPr>
          <w:rFonts w:ascii="Courier New" w:hAnsi="Courier New"/>
          <w:sz w:val="18"/>
        </w:rPr>
        <w:t>&amp; 'Additional Reduction: ' &amp; Num($(vOverallAdditionalReductionPct), '0.0%') &amp; Chr(10)</w:t>
      </w:r>
    </w:p>
    <w:p>
      <w:pPr>
        <w:spacing w:before="0" w:after="0"/>
      </w:pPr>
      <w:r>
        <w:rPr>
          <w:rFonts w:ascii="Courier New" w:hAnsi="Courier New"/>
          <w:sz w:val="18"/>
        </w:rPr>
        <w:t>&amp; 'Expert Judgement Adj.: ' &amp; Num($(vExpertJudgementAdjustmentPct), '0.0%') &amp; Chr(10)</w:t>
      </w:r>
    </w:p>
    <w:p>
      <w:pPr>
        <w:spacing w:before="0" w:after="0"/>
      </w:pPr>
      <w:r>
        <w:rPr>
          <w:rFonts w:ascii="Courier New" w:hAnsi="Courier New"/>
          <w:sz w:val="18"/>
        </w:rPr>
        <w:t>&amp; 'Growth Adjustment: ' &amp; Num($(vGrowthAdjustmentPct), '0.0%') &amp; Chr(10)</w:t>
      </w:r>
    </w:p>
    <w:p>
      <w:pPr>
        <w:spacing w:before="0" w:after="0"/>
      </w:pPr>
      <w:r>
        <w:rPr>
          <w:rFonts w:ascii="Courier New" w:hAnsi="Courier New"/>
          <w:sz w:val="18"/>
        </w:rPr>
        <w:t>&amp; 'Net Zero Target: ' &amp; $(vNetZeroYear) &amp; Chr(10)</w:t>
      </w:r>
    </w:p>
    <w:p>
      <w:pPr>
        <w:spacing w:before="0" w:after="0"/>
      </w:pPr>
      <w:r>
        <w:rPr>
          <w:rFonts w:ascii="Courier New" w:hAnsi="Courier New"/>
          <w:sz w:val="18"/>
        </w:rPr>
        <w:t>&amp; 'What-if Scenario: A - Multi-Supplier'</w:t>
      </w:r>
    </w:p>
    <w:p>
      <w:r>
        <w:t/>
      </w:r>
    </w:p>
    <w:p>
      <w:pPr>
        <w:pStyle w:val="Heading2"/>
      </w:pPr>
      <w:r>
        <w:t>Formatting</w:t>
      </w:r>
    </w:p>
    <w:p>
      <w:r>
        <w:t/>
      </w:r>
    </w:p>
    <w:p>
      <w:pPr>
        <w:numPr>
          <w:ilvl w:val="0"/>
          <w:numId w:val="1"/>
        </w:numPr>
      </w:pPr>
      <w:r>
        <w:t>White or very light gray background.</w:t>
      </w:r>
    </w:p>
    <w:p>
      <w:pPr>
        <w:numPr>
          <w:ilvl w:val="0"/>
          <w:numId w:val="1"/>
        </w:numPr>
      </w:pPr>
      <w:r>
        <w:t>Thin border.</w:t>
      </w:r>
    </w:p>
    <w:p>
      <w:pPr>
        <w:numPr>
          <w:ilvl w:val="0"/>
          <w:numId w:val="1"/>
        </w:numPr>
      </w:pPr>
      <w:r>
        <w:t>Small font.</w:t>
      </w:r>
    </w:p>
    <w:p>
      <w:pPr>
        <w:numPr>
          <w:ilvl w:val="0"/>
          <w:numId w:val="1"/>
        </w:numPr>
      </w:pPr>
      <w:r>
        <w:t>Bold first line.</w:t>
      </w:r>
    </w:p>
    <w:p>
      <w:r>
        <w:t/>
      </w:r>
    </w:p>
    <w:p>
      <w:pPr>
        <w:pStyle w:val="Heading1"/>
      </w:pPr>
      <w:r>
        <w:t>13. Object 11 - Forecast Method Distribution donut chart</w:t>
      </w:r>
    </w:p>
    <w:p>
      <w:r>
        <w:t/>
      </w:r>
    </w:p>
    <w:p>
      <w:pPr>
        <w:pStyle w:val="Heading2"/>
      </w:pPr>
      <w:r>
        <w:t>Business purpose</w:t>
      </w:r>
    </w:p>
    <w:p>
      <w:r>
        <w:t/>
      </w:r>
    </w:p>
    <w:p>
      <w:r>
        <w:t>Shows the supplier count split between supplier target and expert judgement</w:t>
      </w:r>
    </w:p>
    <w:p>
      <w:r>
        <w:t>forecast methods.</w:t>
      </w:r>
    </w:p>
    <w:p>
      <w:r>
        <w:t/>
      </w:r>
    </w:p>
    <w:p>
      <w:pPr>
        <w:pStyle w:val="Heading2"/>
      </w:pPr>
      <w:r>
        <w:t>Native object</w:t>
      </w:r>
    </w:p>
    <w:p>
      <w:r>
        <w:t/>
      </w:r>
    </w:p>
    <w:p>
      <w:r>
        <w:t>Pie chart or donut chart.</w:t>
      </w:r>
    </w:p>
    <w:p>
      <w:r>
        <w:t/>
      </w:r>
    </w:p>
    <w:p>
      <w:pPr>
        <w:pStyle w:val="Heading2"/>
      </w:pPr>
      <w:r>
        <w:t>Placement</w:t>
      </w:r>
    </w:p>
    <w:p>
      <w:r>
        <w:t/>
      </w:r>
    </w:p>
    <w:p>
      <w:r>
        <w:t>Top right insight panel.</w:t>
      </w:r>
    </w:p>
    <w:p>
      <w:r>
        <w:t/>
      </w:r>
    </w:p>
    <w:p>
      <w:pPr>
        <w:pStyle w:val="Heading2"/>
      </w:pPr>
      <w:r>
        <w:t>Title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Forecast Method Distribution</w:t>
      </w:r>
    </w:p>
    <w:p>
      <w:r>
        <w:t/>
      </w:r>
    </w:p>
    <w:p>
      <w:pPr>
        <w:pStyle w:val="Heading2"/>
      </w:pPr>
      <w:r>
        <w:t>Dimension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[Forecast Method]</w:t>
      </w:r>
    </w:p>
    <w:p>
      <w:r>
        <w:t/>
      </w:r>
    </w:p>
    <w:p>
      <w:pPr>
        <w:pStyle w:val="Heading2"/>
      </w:pPr>
      <w:r>
        <w:t>Measure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Count(DISTINCT [Supplier ID])</w:t>
      </w:r>
    </w:p>
    <w:p>
      <w:r>
        <w:t/>
      </w:r>
    </w:p>
    <w:p>
      <w:pPr>
        <w:pStyle w:val="Heading2"/>
      </w:pPr>
      <w:r>
        <w:t>Color setup</w:t>
      </w:r>
    </w:p>
    <w:p>
      <w:r>
        <w:t/>
      </w:r>
    </w:p>
    <w:p>
      <w:r>
        <w:t>Use custom colors: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| Forecast Method | Color |</w:t>
      </w:r>
    </w:p>
    <w:p>
      <w:pPr>
        <w:spacing w:before="0" w:after="0"/>
      </w:pPr>
      <w:r>
        <w:rPr>
          <w:rFonts w:ascii="Courier New" w:hAnsi="Courier New"/>
          <w:sz w:val="18"/>
        </w:rPr>
        <w:t>| --- | --- |</w:t>
      </w:r>
    </w:p>
    <w:p>
      <w:pPr>
        <w:spacing w:before="0" w:after="0"/>
      </w:pPr>
      <w:r>
        <w:rPr>
          <w:rFonts w:ascii="Courier New" w:hAnsi="Courier New"/>
          <w:sz w:val="18"/>
        </w:rPr>
        <w:t>| Supplier Target | `#16A34A` |</w:t>
      </w:r>
    </w:p>
    <w:p>
      <w:pPr>
        <w:spacing w:before="0" w:after="0"/>
      </w:pPr>
      <w:r>
        <w:rPr>
          <w:rFonts w:ascii="Courier New" w:hAnsi="Courier New"/>
          <w:sz w:val="18"/>
        </w:rPr>
        <w:t>| Expert Judgement | `#FB8C00` |</w:t>
      </w:r>
    </w:p>
    <w:p>
      <w:r>
        <w:t/>
      </w:r>
    </w:p>
    <w:p>
      <w:pPr>
        <w:pStyle w:val="Heading2"/>
      </w:pPr>
      <w:r>
        <w:t>Development steps</w:t>
      </w:r>
    </w:p>
    <w:p>
      <w:r>
        <w:t/>
      </w:r>
    </w:p>
    <w:p>
      <w:r>
        <w:t>1. Drag a native Pie chart object to the right panel.</w:t>
      </w:r>
    </w:p>
    <w:p>
      <w:r>
        <w:t>2. Add [Forecast Method] as dimension.</w:t>
      </w:r>
    </w:p>
    <w:p>
      <w:r>
        <w:t>3. Add supplier count as measure.</w:t>
      </w:r>
    </w:p>
    <w:p>
      <w:r>
        <w:t>4. Change presentation to donut if available.</w:t>
      </w:r>
    </w:p>
    <w:p>
      <w:r>
        <w:t>5. Enable percentage labels.</w:t>
      </w:r>
    </w:p>
    <w:p>
      <w:r>
        <w:t>6. Set legend to the right.</w:t>
      </w:r>
    </w:p>
    <w:p>
      <w:r>
        <w:t>7. Apply green and orange colors.</w:t>
      </w:r>
    </w:p>
    <w:p>
      <w:r>
        <w:t/>
      </w:r>
    </w:p>
    <w:p>
      <w:pPr>
        <w:pStyle w:val="Heading1"/>
      </w:pPr>
      <w:r>
        <w:t>14. Object 12 - Forecast Emissions by Industry bar chart</w:t>
      </w:r>
    </w:p>
    <w:p>
      <w:r>
        <w:t/>
      </w:r>
    </w:p>
    <w:p>
      <w:pPr>
        <w:pStyle w:val="Heading2"/>
      </w:pPr>
      <w:r>
        <w:t>Business purpose</w:t>
      </w:r>
    </w:p>
    <w:p>
      <w:r>
        <w:t/>
      </w:r>
    </w:p>
    <w:p>
      <w:r>
        <w:t>Ranks industries by forecast emissions for the selected forecast year and</w:t>
      </w:r>
    </w:p>
    <w:p>
      <w:r>
        <w:t>scenario assumptions.</w:t>
      </w:r>
    </w:p>
    <w:p>
      <w:r>
        <w:t/>
      </w:r>
    </w:p>
    <w:p>
      <w:pPr>
        <w:pStyle w:val="Heading2"/>
      </w:pPr>
      <w:r>
        <w:t>Native object</w:t>
      </w:r>
    </w:p>
    <w:p>
      <w:r>
        <w:t/>
      </w:r>
    </w:p>
    <w:p>
      <w:r>
        <w:t>Bar chart.</w:t>
      </w:r>
    </w:p>
    <w:p>
      <w:r>
        <w:t/>
      </w:r>
    </w:p>
    <w:p>
      <w:pPr>
        <w:pStyle w:val="Heading2"/>
      </w:pPr>
      <w:r>
        <w:t>Placement</w:t>
      </w:r>
    </w:p>
    <w:p>
      <w:r>
        <w:t/>
      </w:r>
    </w:p>
    <w:p>
      <w:r>
        <w:t>Right insight panel, below the donut chart.</w:t>
      </w:r>
    </w:p>
    <w:p>
      <w:r>
        <w:t/>
      </w:r>
    </w:p>
    <w:p>
      <w:pPr>
        <w:pStyle w:val="Heading2"/>
      </w:pPr>
      <w:r>
        <w:t>Title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='Forecast Emissions by Industry (' &amp; $(vForecastYear) &amp; ')'</w:t>
      </w:r>
    </w:p>
    <w:p>
      <w:r>
        <w:t/>
      </w:r>
    </w:p>
    <w:p>
      <w:pPr>
        <w:pStyle w:val="Heading2"/>
      </w:pPr>
      <w:r>
        <w:t>Dimension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[Industry]</w:t>
      </w:r>
    </w:p>
    <w:p>
      <w:r>
        <w:t/>
      </w:r>
    </w:p>
    <w:p>
      <w:pPr>
        <w:pStyle w:val="Heading2"/>
      </w:pPr>
      <w:r>
        <w:t>Measure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Sum(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Aggr(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$(vForecastEmissionsSheet2AtYear($(vForecastYear))),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[Supplier ID]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)</w:t>
      </w:r>
    </w:p>
    <w:p>
      <w:pPr>
        <w:spacing w:before="0" w:after="0"/>
      </w:pPr>
      <w:r>
        <w:rPr>
          <w:rFonts w:ascii="Courier New" w:hAnsi="Courier New"/>
          <w:sz w:val="18"/>
        </w:rPr>
        <w:t>)</w:t>
      </w:r>
    </w:p>
    <w:p>
      <w:r>
        <w:t/>
      </w:r>
    </w:p>
    <w:p>
      <w:pPr>
        <w:pStyle w:val="Heading2"/>
      </w:pPr>
      <w:r>
        <w:t>Presentation</w:t>
      </w:r>
    </w:p>
    <w:p>
      <w:r>
        <w:t/>
      </w:r>
    </w:p>
    <w:p>
      <w:pPr>
        <w:numPr>
          <w:ilvl w:val="0"/>
          <w:numId w:val="1"/>
        </w:numPr>
      </w:pPr>
      <w:r>
        <w:t>Horizontal orientation.</w:t>
      </w:r>
    </w:p>
    <w:p>
      <w:pPr>
        <w:numPr>
          <w:ilvl w:val="0"/>
          <w:numId w:val="1"/>
        </w:numPr>
      </w:pPr>
      <w:r>
        <w:t>Sort descending by measure.</w:t>
      </w:r>
    </w:p>
    <w:p>
      <w:pPr>
        <w:numPr>
          <w:ilvl w:val="0"/>
          <w:numId w:val="1"/>
        </w:numPr>
      </w:pPr>
      <w:r>
        <w:t>Bar color: green.</w:t>
      </w:r>
    </w:p>
    <w:p>
      <w:pPr>
        <w:numPr>
          <w:ilvl w:val="0"/>
          <w:numId w:val="1"/>
        </w:numPr>
      </w:pPr>
      <w:r>
        <w:t>Data labels enabled.</w:t>
      </w:r>
    </w:p>
    <w:p>
      <w:pPr>
        <w:numPr>
          <w:ilvl w:val="0"/>
          <w:numId w:val="1"/>
        </w:numPr>
      </w:pPr>
      <w:r>
        <w:t>Axis label: `tCO2e`.</w:t>
      </w:r>
    </w:p>
    <w:p>
      <w:r>
        <w:t/>
      </w:r>
    </w:p>
    <w:p>
      <w:pPr>
        <w:pStyle w:val="Heading2"/>
      </w:pPr>
      <w:r>
        <w:t>Development steps</w:t>
      </w:r>
    </w:p>
    <w:p>
      <w:r>
        <w:t/>
      </w:r>
    </w:p>
    <w:p>
      <w:r>
        <w:t>1. Drag a native Bar chart object to the lower right panel.</w:t>
      </w:r>
    </w:p>
    <w:p>
      <w:r>
        <w:t>2. Add [Industry] as dimension.</w:t>
      </w:r>
    </w:p>
    <w:p>
      <w:r>
        <w:t>3. Add the forecast emissions by industry measure.</w:t>
      </w:r>
    </w:p>
    <w:p>
      <w:r>
        <w:t>4. Set orientation to horizontal.</w:t>
      </w:r>
    </w:p>
    <w:p>
      <w:r>
        <w:t>5. Sort descending by measure.</w:t>
      </w:r>
    </w:p>
    <w:p>
      <w:r>
        <w:t>6. Format measure as #,##0.</w:t>
      </w:r>
    </w:p>
    <w:p>
      <w:r>
        <w:t>7. Enable data labels.</w:t>
      </w:r>
    </w:p>
    <w:p>
      <w:r>
        <w:t/>
      </w:r>
    </w:p>
    <w:p>
      <w:pPr>
        <w:pStyle w:val="Heading1"/>
      </w:pPr>
      <w:r>
        <w:t>15. Object 13 - Year-by-Year Forecast Data table</w:t>
      </w:r>
    </w:p>
    <w:p>
      <w:r>
        <w:t/>
      </w:r>
    </w:p>
    <w:p>
      <w:pPr>
        <w:pStyle w:val="Heading2"/>
      </w:pPr>
      <w:r>
        <w:t>Business purpose</w:t>
      </w:r>
    </w:p>
    <w:p>
      <w:r>
        <w:t/>
      </w:r>
    </w:p>
    <w:p>
      <w:r>
        <w:t>Provides detailed annual emissions, reduction, reduction percentage, and actual</w:t>
      </w:r>
    </w:p>
    <w:p>
      <w:r>
        <w:t>or forecast flag for audit and export use cases.</w:t>
      </w:r>
    </w:p>
    <w:p>
      <w:r>
        <w:t/>
      </w:r>
    </w:p>
    <w:p>
      <w:pPr>
        <w:pStyle w:val="Heading2"/>
      </w:pPr>
      <w:r>
        <w:t>Native object</w:t>
      </w:r>
    </w:p>
    <w:p>
      <w:r>
        <w:t/>
      </w:r>
    </w:p>
    <w:p>
      <w:r>
        <w:t>Straight table.</w:t>
      </w:r>
    </w:p>
    <w:p>
      <w:r>
        <w:t/>
      </w:r>
    </w:p>
    <w:p>
      <w:pPr>
        <w:pStyle w:val="Heading2"/>
      </w:pPr>
      <w:r>
        <w:t>Placement</w:t>
      </w:r>
    </w:p>
    <w:p>
      <w:r>
        <w:t/>
      </w:r>
    </w:p>
    <w:p>
      <w:r>
        <w:t>Bottom full-width area to the right of the left control panel.</w:t>
      </w:r>
    </w:p>
    <w:p>
      <w:r>
        <w:t/>
      </w:r>
    </w:p>
    <w:p>
      <w:pPr>
        <w:pStyle w:val="Heading2"/>
      </w:pPr>
      <w:r>
        <w:t>Title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Year-by-Year Forecast Data - Multi-Supplier What-If Scenario</w:t>
      </w:r>
    </w:p>
    <w:p>
      <w:r>
        <w:t/>
      </w:r>
    </w:p>
    <w:p>
      <w:pPr>
        <w:pStyle w:val="Heading2"/>
      </w:pPr>
      <w:r>
        <w:t>Dimension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[Scenario Year]</w:t>
      </w:r>
    </w:p>
    <w:p>
      <w:r>
        <w:t/>
      </w:r>
    </w:p>
    <w:p>
      <w:pPr>
        <w:pStyle w:val="Heading2"/>
      </w:pPr>
      <w:r>
        <w:t>Measure 1 - Total Emissions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Sum(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Aggr(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$(vForecastEmissionsSheet2AtYear(Only([Scenario Year]))),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[Supplier ID],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[Scenario Year],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[Scenario Profile]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)</w:t>
      </w:r>
    </w:p>
    <w:p>
      <w:pPr>
        <w:spacing w:before="0" w:after="0"/>
      </w:pPr>
      <w:r>
        <w:rPr>
          <w:rFonts w:ascii="Courier New" w:hAnsi="Courier New"/>
          <w:sz w:val="18"/>
        </w:rPr>
        <w:t>)</w:t>
      </w:r>
    </w:p>
    <w:p>
      <w:r>
        <w:t/>
      </w:r>
    </w:p>
    <w:p>
      <w:pPr>
        <w:pStyle w:val="Heading2"/>
      </w:pPr>
      <w:r>
        <w:t>Measure 2 - Reduction vs Current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Sum(Aggr(Only([Current Emissions]), [Supplier ID]))</w:t>
      </w:r>
    </w:p>
    <w:p>
      <w:pPr>
        <w:spacing w:before="0" w:after="0"/>
      </w:pPr>
      <w:r>
        <w:rPr>
          <w:rFonts w:ascii="Courier New" w:hAnsi="Courier New"/>
          <w:sz w:val="18"/>
        </w:rPr>
        <w:t>-</w:t>
      </w:r>
    </w:p>
    <w:p>
      <w:pPr>
        <w:spacing w:before="0" w:after="0"/>
      </w:pPr>
      <w:r>
        <w:rPr>
          <w:rFonts w:ascii="Courier New" w:hAnsi="Courier New"/>
          <w:sz w:val="18"/>
        </w:rPr>
        <w:t>Sum(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Aggr(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$(vForecastEmissionsSheet2AtYear(Only([Scenario Year]))),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[Supplier ID],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[Scenario Year],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[Scenario Profile]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)</w:t>
      </w:r>
    </w:p>
    <w:p>
      <w:pPr>
        <w:spacing w:before="0" w:after="0"/>
      </w:pPr>
      <w:r>
        <w:rPr>
          <w:rFonts w:ascii="Courier New" w:hAnsi="Courier New"/>
          <w:sz w:val="18"/>
        </w:rPr>
        <w:t>)</w:t>
      </w:r>
    </w:p>
    <w:p>
      <w:r>
        <w:t/>
      </w:r>
    </w:p>
    <w:p>
      <w:pPr>
        <w:pStyle w:val="Heading2"/>
      </w:pPr>
      <w:r>
        <w:t>Measure 3 - Reduction vs Current %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Sum(Aggr(Only([Current Emissions]), [Supplier ID]))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-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Sum(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Aggr(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$(vForecastEmissionsSheet2AtYear(Only([Scenario Year]))),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[Supplier ID],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[Scenario Year],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    [Scenario Profile]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    )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)</w:t>
      </w:r>
    </w:p>
    <w:p>
      <w:pPr>
        <w:spacing w:before="0" w:after="0"/>
      </w:pPr>
      <w:r>
        <w:rPr>
          <w:rFonts w:ascii="Courier New" w:hAnsi="Courier New"/>
          <w:sz w:val="18"/>
        </w:rPr>
        <w:t>)</w:t>
      </w:r>
    </w:p>
    <w:p>
      <w:pPr>
        <w:spacing w:before="0" w:after="0"/>
      </w:pPr>
      <w:r>
        <w:rPr>
          <w:rFonts w:ascii="Courier New" w:hAnsi="Courier New"/>
          <w:sz w:val="18"/>
        </w:rPr>
        <w:t>/</w:t>
      </w:r>
    </w:p>
    <w:p>
      <w:pPr>
        <w:spacing w:before="0" w:after="0"/>
      </w:pPr>
      <w:r>
        <w:rPr>
          <w:rFonts w:ascii="Courier New" w:hAnsi="Courier New"/>
          <w:sz w:val="18"/>
        </w:rPr>
        <w:t>Sum(Aggr(Only([Current Emissions]), [Supplier ID]))</w:t>
      </w:r>
    </w:p>
    <w:p>
      <w:r>
        <w:t/>
      </w:r>
    </w:p>
    <w:p>
      <w:pPr>
        <w:pStyle w:val="Heading2"/>
      </w:pPr>
      <w:r>
        <w:t>Measure 4 - Forecast Flag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If(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Only([Scenario Year]) &lt;= Max(TOTAL [Current Year]),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'Actual',</w:t>
      </w:r>
    </w:p>
    <w:p>
      <w:pPr>
        <w:spacing w:before="0" w:after="0"/>
      </w:pPr>
      <w:r>
        <w:rPr>
          <w:rFonts w:ascii="Courier New" w:hAnsi="Courier New"/>
          <w:sz w:val="18"/>
        </w:rPr>
        <w:t xml:space="preserve">    'Forecast'</w:t>
      </w:r>
    </w:p>
    <w:p>
      <w:pPr>
        <w:spacing w:before="0" w:after="0"/>
      </w:pPr>
      <w:r>
        <w:rPr>
          <w:rFonts w:ascii="Courier New" w:hAnsi="Courier New"/>
          <w:sz w:val="18"/>
        </w:rPr>
        <w:t>)</w:t>
      </w:r>
    </w:p>
    <w:p>
      <w:r>
        <w:t/>
      </w:r>
    </w:p>
    <w:p>
      <w:pPr>
        <w:pStyle w:val="Heading2"/>
      </w:pPr>
      <w:r>
        <w:t>Sort</w:t>
      </w:r>
    </w:p>
    <w:p>
      <w:r>
        <w:t/>
      </w:r>
    </w:p>
    <w:p>
      <w:r>
        <w:t>Sort [Scenario Year] ascending.</w:t>
      </w:r>
    </w:p>
    <w:p>
      <w:r>
        <w:t/>
      </w:r>
    </w:p>
    <w:p>
      <w:pPr>
        <w:pStyle w:val="Heading2"/>
      </w:pPr>
      <w:r>
        <w:t>Formatting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| Column | Format |</w:t>
      </w:r>
    </w:p>
    <w:p>
      <w:pPr>
        <w:spacing w:before="0" w:after="0"/>
      </w:pPr>
      <w:r>
        <w:rPr>
          <w:rFonts w:ascii="Courier New" w:hAnsi="Courier New"/>
          <w:sz w:val="18"/>
        </w:rPr>
        <w:t>| --- | --- |</w:t>
      </w:r>
    </w:p>
    <w:p>
      <w:pPr>
        <w:spacing w:before="0" w:after="0"/>
      </w:pPr>
      <w:r>
        <w:rPr>
          <w:rFonts w:ascii="Courier New" w:hAnsi="Courier New"/>
          <w:sz w:val="18"/>
        </w:rPr>
        <w:t>| Total Emissions | `#,##0` |</w:t>
      </w:r>
    </w:p>
    <w:p>
      <w:pPr>
        <w:spacing w:before="0" w:after="0"/>
      </w:pPr>
      <w:r>
        <w:rPr>
          <w:rFonts w:ascii="Courier New" w:hAnsi="Courier New"/>
          <w:sz w:val="18"/>
        </w:rPr>
        <w:t>| Reduction vs Current | `#,##0` |</w:t>
      </w:r>
    </w:p>
    <w:p>
      <w:pPr>
        <w:spacing w:before="0" w:after="0"/>
      </w:pPr>
      <w:r>
        <w:rPr>
          <w:rFonts w:ascii="Courier New" w:hAnsi="Courier New"/>
          <w:sz w:val="18"/>
        </w:rPr>
        <w:t>| Reduction vs Current % | `0.0%` |</w:t>
      </w:r>
    </w:p>
    <w:p>
      <w:pPr>
        <w:spacing w:before="0" w:after="0"/>
      </w:pPr>
      <w:r>
        <w:rPr>
          <w:rFonts w:ascii="Courier New" w:hAnsi="Courier New"/>
          <w:sz w:val="18"/>
        </w:rPr>
        <w:t>| Forecast Flag | Text |</w:t>
      </w:r>
    </w:p>
    <w:p>
      <w:r>
        <w:t/>
      </w:r>
    </w:p>
    <w:p>
      <w:pPr>
        <w:pStyle w:val="Heading2"/>
      </w:pPr>
      <w:r>
        <w:t>Development steps</w:t>
      </w:r>
    </w:p>
    <w:p>
      <w:r>
        <w:t/>
      </w:r>
    </w:p>
    <w:p>
      <w:r>
        <w:t>1. Drag a native Straight table object to the bottom area.</w:t>
      </w:r>
    </w:p>
    <w:p>
      <w:r>
        <w:t>2. Add [Scenario Year] as the dimension.</w:t>
      </w:r>
    </w:p>
    <w:p>
      <w:r>
        <w:t>3. Add the four measures above.</w:t>
      </w:r>
    </w:p>
    <w:p>
      <w:r>
        <w:t>4. Sort by year ascending.</w:t>
      </w:r>
    </w:p>
    <w:p>
      <w:r>
        <w:t>5. Freeze or keep the year column visible if supported.</w:t>
      </w:r>
    </w:p>
    <w:p>
      <w:r>
        <w:t>6. Apply conditional color:</w:t>
      </w:r>
    </w:p>
    <w:p>
      <w:pPr>
        <w:numPr>
          <w:ilvl w:val="0"/>
          <w:numId w:val="1"/>
        </w:numPr>
      </w:pPr>
      <w:r>
        <w:t>`Actual`: navy</w:t>
      </w:r>
    </w:p>
    <w:p>
      <w:pPr>
        <w:numPr>
          <w:ilvl w:val="0"/>
          <w:numId w:val="1"/>
        </w:numPr>
      </w:pPr>
      <w:r>
        <w:t>`Forecast`: blue or green</w:t>
      </w:r>
    </w:p>
    <w:p>
      <w:r>
        <w:t>7. Enable download/export if permitted by governance.</w:t>
      </w:r>
    </w:p>
    <w:p>
      <w:r>
        <w:t/>
      </w:r>
    </w:p>
    <w:p>
      <w:pPr>
        <w:pStyle w:val="Heading1"/>
      </w:pPr>
      <w:r>
        <w:t>16. Object 14 - Footnote and data governance note</w:t>
      </w:r>
    </w:p>
    <w:p>
      <w:r>
        <w:t/>
      </w:r>
    </w:p>
    <w:p>
      <w:pPr>
        <w:pStyle w:val="Heading2"/>
      </w:pPr>
      <w:r>
        <w:t>Business purpose</w:t>
      </w:r>
    </w:p>
    <w:p>
      <w:r>
        <w:t/>
      </w:r>
    </w:p>
    <w:p>
      <w:r>
        <w:t>Documents assumptions and prevents users from interpreting what-if outputs as</w:t>
      </w:r>
    </w:p>
    <w:p>
      <w:r>
        <w:t>externally assured emissions results.</w:t>
      </w:r>
    </w:p>
    <w:p>
      <w:r>
        <w:t/>
      </w:r>
    </w:p>
    <w:p>
      <w:pPr>
        <w:pStyle w:val="Heading2"/>
      </w:pPr>
      <w:r>
        <w:t>Native object</w:t>
      </w:r>
    </w:p>
    <w:p>
      <w:r>
        <w:t/>
      </w:r>
    </w:p>
    <w:p>
      <w:r>
        <w:t>Text and image object.</w:t>
      </w:r>
    </w:p>
    <w:p>
      <w:r>
        <w:t/>
      </w:r>
    </w:p>
    <w:p>
      <w:pPr>
        <w:pStyle w:val="Heading2"/>
      </w:pPr>
      <w:r>
        <w:t>Placement</w:t>
      </w:r>
    </w:p>
    <w:p>
      <w:r>
        <w:t/>
      </w:r>
    </w:p>
    <w:p>
      <w:r>
        <w:t>Below the bottom table.</w:t>
      </w:r>
    </w:p>
    <w:p>
      <w:r>
        <w:t/>
      </w:r>
    </w:p>
    <w:p>
      <w:pPr>
        <w:pStyle w:val="Heading2"/>
      </w:pPr>
      <w:r>
        <w:t>Text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Note: Emissions are in tCO2e. Forecast values use supplier targets where</w:t>
      </w:r>
    </w:p>
    <w:p>
      <w:pPr>
        <w:spacing w:before="0" w:after="0"/>
      </w:pPr>
      <w:r>
        <w:rPr>
          <w:rFonts w:ascii="Courier New" w:hAnsi="Courier New"/>
          <w:sz w:val="18"/>
        </w:rPr>
        <w:t>available and expert judgement where supplier targets are unavailable.</w:t>
      </w:r>
    </w:p>
    <w:p>
      <w:pPr>
        <w:spacing w:before="0" w:after="0"/>
      </w:pPr>
      <w:r>
        <w:rPr>
          <w:rFonts w:ascii="Courier New" w:hAnsi="Courier New"/>
          <w:sz w:val="18"/>
        </w:rPr>
        <w:t>Supplier-specific adjustments and scenario variables are what-if assumptions and</w:t>
      </w:r>
    </w:p>
    <w:p>
      <w:pPr>
        <w:spacing w:before="0" w:after="0"/>
      </w:pPr>
      <w:r>
        <w:rPr>
          <w:rFonts w:ascii="Courier New" w:hAnsi="Courier New"/>
          <w:sz w:val="18"/>
        </w:rPr>
        <w:t>do not overwrite source data.</w:t>
      </w:r>
    </w:p>
    <w:p>
      <w:r>
        <w:t/>
      </w:r>
    </w:p>
    <w:p>
      <w:pPr>
        <w:pStyle w:val="Heading2"/>
      </w:pPr>
      <w:r>
        <w:t>Formatting</w:t>
      </w:r>
    </w:p>
    <w:p>
      <w:r>
        <w:t/>
      </w:r>
    </w:p>
    <w:p>
      <w:pPr>
        <w:numPr>
          <w:ilvl w:val="0"/>
          <w:numId w:val="1"/>
        </w:numPr>
      </w:pPr>
      <w:r>
        <w:t>Font size: 9 px.</w:t>
      </w:r>
    </w:p>
    <w:p>
      <w:pPr>
        <w:numPr>
          <w:ilvl w:val="0"/>
          <w:numId w:val="1"/>
        </w:numPr>
      </w:pPr>
      <w:r>
        <w:t>Color: `#4B5563`.</w:t>
      </w:r>
    </w:p>
    <w:p>
      <w:r>
        <w:t/>
      </w:r>
    </w:p>
    <w:p>
      <w:pPr>
        <w:pStyle w:val="Heading1"/>
      </w:pPr>
      <w:r>
        <w:t>17. End-to-end build sequence</w:t>
      </w:r>
    </w:p>
    <w:p>
      <w:r>
        <w:t/>
      </w:r>
    </w:p>
    <w:p>
      <w:r>
        <w:t>Follow this order to develop the dashboard efficiently:</w:t>
      </w:r>
    </w:p>
    <w:p>
      <w:r>
        <w:t/>
      </w:r>
    </w:p>
    <w:p>
      <w:r>
        <w:t>1. Reload the data model.</w:t>
      </w:r>
    </w:p>
    <w:p>
      <w:r>
        <w:t>2. Create all variables.</w:t>
      </w:r>
    </w:p>
    <w:p>
      <w:r>
        <w:t>3. Create master dimensions.</w:t>
      </w:r>
    </w:p>
    <w:p>
      <w:r>
        <w:t>4. Create master measures.</w:t>
      </w:r>
    </w:p>
    <w:p>
      <w:r>
        <w:t>5. Create the sheet canvas.</w:t>
      </w:r>
    </w:p>
    <w:p>
      <w:r>
        <w:t>6. Build the header.</w:t>
      </w:r>
    </w:p>
    <w:p>
      <w:r>
        <w:t>7. Build the left control panel.</w:t>
      </w:r>
    </w:p>
    <w:p>
      <w:r>
        <w:t>8. Build the supplier-specific slider panel.</w:t>
      </w:r>
    </w:p>
    <w:p>
      <w:r>
        <w:t>9. Build the reset button.</w:t>
      </w:r>
    </w:p>
    <w:p>
      <w:r>
        <w:t>10. Build the KPI row.</w:t>
      </w:r>
    </w:p>
    <w:p>
      <w:r>
        <w:t>11. Build the main line chart.</w:t>
      </w:r>
    </w:p>
    <w:p>
      <w:r>
        <w:t>12. Build the scenario assumptions card.</w:t>
      </w:r>
    </w:p>
    <w:p>
      <w:r>
        <w:t>13. Build the forecast method donut chart.</w:t>
      </w:r>
    </w:p>
    <w:p>
      <w:r>
        <w:t>14. Build the industry bar chart.</w:t>
      </w:r>
    </w:p>
    <w:p>
      <w:r>
        <w:t>15. Build the year-by-year forecast table.</w:t>
      </w:r>
    </w:p>
    <w:p>
      <w:r>
        <w:t>16. Add the footnote.</w:t>
      </w:r>
    </w:p>
    <w:p>
      <w:r>
        <w:t>17. Create the default bookmark.</w:t>
      </w:r>
    </w:p>
    <w:p>
      <w:r>
        <w:t>18. Test all controls and selections.</w:t>
      </w:r>
    </w:p>
    <w:p>
      <w:r>
        <w:t/>
      </w:r>
    </w:p>
    <w:p>
      <w:pPr>
        <w:pStyle w:val="Heading1"/>
      </w:pPr>
      <w:r>
        <w:t>18. Default bookmark setup</w:t>
      </w:r>
    </w:p>
    <w:p>
      <w:r>
        <w:t/>
      </w:r>
    </w:p>
    <w:p>
      <w:r>
        <w:t>Create a bookmark named: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Default - Multi-Supplier Scenario</w:t>
      </w:r>
    </w:p>
    <w:p>
      <w:r>
        <w:t/>
      </w:r>
    </w:p>
    <w:p>
      <w:r>
        <w:t>Recommended default selections: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Supplier Group = Top 25 Suppliers</w:t>
      </w:r>
    </w:p>
    <w:p>
      <w:pPr>
        <w:spacing w:before="0" w:after="0"/>
      </w:pPr>
      <w:r>
        <w:rPr>
          <w:rFonts w:ascii="Courier New" w:hAnsi="Courier New"/>
          <w:sz w:val="18"/>
        </w:rPr>
        <w:t>Scenario Profile = What-if Scenario A - Multi-Supplier</w:t>
      </w:r>
    </w:p>
    <w:p>
      <w:pPr>
        <w:spacing w:before="0" w:after="0"/>
      </w:pPr>
      <w:r>
        <w:rPr>
          <w:rFonts w:ascii="Courier New" w:hAnsi="Courier New"/>
          <w:sz w:val="18"/>
        </w:rPr>
        <w:t>Forecast Method = all</w:t>
      </w:r>
    </w:p>
    <w:p>
      <w:r>
        <w:t/>
      </w:r>
    </w:p>
    <w:p>
      <w:r>
        <w:t>Default variable values:</w:t>
      </w:r>
    </w:p>
    <w:p>
      <w:r>
        <w:t/>
      </w:r>
    </w:p>
    <w:p>
      <w:pPr>
        <w:spacing w:before="0" w:after="0"/>
      </w:pPr>
      <w:r>
        <w:rPr>
          <w:rFonts w:ascii="Courier New" w:hAnsi="Courier New"/>
          <w:sz w:val="18"/>
        </w:rPr>
        <w:t>vForecastYear = 2030</w:t>
      </w:r>
    </w:p>
    <w:p>
      <w:pPr>
        <w:spacing w:before="0" w:after="0"/>
      </w:pPr>
      <w:r>
        <w:rPr>
          <w:rFonts w:ascii="Courier New" w:hAnsi="Courier New"/>
          <w:sz w:val="18"/>
        </w:rPr>
        <w:t>vOverallAdditionalReductionPct = 0.12</w:t>
      </w:r>
    </w:p>
    <w:p>
      <w:pPr>
        <w:spacing w:before="0" w:after="0"/>
      </w:pPr>
      <w:r>
        <w:rPr>
          <w:rFonts w:ascii="Courier New" w:hAnsi="Courier New"/>
          <w:sz w:val="18"/>
        </w:rPr>
        <w:t>vExpertJudgementAdjustmentPct = 0.03</w:t>
      </w:r>
    </w:p>
    <w:p>
      <w:pPr>
        <w:spacing w:before="0" w:after="0"/>
      </w:pPr>
      <w:r>
        <w:rPr>
          <w:rFonts w:ascii="Courier New" w:hAnsi="Courier New"/>
          <w:sz w:val="18"/>
        </w:rPr>
        <w:t>vGrowthAdjustmentPct = 0.02</w:t>
      </w:r>
    </w:p>
    <w:p>
      <w:pPr>
        <w:spacing w:before="0" w:after="0"/>
      </w:pPr>
      <w:r>
        <w:rPr>
          <w:rFonts w:ascii="Courier New" w:hAnsi="Courier New"/>
          <w:sz w:val="18"/>
        </w:rPr>
        <w:t>vNetZeroYear = 2050</w:t>
      </w:r>
    </w:p>
    <w:p>
      <w:r>
        <w:t/>
      </w:r>
    </w:p>
    <w:p>
      <w:pPr>
        <w:pStyle w:val="Heading1"/>
      </w:pPr>
      <w:r>
        <w:t>19. Front-end testing checklist</w:t>
      </w:r>
    </w:p>
    <w:p>
      <w:r>
        <w:t/>
      </w:r>
    </w:p>
    <w:p>
      <w:r>
        <w:t>Use this checklist before publishing the app:</w:t>
      </w:r>
    </w:p>
    <w:p>
      <w:r>
        <w:t/>
      </w:r>
    </w:p>
    <w:p>
      <w:r>
        <w:t>1. Move the Overall Additional Reduction slider and confirm:</w:t>
      </w:r>
    </w:p>
    <w:p>
      <w:pPr>
        <w:numPr>
          <w:ilvl w:val="0"/>
          <w:numId w:val="1"/>
        </w:numPr>
      </w:pPr>
      <w:r>
        <w:t>Total Forecast Emissions changes.</w:t>
      </w:r>
    </w:p>
    <w:p>
      <w:pPr>
        <w:numPr>
          <w:ilvl w:val="0"/>
          <w:numId w:val="1"/>
        </w:numPr>
      </w:pPr>
      <w:r>
        <w:t>Total Reduction changes.</w:t>
      </w:r>
    </w:p>
    <w:p>
      <w:pPr>
        <w:numPr>
          <w:ilvl w:val="0"/>
          <w:numId w:val="1"/>
        </w:numPr>
      </w:pPr>
      <w:r>
        <w:t>Reduction Achieved changes.</w:t>
      </w:r>
    </w:p>
    <w:p>
      <w:pPr>
        <w:numPr>
          <w:ilvl w:val="0"/>
          <w:numId w:val="1"/>
        </w:numPr>
      </w:pPr>
      <w:r>
        <w:t>Main line chart changes.</w:t>
      </w:r>
    </w:p>
    <w:p>
      <w:r>
        <w:t>2. Select Top 25 Suppliers and confirm all charts filter to that group.</w:t>
      </w:r>
    </w:p>
    <w:p>
      <w:r>
        <w:t>3. Select Expert Judgement Suppliers and confirm supplier counts and method</w:t>
      </w:r>
    </w:p>
    <w:p>
      <w:r>
        <w:t xml:space="preserve">   distribution update.</w:t>
      </w:r>
    </w:p>
    <w:p>
      <w:r>
        <w:t>4. Move a supplier-specific slider and confirm the forecast changes.</w:t>
      </w:r>
    </w:p>
    <w:p>
      <w:r>
        <w:t>5. Click Reset to Default and confirm all variables return to defaults.</w:t>
      </w:r>
    </w:p>
    <w:p>
      <w:r>
        <w:t>6. Select each scenario profile and confirm the line chart changes.</w:t>
      </w:r>
    </w:p>
    <w:p>
      <w:r>
        <w:t>7. Confirm industry bar chart sorts descending.</w:t>
      </w:r>
    </w:p>
    <w:p>
      <w:r>
        <w:t>8. Confirm year-by-year table sorts ascending.</w:t>
      </w:r>
    </w:p>
    <w:p>
      <w:r>
        <w:t>9. Confirm all number formats display emissions as tCO2e or percentages.</w:t>
      </w:r>
    </w:p>
    <w:p>
      <w:r>
        <w:t>10. Confirm no third-party extension objects are used.</w:t>
      </w:r>
    </w:p>
    <w:p>
      <w:r>
        <w:t/>
      </w:r>
    </w:p>
    <w:p>
      <w:pPr>
        <w:pStyle w:val="Heading1"/>
      </w:pPr>
      <w:r>
        <w:t>20. Publish checklist</w:t>
      </w:r>
    </w:p>
    <w:p>
      <w:r>
        <w:t/>
      </w:r>
    </w:p>
    <w:p>
      <w:r>
        <w:t>Before publishing:</w:t>
      </w:r>
    </w:p>
    <w:p>
      <w:r>
        <w:t/>
      </w:r>
    </w:p>
    <w:p>
      <w:r>
        <w:t>1. Apply the approved Qlik theme.</w:t>
      </w:r>
    </w:p>
    <w:p>
      <w:r>
        <w:t>2. Verify object titles and subtitles.</w:t>
      </w:r>
    </w:p>
    <w:p>
      <w:r>
        <w:t>3. Verify all expressions use master measures where possible.</w:t>
      </w:r>
    </w:p>
    <w:p>
      <w:r>
        <w:t>4. Verify export permissions for the table.</w:t>
      </w:r>
    </w:p>
    <w:p>
      <w:r>
        <w:t>5. Confirm reload ownership and data connection ownership.</w:t>
      </w:r>
    </w:p>
    <w:p>
      <w:r>
        <w:t>6. Add the default bookmark.</w:t>
      </w:r>
    </w:p>
    <w:p>
      <w:r>
        <w:t>7. Publish to the governed stream or managed space.</w:t>
      </w:r>
    </w:p>
    <w:sectPr>
      <w:pgSz w:w="15840" w:h="12240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lvlJc w:val="left"/>
      <w:pPr>
        <w:ind w:left="36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1"/>
    </w:rPr>
    <w:pPr>
      <w:spacing w:after="120"/>
    </w:pPr>
  </w:style>
  <w:style w:type="paragraph" w:styleId="Title">
    <w:name w:val="Title"/>
    <w:basedOn w:val="Normal"/>
    <w:rPr>
      <w:b/>
      <w:sz w:val="38"/>
      <w:color w:val="061F3D"/>
    </w:rPr>
    <w:pPr>
      <w:spacing w:after="240"/>
    </w:pPr>
  </w:style>
  <w:style w:type="paragraph" w:styleId="Heading1">
    <w:name w:val="heading 1"/>
    <w:basedOn w:val="Normal"/>
    <w:rPr>
      <w:b/>
      <w:sz w:val="30"/>
      <w:color w:val="0B2E5F"/>
    </w:rPr>
    <w:pPr>
      <w:spacing w:before="240" w:after="120"/>
    </w:pPr>
  </w:style>
  <w:style w:type="paragraph" w:styleId="Heading2">
    <w:name w:val="heading 2"/>
    <w:basedOn w:val="Normal"/>
    <w:rPr>
      <w:b/>
      <w:sz w:val="25"/>
      <w:color w:val="16A34A"/>
    </w:rPr>
    <w:pPr>
      <w:spacing w:before="180" w:after="90"/>
    </w:pPr>
  </w:style>
  <w:style w:type="paragraph" w:styleId="Heading3">
    <w:name w:val="heading 3"/>
    <w:basedOn w:val="Normal"/>
    <w:rPr>
      <w:b/>
      <w:sz w:val="22"/>
      <w:color w:val="374151"/>
    </w:rPr>
    <w:pPr>
      <w:spacing w:before="120" w:after="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Cursor Cloud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Sheet 2 Front Dashboard Design and Development Steps</dc:title>
  <dc:subject>Qlik Sense ESG what-if dashboard build guide</dc:subject>
  <dc:creator>Cursor Cloud Agent</dc:creator>
  <cp:keywords>Qlik Sense, ESG, supply chain emissions, what-if analysis</cp:keywords>
</cp:coreProperties>
</file>