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AEACC" w14:textId="4E260829" w:rsidR="00676853" w:rsidRPr="006A6301" w:rsidRDefault="00676853">
      <w:pPr>
        <w:rPr>
          <w:b/>
          <w:bCs/>
        </w:rPr>
      </w:pPr>
      <w:r w:rsidRPr="006A6301">
        <w:rPr>
          <w:b/>
          <w:bCs/>
        </w:rPr>
        <w:t>Creación de ID´S recibo BIRMEX</w:t>
      </w:r>
      <w:r w:rsidR="005A2B86">
        <w:rPr>
          <w:b/>
          <w:bCs/>
        </w:rPr>
        <w:t xml:space="preserve"> e </w:t>
      </w:r>
      <w:r w:rsidRPr="006A6301">
        <w:rPr>
          <w:b/>
          <w:bCs/>
        </w:rPr>
        <w:t>INSABI TX</w:t>
      </w:r>
    </w:p>
    <w:p w14:paraId="7E0DDA01" w14:textId="3DC611D0" w:rsidR="00676853" w:rsidRDefault="00676853">
      <w:r>
        <w:t xml:space="preserve">La información para llenar el </w:t>
      </w:r>
      <w:proofErr w:type="spellStart"/>
      <w:r w:rsidR="00733C7B">
        <w:t>P</w:t>
      </w:r>
      <w:r>
        <w:t>arser</w:t>
      </w:r>
      <w:proofErr w:type="spellEnd"/>
      <w:r>
        <w:t xml:space="preserve"> se encuentra en los documentos escaneados por regulatorios los cuales envían una vez se presenta el proveedor.</w:t>
      </w:r>
    </w:p>
    <w:p w14:paraId="5C28A1A4" w14:textId="77777777" w:rsidR="00676853" w:rsidRDefault="00676853"/>
    <w:p w14:paraId="39D0FE28" w14:textId="716B7226" w:rsidR="00676853" w:rsidRDefault="00676853">
      <w:r>
        <w:rPr>
          <w:noProof/>
        </w:rPr>
        <w:drawing>
          <wp:inline distT="0" distB="0" distL="0" distR="0" wp14:anchorId="71AC9F77" wp14:editId="7D423EAD">
            <wp:extent cx="6162675" cy="3219450"/>
            <wp:effectExtent l="0" t="0" r="9525" b="0"/>
            <wp:docPr id="123529066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2906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D2223" w14:textId="181E7F11" w:rsidR="00676853" w:rsidRDefault="000B404F" w:rsidP="00676853">
      <w:r>
        <w:t>*</w:t>
      </w:r>
      <w:r w:rsidR="00733C7B">
        <w:t>(Opcional) La</w:t>
      </w:r>
      <w:r w:rsidR="00676853">
        <w:t xml:space="preserve"> orden de remisión se encuentra en la solicitud de cita enviada por el cliente, el cual se localiza por el </w:t>
      </w:r>
      <w:r w:rsidR="00733C7B">
        <w:t>número</w:t>
      </w:r>
      <w:r w:rsidR="00676853">
        <w:t xml:space="preserve"> de folio</w:t>
      </w:r>
      <w:r w:rsidR="00733C7B">
        <w:t>.</w:t>
      </w:r>
    </w:p>
    <w:p w14:paraId="6C2B9C03" w14:textId="1C2D50BE" w:rsidR="00676853" w:rsidRDefault="00676853">
      <w:r>
        <w:rPr>
          <w:noProof/>
        </w:rPr>
        <w:drawing>
          <wp:inline distT="0" distB="0" distL="0" distR="0" wp14:anchorId="117F5381" wp14:editId="1ED31CCD">
            <wp:extent cx="5848350" cy="2790825"/>
            <wp:effectExtent l="0" t="0" r="0" b="9525"/>
            <wp:docPr id="880461878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461878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1431" cy="2797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018FA" w14:textId="77777777" w:rsidR="00733C7B" w:rsidRDefault="00733C7B" w:rsidP="00B9168E"/>
    <w:p w14:paraId="541669C9" w14:textId="77777777" w:rsidR="00733C7B" w:rsidRDefault="00733C7B" w:rsidP="00B9168E"/>
    <w:p w14:paraId="11E3CB02" w14:textId="15A0545E" w:rsidR="00B9168E" w:rsidRDefault="00733C7B" w:rsidP="00B9168E">
      <w:r>
        <w:lastRenderedPageBreak/>
        <w:t>Campos para llenar</w:t>
      </w:r>
      <w:r w:rsidR="00B9168E">
        <w:t xml:space="preserve"> en el </w:t>
      </w:r>
      <w:proofErr w:type="spellStart"/>
      <w:r w:rsidR="00B9168E">
        <w:t>Parser</w:t>
      </w:r>
      <w:proofErr w:type="spellEnd"/>
      <w:r w:rsidR="00B32BF9">
        <w:t xml:space="preserve"> </w:t>
      </w:r>
    </w:p>
    <w:p w14:paraId="133F5F5E" w14:textId="404345D6" w:rsidR="00B9168E" w:rsidRDefault="00B9168E" w:rsidP="00B9168E">
      <w:pPr>
        <w:pStyle w:val="Prrafodelista"/>
        <w:numPr>
          <w:ilvl w:val="0"/>
          <w:numId w:val="2"/>
        </w:numPr>
      </w:pPr>
      <w:bookmarkStart w:id="0" w:name="_Hlk133932659"/>
      <w:r>
        <w:t>Numero de remisión</w:t>
      </w:r>
      <w:r w:rsidR="0070766F">
        <w:t xml:space="preserve"> (Colocar una</w:t>
      </w:r>
      <w:r w:rsidR="0070766F" w:rsidRPr="0070766F">
        <w:t xml:space="preserve"> comilla simple (‘)</w:t>
      </w:r>
      <w:r w:rsidR="0070766F">
        <w:t xml:space="preserve"> </w:t>
      </w:r>
      <w:r w:rsidR="00A40C3A">
        <w:t>al principio del número de remisión)</w:t>
      </w:r>
    </w:p>
    <w:p w14:paraId="18979C9F" w14:textId="30BE1F2E" w:rsidR="00034603" w:rsidRDefault="00034603" w:rsidP="00B9168E">
      <w:pPr>
        <w:pStyle w:val="Prrafodelista"/>
        <w:numPr>
          <w:ilvl w:val="0"/>
          <w:numId w:val="2"/>
        </w:numPr>
      </w:pPr>
      <w:r>
        <w:t xml:space="preserve">Código del producto </w:t>
      </w:r>
    </w:p>
    <w:p w14:paraId="296937EF" w14:textId="748FF6F6" w:rsidR="00B9168E" w:rsidRDefault="00B9168E" w:rsidP="00B9168E">
      <w:pPr>
        <w:pStyle w:val="Prrafodelista"/>
        <w:numPr>
          <w:ilvl w:val="0"/>
          <w:numId w:val="2"/>
        </w:numPr>
      </w:pPr>
      <w:r>
        <w:t>Lote</w:t>
      </w:r>
    </w:p>
    <w:p w14:paraId="37FC8115" w14:textId="5D790771" w:rsidR="00B9168E" w:rsidRDefault="00B9168E" w:rsidP="00B9168E">
      <w:pPr>
        <w:pStyle w:val="Prrafodelista"/>
        <w:numPr>
          <w:ilvl w:val="0"/>
          <w:numId w:val="2"/>
        </w:numPr>
      </w:pPr>
      <w:r>
        <w:t>Caducidad</w:t>
      </w:r>
      <w:r w:rsidR="00733C7B">
        <w:t xml:space="preserve"> (AAAAMMDD)</w:t>
      </w:r>
    </w:p>
    <w:p w14:paraId="08225F2D" w14:textId="41A8FAC5" w:rsidR="00B9168E" w:rsidRDefault="00B9168E" w:rsidP="00B9168E">
      <w:pPr>
        <w:pStyle w:val="Prrafodelista"/>
        <w:numPr>
          <w:ilvl w:val="0"/>
          <w:numId w:val="2"/>
        </w:numPr>
      </w:pPr>
      <w:r>
        <w:t>Cantidad</w:t>
      </w:r>
    </w:p>
    <w:p w14:paraId="1A09BB3D" w14:textId="21E6BBAB" w:rsidR="00B9168E" w:rsidRDefault="00B9168E" w:rsidP="00B9168E">
      <w:pPr>
        <w:pStyle w:val="Prrafodelista"/>
        <w:numPr>
          <w:ilvl w:val="0"/>
          <w:numId w:val="2"/>
        </w:numPr>
      </w:pPr>
      <w:r>
        <w:t>No. orden de reposición</w:t>
      </w:r>
    </w:p>
    <w:p w14:paraId="660059D9" w14:textId="71BD6B7D" w:rsidR="00B9168E" w:rsidRDefault="00B9168E" w:rsidP="00B9168E">
      <w:pPr>
        <w:pStyle w:val="Prrafodelista"/>
        <w:numPr>
          <w:ilvl w:val="0"/>
          <w:numId w:val="2"/>
        </w:numPr>
      </w:pPr>
      <w:r>
        <w:t>No. De contrato</w:t>
      </w:r>
    </w:p>
    <w:p w14:paraId="280EE5EA" w14:textId="062A43DB" w:rsidR="00B9168E" w:rsidRDefault="00B9168E" w:rsidP="00B9168E">
      <w:pPr>
        <w:pStyle w:val="Prrafodelista"/>
        <w:numPr>
          <w:ilvl w:val="0"/>
          <w:numId w:val="2"/>
        </w:numPr>
      </w:pPr>
      <w:r>
        <w:t>Proveedor</w:t>
      </w:r>
    </w:p>
    <w:p w14:paraId="7C06BA45" w14:textId="4B7E17E9" w:rsidR="00B9168E" w:rsidRDefault="00B9168E" w:rsidP="00B9168E">
      <w:pPr>
        <w:pStyle w:val="Prrafodelista"/>
        <w:numPr>
          <w:ilvl w:val="0"/>
          <w:numId w:val="2"/>
        </w:numPr>
      </w:pPr>
      <w:r>
        <w:t>Precio de compra</w:t>
      </w:r>
    </w:p>
    <w:p w14:paraId="352760CC" w14:textId="591F40E6" w:rsidR="00B9168E" w:rsidRDefault="00B9168E" w:rsidP="00B9168E">
      <w:pPr>
        <w:pStyle w:val="Prrafodelista"/>
        <w:numPr>
          <w:ilvl w:val="0"/>
          <w:numId w:val="2"/>
        </w:numPr>
      </w:pPr>
      <w:r>
        <w:t>Iva</w:t>
      </w:r>
    </w:p>
    <w:p w14:paraId="4CB42605" w14:textId="2049D7EA" w:rsidR="00B9168E" w:rsidRDefault="00B9168E" w:rsidP="00B9168E">
      <w:pPr>
        <w:pStyle w:val="Prrafodelista"/>
        <w:numPr>
          <w:ilvl w:val="0"/>
          <w:numId w:val="2"/>
        </w:numPr>
      </w:pPr>
      <w:r>
        <w:t>Tipo de moneda</w:t>
      </w:r>
    </w:p>
    <w:p w14:paraId="5C2088DE" w14:textId="306A8CC4" w:rsidR="00B9168E" w:rsidRDefault="00B9168E" w:rsidP="00B9168E">
      <w:pPr>
        <w:pStyle w:val="Prrafodelista"/>
        <w:numPr>
          <w:ilvl w:val="0"/>
          <w:numId w:val="2"/>
        </w:numPr>
      </w:pPr>
      <w:r>
        <w:t>Fecha de emisión</w:t>
      </w:r>
      <w:r w:rsidR="00733C7B">
        <w:t xml:space="preserve"> (AAAAMMDD)</w:t>
      </w:r>
    </w:p>
    <w:p w14:paraId="2DE46A02" w14:textId="50379489" w:rsidR="00B9168E" w:rsidRDefault="00B9168E" w:rsidP="00B9168E">
      <w:pPr>
        <w:pStyle w:val="Prrafodelista"/>
        <w:numPr>
          <w:ilvl w:val="0"/>
          <w:numId w:val="2"/>
        </w:numPr>
      </w:pPr>
      <w:r>
        <w:t>Fecha máxima de entrega</w:t>
      </w:r>
      <w:r w:rsidR="00733C7B">
        <w:t xml:space="preserve"> (AAAAMMDD)</w:t>
      </w:r>
    </w:p>
    <w:p w14:paraId="5F3E559B" w14:textId="071F6F64" w:rsidR="00B9168E" w:rsidRDefault="00B9168E" w:rsidP="00B9168E">
      <w:pPr>
        <w:pStyle w:val="Prrafodelista"/>
        <w:numPr>
          <w:ilvl w:val="0"/>
          <w:numId w:val="2"/>
        </w:numPr>
      </w:pPr>
      <w:r>
        <w:t xml:space="preserve">Fecha de fabricación </w:t>
      </w:r>
      <w:r w:rsidR="00733C7B">
        <w:t>(AAAAMMDD)</w:t>
      </w:r>
    </w:p>
    <w:p w14:paraId="38BF180F" w14:textId="5B0E0670" w:rsidR="00B9168E" w:rsidRDefault="00B9168E" w:rsidP="00B9168E">
      <w:pPr>
        <w:pStyle w:val="Prrafodelista"/>
        <w:numPr>
          <w:ilvl w:val="0"/>
          <w:numId w:val="2"/>
        </w:numPr>
      </w:pPr>
      <w:r>
        <w:t>Registro sanitario</w:t>
      </w:r>
    </w:p>
    <w:p w14:paraId="2F8C63C2" w14:textId="1C7AF988" w:rsidR="00B9168E" w:rsidRDefault="00B9168E" w:rsidP="00B9168E">
      <w:pPr>
        <w:pStyle w:val="Prrafodelista"/>
        <w:numPr>
          <w:ilvl w:val="0"/>
          <w:numId w:val="2"/>
        </w:numPr>
      </w:pPr>
      <w:r>
        <w:t xml:space="preserve">País de origen </w:t>
      </w:r>
    </w:p>
    <w:p w14:paraId="4D5C6B76" w14:textId="0F5966FA" w:rsidR="00B9168E" w:rsidRDefault="00B9168E" w:rsidP="00B9168E">
      <w:pPr>
        <w:pStyle w:val="Prrafodelista"/>
        <w:numPr>
          <w:ilvl w:val="0"/>
          <w:numId w:val="2"/>
        </w:numPr>
      </w:pPr>
      <w:r>
        <w:t>Marca</w:t>
      </w:r>
    </w:p>
    <w:p w14:paraId="410DCD00" w14:textId="665A3858" w:rsidR="00B9168E" w:rsidRDefault="00B9168E" w:rsidP="00B9168E">
      <w:pPr>
        <w:pStyle w:val="Prrafodelista"/>
        <w:numPr>
          <w:ilvl w:val="0"/>
          <w:numId w:val="2"/>
        </w:numPr>
      </w:pPr>
      <w:r>
        <w:t>Destino</w:t>
      </w:r>
    </w:p>
    <w:p w14:paraId="096EDA61" w14:textId="6E1BE848" w:rsidR="00B9168E" w:rsidRDefault="00B9168E" w:rsidP="00B9168E">
      <w:pPr>
        <w:pStyle w:val="Prrafodelista"/>
        <w:numPr>
          <w:ilvl w:val="0"/>
          <w:numId w:val="2"/>
        </w:numPr>
      </w:pPr>
      <w:r>
        <w:t>Licitación</w:t>
      </w:r>
    </w:p>
    <w:p w14:paraId="6490BEB9" w14:textId="3A16CD15" w:rsidR="00B9168E" w:rsidRDefault="00B9168E" w:rsidP="00B9168E">
      <w:pPr>
        <w:pStyle w:val="Prrafodelista"/>
        <w:numPr>
          <w:ilvl w:val="0"/>
          <w:numId w:val="2"/>
        </w:numPr>
      </w:pPr>
      <w:r>
        <w:t>Entidad federativa</w:t>
      </w:r>
    </w:p>
    <w:p w14:paraId="2C86F70A" w14:textId="163ECD60" w:rsidR="00985EBF" w:rsidRDefault="00B9168E" w:rsidP="00733C7B">
      <w:pPr>
        <w:pStyle w:val="Prrafodelista"/>
        <w:numPr>
          <w:ilvl w:val="0"/>
          <w:numId w:val="2"/>
        </w:numPr>
      </w:pPr>
      <w:r>
        <w:t>Canje</w:t>
      </w:r>
    </w:p>
    <w:bookmarkEnd w:id="0"/>
    <w:p w14:paraId="7777467D" w14:textId="77777777" w:rsidR="00733C7B" w:rsidRDefault="00733C7B" w:rsidP="00B9168E"/>
    <w:p w14:paraId="3EEF92BC" w14:textId="77777777" w:rsidR="00733C7B" w:rsidRDefault="00733C7B" w:rsidP="00B9168E"/>
    <w:p w14:paraId="444B5CB6" w14:textId="77777777" w:rsidR="00733C7B" w:rsidRDefault="00733C7B" w:rsidP="00B9168E"/>
    <w:p w14:paraId="50AA47E1" w14:textId="77777777" w:rsidR="00733C7B" w:rsidRDefault="00733C7B" w:rsidP="00B9168E"/>
    <w:p w14:paraId="682C5CE5" w14:textId="77777777" w:rsidR="00733C7B" w:rsidRDefault="00733C7B" w:rsidP="00B9168E"/>
    <w:p w14:paraId="2D245F1E" w14:textId="77777777" w:rsidR="00733C7B" w:rsidRDefault="00733C7B" w:rsidP="00B9168E"/>
    <w:p w14:paraId="305D11A7" w14:textId="77777777" w:rsidR="00733C7B" w:rsidRDefault="00733C7B" w:rsidP="00B9168E"/>
    <w:p w14:paraId="726940ED" w14:textId="77777777" w:rsidR="00733C7B" w:rsidRDefault="00733C7B" w:rsidP="00B9168E"/>
    <w:p w14:paraId="74FD74B4" w14:textId="77777777" w:rsidR="00733C7B" w:rsidRDefault="00733C7B" w:rsidP="00B9168E"/>
    <w:p w14:paraId="6CA50900" w14:textId="77777777" w:rsidR="00733C7B" w:rsidRDefault="00733C7B" w:rsidP="00B9168E"/>
    <w:p w14:paraId="386E5491" w14:textId="77777777" w:rsidR="00733C7B" w:rsidRDefault="00733C7B" w:rsidP="00B9168E"/>
    <w:p w14:paraId="078E6EA7" w14:textId="77777777" w:rsidR="00733C7B" w:rsidRDefault="00733C7B" w:rsidP="00B9168E"/>
    <w:p w14:paraId="3C69EAB7" w14:textId="77777777" w:rsidR="00733C7B" w:rsidRDefault="00733C7B" w:rsidP="00B9168E"/>
    <w:p w14:paraId="74ACB85E" w14:textId="77777777" w:rsidR="00733C7B" w:rsidRDefault="00733C7B" w:rsidP="00B9168E"/>
    <w:p w14:paraId="3E34E8ED" w14:textId="77777777" w:rsidR="00E52C1D" w:rsidRDefault="00E52C1D" w:rsidP="00B9168E"/>
    <w:p w14:paraId="1122FBDE" w14:textId="1BB3630C" w:rsidR="00985EBF" w:rsidRDefault="00BD3689" w:rsidP="00B9168E">
      <w:r>
        <w:t xml:space="preserve">Los puntos 1, 2, 3, 4, 5, 6, 7, 8, 12, 13, 14, 16, 17, 18, 19 y 20 se encuentran en la orden de remisión </w:t>
      </w:r>
    </w:p>
    <w:p w14:paraId="5B633C66" w14:textId="4BEB909C" w:rsidR="00985EBF" w:rsidRDefault="00733C7B" w:rsidP="00B9168E">
      <w:r>
        <w:rPr>
          <w:noProof/>
        </w:rPr>
        <w:drawing>
          <wp:anchor distT="0" distB="0" distL="114300" distR="114300" simplePos="0" relativeHeight="251658240" behindDoc="0" locked="0" layoutInCell="1" allowOverlap="1" wp14:anchorId="45D1979B" wp14:editId="767C08EF">
            <wp:simplePos x="0" y="0"/>
            <wp:positionH relativeFrom="margin">
              <wp:posOffset>-823920</wp:posOffset>
            </wp:positionH>
            <wp:positionV relativeFrom="margin">
              <wp:posOffset>622654</wp:posOffset>
            </wp:positionV>
            <wp:extent cx="7320915" cy="4972050"/>
            <wp:effectExtent l="0" t="0" r="0" b="0"/>
            <wp:wrapSquare wrapText="bothSides"/>
            <wp:docPr id="194574964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0915" cy="497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49C950" w14:textId="2956D2D7" w:rsidR="00985EBF" w:rsidRDefault="00985EBF" w:rsidP="00B9168E"/>
    <w:p w14:paraId="4BFD5495" w14:textId="77777777" w:rsidR="00733C7B" w:rsidRDefault="00733C7B" w:rsidP="00B9168E"/>
    <w:p w14:paraId="224B8B4B" w14:textId="77777777" w:rsidR="00733C7B" w:rsidRDefault="00733C7B" w:rsidP="00B9168E"/>
    <w:p w14:paraId="6B49BCC5" w14:textId="77777777" w:rsidR="00733C7B" w:rsidRDefault="00733C7B" w:rsidP="00B9168E"/>
    <w:p w14:paraId="371A2633" w14:textId="77777777" w:rsidR="00733C7B" w:rsidRDefault="00733C7B" w:rsidP="00B9168E"/>
    <w:p w14:paraId="63E59136" w14:textId="77777777" w:rsidR="00733C7B" w:rsidRDefault="00733C7B" w:rsidP="00B9168E"/>
    <w:p w14:paraId="2BC83DBB" w14:textId="77777777" w:rsidR="00733C7B" w:rsidRDefault="00733C7B" w:rsidP="00B9168E"/>
    <w:p w14:paraId="4058FCE1" w14:textId="77777777" w:rsidR="00733C7B" w:rsidRDefault="00733C7B" w:rsidP="00B9168E"/>
    <w:p w14:paraId="1A5C870D" w14:textId="77777777" w:rsidR="00A375FC" w:rsidRDefault="00A375FC" w:rsidP="00A375FC"/>
    <w:p w14:paraId="26537127" w14:textId="52BC9CE0" w:rsidR="00733C7B" w:rsidRDefault="00A375FC" w:rsidP="00A375FC">
      <w:r>
        <w:t xml:space="preserve">Puntos 9, 10 y 11(Precio de compra, </w:t>
      </w:r>
      <w:r w:rsidR="0070766F">
        <w:t>IVA</w:t>
      </w:r>
      <w:r>
        <w:t xml:space="preserve"> y tipo de moneda)</w:t>
      </w:r>
    </w:p>
    <w:p w14:paraId="7AB43EB0" w14:textId="61B81064" w:rsidR="0070766F" w:rsidRDefault="0070766F" w:rsidP="00A375FC">
      <w:r>
        <w:t>Esta información se consigue en la documentación escaneada por regulatorios, la cual se encuentran en la “remisión” del proveedor. (Varia cada proveedor)</w:t>
      </w:r>
    </w:p>
    <w:p w14:paraId="3D05AE37" w14:textId="77777777" w:rsidR="0070766F" w:rsidRDefault="0070766F" w:rsidP="00A375FC"/>
    <w:p w14:paraId="7B104EA6" w14:textId="1346419C" w:rsidR="0070766F" w:rsidRDefault="0070766F" w:rsidP="00A375FC">
      <w:r>
        <w:rPr>
          <w:noProof/>
        </w:rPr>
        <w:drawing>
          <wp:inline distT="0" distB="0" distL="0" distR="0" wp14:anchorId="094FBE0A" wp14:editId="5640BD75">
            <wp:extent cx="5612130" cy="3427095"/>
            <wp:effectExtent l="0" t="0" r="7620" b="1905"/>
            <wp:docPr id="132708524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08524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2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35BCA" w14:textId="77777777" w:rsidR="0070766F" w:rsidRDefault="0070766F" w:rsidP="00A375FC"/>
    <w:p w14:paraId="41CDAE2B" w14:textId="77777777" w:rsidR="0070766F" w:rsidRDefault="0070766F" w:rsidP="0070766F">
      <w:r>
        <w:t>*En caso de no contar con este documento, el precio de compra se obtiene del archivo en drive “</w:t>
      </w:r>
      <w:r w:rsidRPr="0070766F">
        <w:t>Reporte de Citas Proveedores</w:t>
      </w:r>
      <w:r>
        <w:t xml:space="preserve">” en la pestaña de “LAYOUT CITAS”, buscar por número de remisión y fecha de cita. </w:t>
      </w:r>
    </w:p>
    <w:p w14:paraId="3DBEC338" w14:textId="5151164E" w:rsidR="0070766F" w:rsidRDefault="0070766F" w:rsidP="00B9168E">
      <w:r>
        <w:t>*</w:t>
      </w:r>
      <w:r w:rsidR="00EF5975">
        <w:t>E</w:t>
      </w:r>
      <w:r w:rsidR="00EF5975">
        <w:t xml:space="preserve">n caso de no contar con </w:t>
      </w:r>
      <w:r w:rsidR="00EF5975">
        <w:t>el</w:t>
      </w:r>
      <w:r>
        <w:t xml:space="preserve"> IVA y tipo de moneda se colocará “0” y “MXN”.</w:t>
      </w:r>
    </w:p>
    <w:p w14:paraId="1768BB56" w14:textId="77777777" w:rsidR="00B83850" w:rsidRDefault="00B83850" w:rsidP="00B9168E"/>
    <w:p w14:paraId="7954E641" w14:textId="77777777" w:rsidR="00B83850" w:rsidRDefault="00B83850" w:rsidP="00B9168E"/>
    <w:p w14:paraId="59FF9032" w14:textId="77777777" w:rsidR="00B83850" w:rsidRDefault="00B83850" w:rsidP="00B9168E"/>
    <w:p w14:paraId="3D5F2133" w14:textId="77777777" w:rsidR="00B83850" w:rsidRDefault="00B83850" w:rsidP="00B9168E"/>
    <w:p w14:paraId="060C79CC" w14:textId="77777777" w:rsidR="00B83850" w:rsidRDefault="00B83850" w:rsidP="00B9168E"/>
    <w:p w14:paraId="24DCDFC6" w14:textId="77777777" w:rsidR="00B83850" w:rsidRDefault="00B83850" w:rsidP="00B9168E"/>
    <w:p w14:paraId="2AF0302E" w14:textId="77777777" w:rsidR="00B83850" w:rsidRDefault="00B83850" w:rsidP="00B9168E"/>
    <w:p w14:paraId="4C429382" w14:textId="5B316602" w:rsidR="00B83850" w:rsidRDefault="00A375FC" w:rsidP="00B9168E">
      <w:r>
        <w:lastRenderedPageBreak/>
        <w:t xml:space="preserve">Punto 15 (registro sanitario): Generalmente se encuentra escrita en la documentación escaneada por regulatorios, en la orden de </w:t>
      </w:r>
      <w:r w:rsidR="00B83850">
        <w:t>remisión. (De no ser así solicitar a</w:t>
      </w:r>
      <w:r w:rsidR="003A5BB8">
        <w:t>l</w:t>
      </w:r>
      <w:r w:rsidR="00B83850">
        <w:t xml:space="preserve"> equipo de regulatorios esta información)</w:t>
      </w:r>
    </w:p>
    <w:p w14:paraId="507216D9" w14:textId="77777777" w:rsidR="00B83850" w:rsidRDefault="00B83850" w:rsidP="00B9168E"/>
    <w:p w14:paraId="03FE4FAC" w14:textId="0E541F54" w:rsidR="00A375FC" w:rsidRDefault="00A375FC" w:rsidP="00B9168E">
      <w:r>
        <w:rPr>
          <w:noProof/>
        </w:rPr>
        <w:drawing>
          <wp:inline distT="0" distB="0" distL="0" distR="0" wp14:anchorId="21FD335C" wp14:editId="6306788C">
            <wp:extent cx="5612130" cy="2407285"/>
            <wp:effectExtent l="0" t="0" r="7620" b="0"/>
            <wp:docPr id="120662816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6281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0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27446" w14:textId="77777777" w:rsidR="00B83850" w:rsidRDefault="00B83850" w:rsidP="00B9168E"/>
    <w:p w14:paraId="1124C7D2" w14:textId="4C9D3A41" w:rsidR="00A375FC" w:rsidRDefault="0029659C" w:rsidP="00B9168E">
      <w:r>
        <w:t>*(Opcional) En</w:t>
      </w:r>
      <w:r w:rsidR="00A375FC">
        <w:t xml:space="preserve"> caso de no </w:t>
      </w:r>
      <w:r w:rsidR="0070766F">
        <w:t>estar</w:t>
      </w:r>
      <w:r w:rsidR="00A375FC">
        <w:t xml:space="preserve"> anotada, se escanea la remisión por parte del PBT en donde se </w:t>
      </w:r>
      <w:r w:rsidR="0070766F">
        <w:t>encuentra</w:t>
      </w:r>
      <w:r w:rsidR="00A375FC">
        <w:t xml:space="preserve"> esta información (Varía dependiendo de cada proveedor).</w:t>
      </w:r>
    </w:p>
    <w:p w14:paraId="0EE597E2" w14:textId="24A22A43" w:rsidR="00A375FC" w:rsidRDefault="00A375FC" w:rsidP="00B9168E">
      <w:r>
        <w:rPr>
          <w:noProof/>
        </w:rPr>
        <w:drawing>
          <wp:inline distT="0" distB="0" distL="0" distR="0" wp14:anchorId="7C3C019C" wp14:editId="2D4BB4B3">
            <wp:extent cx="5390707" cy="3884139"/>
            <wp:effectExtent l="0" t="0" r="635" b="2540"/>
            <wp:docPr id="440550827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550827" name="Imagen 1" descr="Tabl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4833" cy="3894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75F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5573B"/>
    <w:multiLevelType w:val="hybridMultilevel"/>
    <w:tmpl w:val="0B8A210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4E0326"/>
    <w:multiLevelType w:val="hybridMultilevel"/>
    <w:tmpl w:val="F698E5C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1C74C7"/>
    <w:multiLevelType w:val="hybridMultilevel"/>
    <w:tmpl w:val="F698E5C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1292211">
    <w:abstractNumId w:val="0"/>
  </w:num>
  <w:num w:numId="2" w16cid:durableId="198400234">
    <w:abstractNumId w:val="1"/>
  </w:num>
  <w:num w:numId="3" w16cid:durableId="10981407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853"/>
    <w:rsid w:val="00034603"/>
    <w:rsid w:val="000B404F"/>
    <w:rsid w:val="0029659C"/>
    <w:rsid w:val="003A5BB8"/>
    <w:rsid w:val="003D43C1"/>
    <w:rsid w:val="005A2B86"/>
    <w:rsid w:val="00676853"/>
    <w:rsid w:val="006A6301"/>
    <w:rsid w:val="00703317"/>
    <w:rsid w:val="0070766F"/>
    <w:rsid w:val="00733C7B"/>
    <w:rsid w:val="008329A8"/>
    <w:rsid w:val="00953DD1"/>
    <w:rsid w:val="00985EBF"/>
    <w:rsid w:val="00A375FC"/>
    <w:rsid w:val="00A40C3A"/>
    <w:rsid w:val="00B32BF9"/>
    <w:rsid w:val="00B83850"/>
    <w:rsid w:val="00B9168E"/>
    <w:rsid w:val="00BD3689"/>
    <w:rsid w:val="00C85FA9"/>
    <w:rsid w:val="00E52C1D"/>
    <w:rsid w:val="00EF5975"/>
    <w:rsid w:val="00FB1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C1154"/>
  <w15:chartTrackingRefBased/>
  <w15:docId w15:val="{54F4A6E0-2C9B-45D3-B3FE-459F807DB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768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0B1DEF-17AB-4C99-A4AB-C66244570B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5</Pages>
  <Words>275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 Malaquias Santana</dc:creator>
  <cp:keywords/>
  <dc:description/>
  <cp:lastModifiedBy>Carlos  Malaquias Santana</cp:lastModifiedBy>
  <cp:revision>13</cp:revision>
  <dcterms:created xsi:type="dcterms:W3CDTF">2023-05-02T17:17:00Z</dcterms:created>
  <dcterms:modified xsi:type="dcterms:W3CDTF">2023-05-02T21:56:00Z</dcterms:modified>
</cp:coreProperties>
</file>