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Lending Spot – Master Loan &amp; Guidelines Compendium</w:t>
      </w:r>
    </w:p>
    <w:p>
      <w:pPr>
        <w:pStyle w:val="Heading2"/>
      </w:pPr>
      <w:r>
        <w:t>SECTION 1 – Agency &amp; Conventional Programs</w:t>
      </w:r>
    </w:p>
    <w:p>
      <w:pPr>
        <w:pStyle w:val="ListBullet"/>
      </w:pPr>
      <w:r>
        <w:t>Conventional Loans</w:t>
      </w:r>
    </w:p>
    <w:p>
      <w:pPr>
        <w:pStyle w:val="ListBullet"/>
      </w:pPr>
      <w:r>
        <w:t>FHA Loans</w:t>
      </w:r>
    </w:p>
    <w:p>
      <w:pPr>
        <w:pStyle w:val="ListBullet"/>
      </w:pPr>
      <w:r>
        <w:t>VA Loans</w:t>
      </w:r>
    </w:p>
    <w:p>
      <w:pPr>
        <w:pStyle w:val="ListBullet"/>
      </w:pPr>
      <w:r>
        <w:t>Jumbo Loans</w:t>
      </w:r>
    </w:p>
    <w:p>
      <w:pPr>
        <w:pStyle w:val="ListBullet"/>
      </w:pPr>
      <w:r>
        <w:t>Down Payment Assistance Programs</w:t>
      </w:r>
    </w:p>
    <w:p>
      <w:pPr>
        <w:pStyle w:val="Heading2"/>
      </w:pPr>
      <w:r>
        <w:t>SECTION 2 – Non-QM Income Qualification</w:t>
      </w:r>
    </w:p>
    <w:p>
      <w:pPr>
        <w:pStyle w:val="ListBullet"/>
      </w:pPr>
      <w:r>
        <w:t>Bank Statement Loans</w:t>
      </w:r>
    </w:p>
    <w:p>
      <w:pPr>
        <w:pStyle w:val="ListBullet"/>
      </w:pPr>
      <w:r>
        <w:t>1099 Income Loans</w:t>
      </w:r>
    </w:p>
    <w:p>
      <w:pPr>
        <w:pStyle w:val="ListBullet"/>
      </w:pPr>
      <w:r>
        <w:t>P&amp;L Loans</w:t>
      </w:r>
    </w:p>
    <w:p>
      <w:pPr>
        <w:pStyle w:val="ListBullet"/>
      </w:pPr>
      <w:r>
        <w:t>Asset Depletion Loans</w:t>
      </w:r>
    </w:p>
    <w:p>
      <w:pPr>
        <w:pStyle w:val="ListBullet"/>
      </w:pPr>
      <w:r>
        <w:t>VOE-Only Programs</w:t>
      </w:r>
    </w:p>
    <w:p>
      <w:pPr>
        <w:pStyle w:val="ListBullet"/>
      </w:pPr>
      <w:r>
        <w:t>CPA Letter Guidelines</w:t>
      </w:r>
    </w:p>
    <w:p>
      <w:pPr>
        <w:pStyle w:val="Heading2"/>
      </w:pPr>
      <w:r>
        <w:t>SECTION 3 – Investor &amp; Business Purpose</w:t>
      </w:r>
    </w:p>
    <w:p>
      <w:pPr>
        <w:pStyle w:val="ListBullet"/>
      </w:pPr>
      <w:r>
        <w:t>DSCR Loans (Including No-Ratio)</w:t>
      </w:r>
    </w:p>
    <w:p>
      <w:pPr>
        <w:pStyle w:val="ListBullet"/>
      </w:pPr>
      <w:r>
        <w:t>Bridge Loans</w:t>
      </w:r>
    </w:p>
    <w:p>
      <w:pPr>
        <w:pStyle w:val="ListBullet"/>
      </w:pPr>
      <w:r>
        <w:t>Fix-and-Flip / Investor Rehab</w:t>
      </w:r>
    </w:p>
    <w:p>
      <w:pPr>
        <w:pStyle w:val="Heading2"/>
      </w:pPr>
      <w:r>
        <w:t>SECTION 4 – Property-Specific Risk</w:t>
      </w:r>
    </w:p>
    <w:p>
      <w:pPr>
        <w:pStyle w:val="ListBullet"/>
      </w:pPr>
      <w:r>
        <w:t>Non-Warrantable Condo</w:t>
      </w:r>
    </w:p>
    <w:p>
      <w:pPr>
        <w:pStyle w:val="ListBullet"/>
      </w:pPr>
      <w:r>
        <w:t>Condotel Programs</w:t>
      </w:r>
    </w:p>
    <w:p>
      <w:pPr>
        <w:pStyle w:val="Heading2"/>
      </w:pPr>
      <w:r>
        <w:t>SECTION 5 – Residency / Tax Status</w:t>
      </w:r>
    </w:p>
    <w:p>
      <w:pPr>
        <w:pStyle w:val="ListBullet"/>
      </w:pPr>
      <w:r>
        <w:t>ITIN Borrower Programs</w:t>
      </w:r>
    </w:p>
    <w:p>
      <w:pPr>
        <w:pStyle w:val="ListBullet"/>
      </w:pPr>
      <w:r>
        <w:t>Foreign National Programs (Conventional &amp; DSCR)</w:t>
      </w:r>
    </w:p>
    <w:p>
      <w:pPr>
        <w:pStyle w:val="Heading2"/>
      </w:pPr>
      <w:r>
        <w:t>SECTION 6 – Equity &amp; Specialty Products</w:t>
      </w:r>
    </w:p>
    <w:p>
      <w:pPr>
        <w:pStyle w:val="ListBullet"/>
      </w:pPr>
      <w:r>
        <w:t>HELOC</w:t>
      </w:r>
    </w:p>
    <w:p>
      <w:pPr>
        <w:pStyle w:val="ListBullet"/>
      </w:pPr>
      <w:r>
        <w:t>HELOAN</w:t>
      </w:r>
    </w:p>
    <w:p>
      <w:pPr>
        <w:pStyle w:val="ListBullet"/>
      </w:pPr>
      <w:r>
        <w:t>Reverse Mortgage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