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7CAB" w14:textId="69172593" w:rsidR="00E50E07" w:rsidRPr="00E50E07" w:rsidRDefault="00E50E07" w:rsidP="00E5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50E07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E50E07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INCLUDEPICTURE "/var/folders/my/psb5h3yj0wngrgh_r71zdr180000gn/T/com.microsoft.Word/WebArchiveCopyPasteTempFiles/1200px-University_of_Virginia_Rotunda_logo.svg.png" \* MERGEFORMATINET </w:instrText>
      </w:r>
      <w:r w:rsidRPr="00E50E07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separate"/>
      </w:r>
      <w:r w:rsidRPr="00E50E07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EDF215A" wp14:editId="2E423F6C">
            <wp:extent cx="498028" cy="50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0" cy="5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E07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</w:p>
    <w:p w14:paraId="008F57AD" w14:textId="502ECEA6" w:rsidR="00595A29" w:rsidRPr="00242C54" w:rsidRDefault="00595A29" w:rsidP="00E50E07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4723"/>
        <w:gridCol w:w="3917"/>
      </w:tblGrid>
      <w:tr w:rsidR="00E50E07" w:rsidRPr="00A06679" w14:paraId="5EEFE49C" w14:textId="3622A84B" w:rsidTr="00E50E07">
        <w:trPr>
          <w:trHeight w:val="288"/>
        </w:trPr>
        <w:tc>
          <w:tcPr>
            <w:tcW w:w="4723" w:type="dxa"/>
          </w:tcPr>
          <w:p w14:paraId="755C69EC" w14:textId="400926E3" w:rsidR="00E50E07" w:rsidRDefault="00876536" w:rsidP="00812C84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="00E50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50E07">
              <w:rPr>
                <w:rFonts w:ascii="Times New Roman" w:hAnsi="Times New Roman" w:cs="Times New Roman"/>
                <w:sz w:val="24"/>
                <w:szCs w:val="24"/>
              </w:rPr>
              <w:t>7, 2022</w:t>
            </w:r>
          </w:p>
          <w:p w14:paraId="16232FDD" w14:textId="70C7D335" w:rsidR="00E50E07" w:rsidRPr="00A06679" w:rsidRDefault="00897941" w:rsidP="00812C84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Acquisition </w:t>
            </w:r>
            <w:r w:rsidR="00015F55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3917" w:type="dxa"/>
          </w:tcPr>
          <w:p w14:paraId="6A9F09CE" w14:textId="77777777" w:rsidR="00E50E07" w:rsidRDefault="00E50E07" w:rsidP="00812C84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427"/>
        <w:gridCol w:w="7213"/>
      </w:tblGrid>
      <w:tr w:rsidR="00595A29" w:rsidRPr="00A06679" w14:paraId="64EC7948" w14:textId="77777777" w:rsidTr="004D51B2">
        <w:trPr>
          <w:trHeight w:val="3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849470194"/>
            <w:placeholder>
              <w:docPart w:val="09AC248012F69E4F9978F352CA94CA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27" w:type="dxa"/>
                <w:tcBorders>
                  <w:top w:val="nil"/>
                  <w:bottom w:val="nil"/>
                </w:tcBorders>
              </w:tcPr>
              <w:p w14:paraId="34222A46" w14:textId="77777777" w:rsidR="00595A29" w:rsidRPr="00A06679" w:rsidRDefault="00D77C46">
                <w:pPr>
                  <w:spacing w:after="120" w:line="259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06679">
                  <w:rPr>
                    <w:rFonts w:ascii="Times New Roman" w:hAnsi="Times New Roman" w:cs="Times New Roman"/>
                    <w:sz w:val="24"/>
                    <w:szCs w:val="24"/>
                  </w:rPr>
                  <w:t>To:</w:t>
                </w:r>
              </w:p>
            </w:tc>
          </w:sdtContent>
        </w:sdt>
        <w:tc>
          <w:tcPr>
            <w:tcW w:w="7213" w:type="dxa"/>
            <w:tcBorders>
              <w:top w:val="nil"/>
              <w:bottom w:val="nil"/>
            </w:tcBorders>
          </w:tcPr>
          <w:p w14:paraId="1DBC8950" w14:textId="2DB36C7E" w:rsidR="00595A29" w:rsidRPr="00A06679" w:rsidRDefault="00F05288">
            <w:pPr>
              <w:spacing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Chad Joyce – Professor, </w:t>
            </w:r>
            <w:r w:rsidR="00E50E07">
              <w:rPr>
                <w:rFonts w:ascii="Times New Roman" w:hAnsi="Times New Roman" w:cs="Times New Roman"/>
                <w:sz w:val="24"/>
                <w:szCs w:val="24"/>
              </w:rPr>
              <w:t>University of Virginia, School of Continuing and Professiona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Studies</w:t>
            </w:r>
          </w:p>
        </w:tc>
      </w:tr>
      <w:tr w:rsidR="00595A29" w:rsidRPr="00A06679" w14:paraId="08450170" w14:textId="77777777" w:rsidTr="004D51B2">
        <w:trPr>
          <w:trHeight w:val="37"/>
        </w:trPr>
        <w:tc>
          <w:tcPr>
            <w:tcW w:w="1427" w:type="dxa"/>
            <w:tcBorders>
              <w:top w:val="nil"/>
              <w:bottom w:val="nil"/>
            </w:tcBorders>
          </w:tcPr>
          <w:p w14:paraId="5EF5BA56" w14:textId="77777777" w:rsidR="00595A29" w:rsidRPr="00A06679" w:rsidRDefault="0035761A">
            <w:pPr>
              <w:spacing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2138601"/>
                <w:placeholder>
                  <w:docPart w:val="62611DD74959D549988B97465D87CDEA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A0667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From: </w:t>
                </w:r>
              </w:sdtContent>
            </w:sdt>
          </w:p>
        </w:tc>
        <w:tc>
          <w:tcPr>
            <w:tcW w:w="7213" w:type="dxa"/>
            <w:tcBorders>
              <w:top w:val="nil"/>
              <w:bottom w:val="nil"/>
            </w:tcBorders>
          </w:tcPr>
          <w:p w14:paraId="13FA66C3" w14:textId="37441958" w:rsidR="00595A29" w:rsidRPr="00A06679" w:rsidRDefault="00A06679">
            <w:pPr>
              <w:spacing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 J. Smith, III</w:t>
            </w:r>
            <w:r w:rsidR="00897941">
              <w:rPr>
                <w:rFonts w:ascii="Times New Roman" w:hAnsi="Times New Roman" w:cs="Times New Roman"/>
                <w:sz w:val="24"/>
                <w:szCs w:val="24"/>
              </w:rPr>
              <w:t xml:space="preserve"> – Director, Cybersecurity Governance, Risk Assessment, and Compliance</w:t>
            </w:r>
          </w:p>
        </w:tc>
      </w:tr>
      <w:tr w:rsidR="00595A29" w:rsidRPr="00A06679" w14:paraId="392A2A72" w14:textId="77777777" w:rsidTr="004D51B2">
        <w:trPr>
          <w:trHeight w:val="37"/>
        </w:trPr>
        <w:tc>
          <w:tcPr>
            <w:tcW w:w="1427" w:type="dxa"/>
            <w:tcBorders>
              <w:top w:val="nil"/>
              <w:bottom w:val="nil"/>
            </w:tcBorders>
          </w:tcPr>
          <w:p w14:paraId="5A54DACF" w14:textId="77777777" w:rsidR="00595A29" w:rsidRPr="00A06679" w:rsidRDefault="0035761A">
            <w:pPr>
              <w:spacing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78521910"/>
                <w:placeholder>
                  <w:docPart w:val="86E6DBB2F598E9418439289974E48441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A0667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CC: </w:t>
                </w:r>
              </w:sdtContent>
            </w:sdt>
          </w:p>
        </w:tc>
        <w:tc>
          <w:tcPr>
            <w:tcW w:w="7213" w:type="dxa"/>
            <w:tcBorders>
              <w:top w:val="nil"/>
              <w:bottom w:val="nil"/>
            </w:tcBorders>
          </w:tcPr>
          <w:p w14:paraId="045B2F17" w14:textId="77269574" w:rsidR="00595A29" w:rsidRPr="00A06679" w:rsidRDefault="00E50E07">
            <w:pPr>
              <w:spacing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Virginia, School of Continuing and Professional Studies – Dean</w:t>
            </w:r>
          </w:p>
        </w:tc>
      </w:tr>
      <w:tr w:rsidR="00595A29" w:rsidRPr="00A06679" w14:paraId="4AB998D4" w14:textId="77777777" w:rsidTr="004D51B2">
        <w:trPr>
          <w:trHeight w:val="37"/>
        </w:trPr>
        <w:tc>
          <w:tcPr>
            <w:tcW w:w="1427" w:type="dxa"/>
            <w:tcBorders>
              <w:top w:val="nil"/>
              <w:bottom w:val="nil"/>
            </w:tcBorders>
          </w:tcPr>
          <w:p w14:paraId="21AB2DE2" w14:textId="77777777" w:rsidR="00595A29" w:rsidRPr="00A06679" w:rsidRDefault="0035761A">
            <w:pPr>
              <w:spacing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6889604"/>
                <w:placeholder>
                  <w:docPart w:val="200F71955C82A44C9D979449F8EAD047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A06679">
                  <w:rPr>
                    <w:rFonts w:ascii="Times New Roman" w:hAnsi="Times New Roman" w:cs="Times New Roman"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7213" w:type="dxa"/>
            <w:tcBorders>
              <w:top w:val="nil"/>
              <w:bottom w:val="nil"/>
            </w:tcBorders>
          </w:tcPr>
          <w:p w14:paraId="3F0C021B" w14:textId="1B9A77EB" w:rsidR="00595A29" w:rsidRPr="00A06679" w:rsidRDefault="00F214C2">
            <w:pPr>
              <w:spacing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="00101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1018E9">
              <w:rPr>
                <w:rFonts w:ascii="Times New Roman" w:hAnsi="Times New Roman" w:cs="Times New Roman"/>
                <w:sz w:val="24"/>
                <w:szCs w:val="24"/>
              </w:rPr>
              <w:t>, 2022</w:t>
            </w:r>
          </w:p>
        </w:tc>
      </w:tr>
      <w:tr w:rsidR="00595A29" w:rsidRPr="00A06679" w14:paraId="02388765" w14:textId="77777777" w:rsidTr="004D51B2">
        <w:tc>
          <w:tcPr>
            <w:tcW w:w="1427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4D28E0BF" w14:textId="77777777" w:rsidR="00595A29" w:rsidRPr="00A06679" w:rsidRDefault="0035761A">
            <w:pPr>
              <w:spacing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00876693"/>
                <w:placeholder>
                  <w:docPart w:val="0F03612D43247F4AACF6B4155C4A219B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A06679">
                  <w:rPr>
                    <w:rFonts w:ascii="Times New Roman" w:hAnsi="Times New Roman" w:cs="Times New Roman"/>
                    <w:sz w:val="24"/>
                    <w:szCs w:val="24"/>
                  </w:rPr>
                  <w:t>Re:</w:t>
                </w:r>
              </w:sdtContent>
            </w:sdt>
          </w:p>
        </w:tc>
        <w:tc>
          <w:tcPr>
            <w:tcW w:w="7213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442D029" w14:textId="6542B006" w:rsidR="00595A29" w:rsidRPr="00A06679" w:rsidRDefault="006235D5">
            <w:pPr>
              <w:spacing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Acquisition Due Diligence</w:t>
            </w:r>
          </w:p>
        </w:tc>
      </w:tr>
    </w:tbl>
    <w:p w14:paraId="72239D66" w14:textId="77777777" w:rsidR="004D51B2" w:rsidRDefault="004D51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A388B" w14:textId="77777777" w:rsidR="00820564" w:rsidRDefault="008205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BC8F001" w14:textId="1830E480" w:rsidR="000F416C" w:rsidRPr="00897941" w:rsidRDefault="004D51B2">
      <w:pPr>
        <w:rPr>
          <w:rFonts w:ascii="Times New Roman" w:hAnsi="Times New Roman" w:cs="Times New Roman"/>
          <w:sz w:val="24"/>
          <w:szCs w:val="24"/>
        </w:rPr>
      </w:pPr>
      <w:r w:rsidRPr="00820564">
        <w:rPr>
          <w:rFonts w:ascii="Times New Roman" w:hAnsi="Times New Roman" w:cs="Times New Roman"/>
          <w:sz w:val="24"/>
          <w:szCs w:val="24"/>
        </w:rPr>
        <w:t xml:space="preserve">The University of Virginia </w:t>
      </w:r>
      <w:r w:rsidR="00820564">
        <w:rPr>
          <w:rFonts w:ascii="Times New Roman" w:hAnsi="Times New Roman" w:cs="Times New Roman"/>
          <w:sz w:val="24"/>
          <w:szCs w:val="24"/>
        </w:rPr>
        <w:t>is positioned to acquire</w:t>
      </w:r>
      <w:r w:rsidR="00D00C00">
        <w:rPr>
          <w:rFonts w:ascii="Times New Roman" w:hAnsi="Times New Roman" w:cs="Times New Roman"/>
          <w:sz w:val="24"/>
          <w:szCs w:val="24"/>
        </w:rPr>
        <w:t xml:space="preserve"> a robotics and weapons systems research and testing business (Easy Rider </w:t>
      </w:r>
      <w:r w:rsidR="00BA0400">
        <w:rPr>
          <w:rFonts w:ascii="Times New Roman" w:hAnsi="Times New Roman" w:cs="Times New Roman"/>
          <w:sz w:val="24"/>
          <w:szCs w:val="24"/>
        </w:rPr>
        <w:t>Corp.</w:t>
      </w:r>
      <w:r w:rsidR="00D00C00">
        <w:rPr>
          <w:rFonts w:ascii="Times New Roman" w:hAnsi="Times New Roman" w:cs="Times New Roman"/>
          <w:sz w:val="24"/>
          <w:szCs w:val="24"/>
        </w:rPr>
        <w:t xml:space="preserve">) with </w:t>
      </w:r>
      <w:r w:rsidR="00501B7C">
        <w:rPr>
          <w:rFonts w:ascii="Times New Roman" w:hAnsi="Times New Roman" w:cs="Times New Roman"/>
          <w:sz w:val="24"/>
          <w:szCs w:val="24"/>
        </w:rPr>
        <w:t xml:space="preserve">a </w:t>
      </w:r>
      <w:r w:rsidR="00D00C00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501B7C">
        <w:rPr>
          <w:rFonts w:ascii="Times New Roman" w:hAnsi="Times New Roman" w:cs="Times New Roman"/>
          <w:sz w:val="24"/>
          <w:szCs w:val="24"/>
        </w:rPr>
        <w:t xml:space="preserve">volume of </w:t>
      </w:r>
      <w:r w:rsidR="00D00C00">
        <w:rPr>
          <w:rFonts w:ascii="Times New Roman" w:hAnsi="Times New Roman" w:cs="Times New Roman"/>
          <w:sz w:val="24"/>
          <w:szCs w:val="24"/>
        </w:rPr>
        <w:t xml:space="preserve">government contracts.  </w:t>
      </w:r>
      <w:r w:rsidR="001E7B91">
        <w:rPr>
          <w:rFonts w:ascii="Times New Roman" w:hAnsi="Times New Roman" w:cs="Times New Roman"/>
          <w:sz w:val="24"/>
          <w:szCs w:val="24"/>
        </w:rPr>
        <w:t>G</w:t>
      </w:r>
      <w:r w:rsidR="00C14A44">
        <w:rPr>
          <w:rFonts w:ascii="Times New Roman" w:hAnsi="Times New Roman" w:cs="Times New Roman"/>
          <w:sz w:val="24"/>
          <w:szCs w:val="24"/>
        </w:rPr>
        <w:t>rant funds and donations from alumni and partner donors</w:t>
      </w:r>
      <w:r w:rsidR="001E7B91">
        <w:rPr>
          <w:rFonts w:ascii="Times New Roman" w:hAnsi="Times New Roman" w:cs="Times New Roman"/>
          <w:sz w:val="24"/>
          <w:szCs w:val="24"/>
        </w:rPr>
        <w:t xml:space="preserve"> support</w:t>
      </w:r>
      <w:r w:rsidR="00797E62">
        <w:rPr>
          <w:rFonts w:ascii="Times New Roman" w:hAnsi="Times New Roman" w:cs="Times New Roman"/>
          <w:sz w:val="24"/>
          <w:szCs w:val="24"/>
        </w:rPr>
        <w:t xml:space="preserve">ed </w:t>
      </w:r>
      <w:r w:rsidR="001E7B91">
        <w:rPr>
          <w:rFonts w:ascii="Times New Roman" w:hAnsi="Times New Roman" w:cs="Times New Roman"/>
          <w:sz w:val="24"/>
          <w:szCs w:val="24"/>
        </w:rPr>
        <w:t>the acquisition</w:t>
      </w:r>
      <w:r w:rsidR="00797E62">
        <w:rPr>
          <w:rFonts w:ascii="Times New Roman" w:hAnsi="Times New Roman" w:cs="Times New Roman"/>
          <w:sz w:val="24"/>
          <w:szCs w:val="24"/>
        </w:rPr>
        <w:t xml:space="preserve"> offer</w:t>
      </w:r>
      <w:r w:rsidR="001E7B91">
        <w:rPr>
          <w:rFonts w:ascii="Times New Roman" w:hAnsi="Times New Roman" w:cs="Times New Roman"/>
          <w:sz w:val="24"/>
          <w:szCs w:val="24"/>
        </w:rPr>
        <w:t xml:space="preserve">.  </w:t>
      </w:r>
      <w:r w:rsidR="00D00C00">
        <w:rPr>
          <w:rFonts w:ascii="Times New Roman" w:hAnsi="Times New Roman" w:cs="Times New Roman"/>
          <w:sz w:val="24"/>
          <w:szCs w:val="24"/>
        </w:rPr>
        <w:t xml:space="preserve">Our legal team has met with counsel for </w:t>
      </w:r>
      <w:r w:rsidR="005638E6">
        <w:rPr>
          <w:rFonts w:ascii="Times New Roman" w:hAnsi="Times New Roman" w:cs="Times New Roman"/>
          <w:sz w:val="24"/>
          <w:szCs w:val="24"/>
        </w:rPr>
        <w:t xml:space="preserve">Easy Rider </w:t>
      </w:r>
      <w:r w:rsidR="00BA0400">
        <w:rPr>
          <w:rFonts w:ascii="Times New Roman" w:hAnsi="Times New Roman" w:cs="Times New Roman"/>
          <w:sz w:val="24"/>
          <w:szCs w:val="24"/>
        </w:rPr>
        <w:t>Corp.</w:t>
      </w:r>
      <w:r w:rsidR="005638E6">
        <w:rPr>
          <w:rFonts w:ascii="Times New Roman" w:hAnsi="Times New Roman" w:cs="Times New Roman"/>
          <w:sz w:val="24"/>
          <w:szCs w:val="24"/>
        </w:rPr>
        <w:t xml:space="preserve"> to commence the bidding process and obtained consent to proceed.  </w:t>
      </w:r>
      <w:r w:rsidR="00670883">
        <w:rPr>
          <w:rFonts w:ascii="Times New Roman" w:hAnsi="Times New Roman" w:cs="Times New Roman"/>
          <w:sz w:val="24"/>
          <w:szCs w:val="24"/>
        </w:rPr>
        <w:t>In the interest of an active pre-acquisition phase,</w:t>
      </w:r>
      <w:r w:rsidR="00501B7C">
        <w:rPr>
          <w:rFonts w:ascii="Times New Roman" w:hAnsi="Times New Roman" w:cs="Times New Roman"/>
          <w:sz w:val="24"/>
          <w:szCs w:val="24"/>
        </w:rPr>
        <w:t xml:space="preserve"> counsel asked us to limit our review of third-party risk management related to the federal contracts; Easy Rider LLC works with the appropriate federal resources to maintain compliance with defense-related regulations and will furnish the most recent reports.  </w:t>
      </w:r>
      <w:r w:rsidR="00C14A44">
        <w:rPr>
          <w:rFonts w:ascii="Times New Roman" w:hAnsi="Times New Roman" w:cs="Times New Roman"/>
          <w:sz w:val="24"/>
          <w:szCs w:val="24"/>
        </w:rPr>
        <w:t>With o</w:t>
      </w:r>
      <w:r w:rsidR="00501B7C">
        <w:rPr>
          <w:rFonts w:ascii="Times New Roman" w:hAnsi="Times New Roman" w:cs="Times New Roman"/>
          <w:sz w:val="24"/>
          <w:szCs w:val="24"/>
        </w:rPr>
        <w:t xml:space="preserve">ur scope of </w:t>
      </w:r>
      <w:r w:rsidR="00C14A44">
        <w:rPr>
          <w:rFonts w:ascii="Times New Roman" w:hAnsi="Times New Roman" w:cs="Times New Roman"/>
          <w:sz w:val="24"/>
          <w:szCs w:val="24"/>
        </w:rPr>
        <w:t>investigation</w:t>
      </w:r>
      <w:r w:rsidR="00501B7C">
        <w:rPr>
          <w:rFonts w:ascii="Times New Roman" w:hAnsi="Times New Roman" w:cs="Times New Roman"/>
          <w:sz w:val="24"/>
          <w:szCs w:val="24"/>
        </w:rPr>
        <w:t xml:space="preserve"> </w:t>
      </w:r>
      <w:r w:rsidR="00C14A44">
        <w:rPr>
          <w:rFonts w:ascii="Times New Roman" w:hAnsi="Times New Roman" w:cs="Times New Roman"/>
          <w:sz w:val="24"/>
          <w:szCs w:val="24"/>
        </w:rPr>
        <w:t xml:space="preserve">thus </w:t>
      </w:r>
      <w:r w:rsidR="00501B7C">
        <w:rPr>
          <w:rFonts w:ascii="Times New Roman" w:hAnsi="Times New Roman" w:cs="Times New Roman"/>
          <w:sz w:val="24"/>
          <w:szCs w:val="24"/>
        </w:rPr>
        <w:t xml:space="preserve">decreased, we both </w:t>
      </w:r>
      <w:r w:rsidR="00C14A44">
        <w:rPr>
          <w:rFonts w:ascii="Times New Roman" w:hAnsi="Times New Roman" w:cs="Times New Roman"/>
          <w:sz w:val="24"/>
          <w:szCs w:val="24"/>
        </w:rPr>
        <w:t>agree to a 120-day due diligence period.</w:t>
      </w:r>
      <w:r w:rsidR="002B0B48">
        <w:rPr>
          <w:rFonts w:ascii="Times New Roman" w:hAnsi="Times New Roman" w:cs="Times New Roman"/>
          <w:sz w:val="24"/>
          <w:szCs w:val="24"/>
        </w:rPr>
        <w:br/>
      </w:r>
    </w:p>
    <w:p w14:paraId="6A46F5E5" w14:textId="7926E11A" w:rsidR="00ED28F2" w:rsidRDefault="008979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</w:t>
      </w:r>
    </w:p>
    <w:p w14:paraId="36D6D550" w14:textId="32C24B99" w:rsidR="00681A68" w:rsidRDefault="00BA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serves as an action plan for navigating due diligence of cybersecurity and information resources that the acquisition will bring into the University’s scope of governance.</w:t>
      </w:r>
    </w:p>
    <w:p w14:paraId="63969190" w14:textId="08D525B9" w:rsidR="00897941" w:rsidRPr="00797E62" w:rsidRDefault="00797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acquisition of Easy Rider</w:t>
      </w:r>
      <w:r w:rsidR="00BA0400">
        <w:rPr>
          <w:rFonts w:ascii="Times New Roman" w:hAnsi="Times New Roman" w:cs="Times New Roman"/>
          <w:sz w:val="24"/>
          <w:szCs w:val="24"/>
        </w:rPr>
        <w:t xml:space="preserve"> Corp. poses a significant </w:t>
      </w:r>
      <w:r w:rsidR="00681A68">
        <w:rPr>
          <w:rFonts w:ascii="Times New Roman" w:hAnsi="Times New Roman" w:cs="Times New Roman"/>
          <w:sz w:val="24"/>
          <w:szCs w:val="24"/>
        </w:rPr>
        <w:t>challenge</w:t>
      </w:r>
      <w:r w:rsidR="00BA0400">
        <w:rPr>
          <w:rFonts w:ascii="Times New Roman" w:hAnsi="Times New Roman" w:cs="Times New Roman"/>
          <w:sz w:val="24"/>
          <w:szCs w:val="24"/>
        </w:rPr>
        <w:t xml:space="preserve"> for risk management.</w:t>
      </w:r>
      <w:r w:rsidR="003D2F6A">
        <w:rPr>
          <w:rFonts w:ascii="Times New Roman" w:hAnsi="Times New Roman" w:cs="Times New Roman"/>
          <w:sz w:val="24"/>
          <w:szCs w:val="24"/>
        </w:rPr>
        <w:t xml:space="preserve">  </w:t>
      </w:r>
      <w:r w:rsidR="00231270">
        <w:rPr>
          <w:rFonts w:ascii="Times New Roman" w:hAnsi="Times New Roman" w:cs="Times New Roman"/>
          <w:sz w:val="24"/>
          <w:szCs w:val="24"/>
        </w:rPr>
        <w:t>The University must conduct d</w:t>
      </w:r>
      <w:r w:rsidR="003D2F6A">
        <w:rPr>
          <w:rFonts w:ascii="Times New Roman" w:hAnsi="Times New Roman" w:cs="Times New Roman"/>
          <w:sz w:val="24"/>
          <w:szCs w:val="24"/>
        </w:rPr>
        <w:t>ue diligence for several reasons:</w:t>
      </w:r>
    </w:p>
    <w:p w14:paraId="05D782D4" w14:textId="751BD163" w:rsidR="00231270" w:rsidRPr="00231270" w:rsidRDefault="00231270" w:rsidP="001B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Cybersecurity due diligence is a required stipulation in the due diligence </w:t>
      </w:r>
      <w:r w:rsidR="00F95E68">
        <w:rPr>
          <w:rFonts w:ascii="Times New Roman" w:hAnsi="Times New Roman" w:cs="Times New Roman"/>
          <w:sz w:val="24"/>
          <w:szCs w:val="24"/>
        </w:rPr>
        <w:t>checklist agreed to by the parties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8A34BE" w14:textId="62DAFAE1" w:rsidR="005F4A30" w:rsidRPr="00681A68" w:rsidRDefault="00681A68" w:rsidP="001B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University’s cybersecurity insurance requires all University departments and assets to conform to </w:t>
      </w:r>
      <w:r w:rsidR="003D2F6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established framework.</w:t>
      </w:r>
    </w:p>
    <w:p w14:paraId="0AEBC83E" w14:textId="77777777" w:rsidR="00231270" w:rsidRPr="003D2F6A" w:rsidRDefault="00231270" w:rsidP="00231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must identify security risks and report them to the insurer to meet policy compliance.</w:t>
      </w:r>
    </w:p>
    <w:p w14:paraId="4ED2997C" w14:textId="2D7A0F7F" w:rsidR="00681A68" w:rsidRPr="003D2F6A" w:rsidRDefault="00681A68" w:rsidP="001B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Differences in GRC styles between the University and Easy Rider Corp. necessitate</w:t>
      </w:r>
      <w:r w:rsidR="003D2F6A">
        <w:rPr>
          <w:rFonts w:ascii="Times New Roman" w:hAnsi="Times New Roman" w:cs="Times New Roman"/>
          <w:sz w:val="24"/>
          <w:szCs w:val="24"/>
        </w:rPr>
        <w:t xml:space="preserve"> evaluation.</w:t>
      </w:r>
    </w:p>
    <w:p w14:paraId="1BC2DA7D" w14:textId="4D2E46D4" w:rsidR="003D2F6A" w:rsidRPr="007224E6" w:rsidRDefault="003D2F6A" w:rsidP="001B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Uncovered or undisclosed breaches will require additional legal guidance and may jeopardize the success of the acquisition.</w:t>
      </w:r>
    </w:p>
    <w:p w14:paraId="38A1ACAE" w14:textId="2D6A61B5" w:rsidR="007224E6" w:rsidRDefault="007224E6" w:rsidP="00722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BBD66" w14:textId="6FDC53A9" w:rsidR="00777406" w:rsidRPr="007224E6" w:rsidRDefault="007224E6" w:rsidP="007224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Pr="007224E6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57A39492" w14:textId="7282798C" w:rsidR="007224E6" w:rsidRDefault="007224E6" w:rsidP="00722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</w:p>
    <w:p w14:paraId="127DD324" w14:textId="0ED8F84A" w:rsidR="007224E6" w:rsidRDefault="007224E6" w:rsidP="00722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14:paraId="53855A0D" w14:textId="5A532A6A" w:rsidR="007224E6" w:rsidRDefault="007224E6" w:rsidP="00722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14:paraId="567E0A9F" w14:textId="4FCD71B6" w:rsidR="007224E6" w:rsidRDefault="007224E6" w:rsidP="00722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14:paraId="4575B6A1" w14:textId="31546A53" w:rsidR="007224E6" w:rsidRPr="007224E6" w:rsidRDefault="007224E6" w:rsidP="007224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</w:t>
      </w:r>
    </w:p>
    <w:p w14:paraId="2E43BE11" w14:textId="0420421D" w:rsidR="007224E6" w:rsidRDefault="007224E6" w:rsidP="007224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Regulations for universities</w:t>
      </w:r>
    </w:p>
    <w:p w14:paraId="55E37BC4" w14:textId="582E85F9" w:rsidR="0096404B" w:rsidRDefault="0096404B" w:rsidP="007224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Regulations for defense agencies</w:t>
      </w:r>
    </w:p>
    <w:p w14:paraId="649514B2" w14:textId="0BD680B2" w:rsidR="007224E6" w:rsidRDefault="007224E6" w:rsidP="007224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of compliance to insurer</w:t>
      </w:r>
    </w:p>
    <w:p w14:paraId="1AA449E5" w14:textId="5E88F147" w:rsidR="00AF77A4" w:rsidRDefault="00AF77A4" w:rsidP="00964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Cybersecurity due diligence team</w:t>
      </w:r>
    </w:p>
    <w:p w14:paraId="5348DAAF" w14:textId="61DDBABF" w:rsidR="00AF77A4" w:rsidRPr="00AF77A4" w:rsidRDefault="0096404B" w:rsidP="00AF77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targets</w:t>
      </w:r>
      <w:r w:rsidR="00AF77A4">
        <w:rPr>
          <w:rFonts w:ascii="Times New Roman" w:hAnsi="Times New Roman" w:cs="Times New Roman"/>
          <w:sz w:val="24"/>
          <w:szCs w:val="24"/>
        </w:rPr>
        <w:t xml:space="preserve"> at Easy Rider Corp.</w:t>
      </w:r>
    </w:p>
    <w:p w14:paraId="1C2E221B" w14:textId="7901E29D" w:rsidR="0096404B" w:rsidRDefault="00AF77A4" w:rsidP="00964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Cybersecurity program</w:t>
      </w:r>
    </w:p>
    <w:p w14:paraId="41D1D4CC" w14:textId="19CE5F4A" w:rsidR="00AF77A4" w:rsidRDefault="00AF77A4" w:rsidP="00964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Third-party security risk management</w:t>
      </w:r>
    </w:p>
    <w:p w14:paraId="1D2A61F7" w14:textId="6506D158" w:rsidR="00AF77A4" w:rsidRDefault="00AF77A4" w:rsidP="00964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controls for protection and detection</w:t>
      </w:r>
    </w:p>
    <w:p w14:paraId="5199F6E2" w14:textId="54602E1C" w:rsidR="00AF77A4" w:rsidRDefault="00AF77A4" w:rsidP="00964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privacy controls in products and services</w:t>
      </w:r>
    </w:p>
    <w:p w14:paraId="08D5BFD7" w14:textId="16E67BC6" w:rsidR="00AF77A4" w:rsidRDefault="00AF77A4" w:rsidP="00964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Regulated and sensitive data security controls</w:t>
      </w:r>
    </w:p>
    <w:p w14:paraId="5D9CA278" w14:textId="725F1419" w:rsidR="00AF77A4" w:rsidRDefault="00AF77A4" w:rsidP="00AF77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privacy program</w:t>
      </w:r>
    </w:p>
    <w:p w14:paraId="4492F606" w14:textId="424C1A1C" w:rsidR="00AF77A4" w:rsidRDefault="00AF77A4" w:rsidP="00AF77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7C926AC0" w14:textId="5E64FD58" w:rsidR="00AF77A4" w:rsidRDefault="00AF77A4" w:rsidP="00AF7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recommendation</w:t>
      </w:r>
    </w:p>
    <w:p w14:paraId="63580709" w14:textId="22A69BEF" w:rsidR="00AF77A4" w:rsidRDefault="00AF77A4" w:rsidP="00AF7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6CB8E13C" w14:textId="4A1644FC" w:rsidR="00AF77A4" w:rsidRPr="00AF77A4" w:rsidRDefault="00AF77A4" w:rsidP="00AF7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</w:t>
      </w:r>
    </w:p>
    <w:p w14:paraId="27072E8D" w14:textId="749AECB1" w:rsidR="007224E6" w:rsidRPr="007224E6" w:rsidRDefault="007224E6" w:rsidP="0096404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3925E1" w14:textId="77777777" w:rsidR="007224E6" w:rsidRDefault="007224E6">
      <w:pPr>
        <w:rPr>
          <w:rFonts w:ascii="Times New Roman" w:hAnsi="Times New Roman" w:cs="Times New Roman"/>
          <w:sz w:val="24"/>
          <w:szCs w:val="24"/>
        </w:rPr>
      </w:pPr>
    </w:p>
    <w:p w14:paraId="0D2EC261" w14:textId="61CBFCEF" w:rsidR="00CA0014" w:rsidRDefault="00CA00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34725" w14:textId="1DBD4CFB" w:rsidR="009B0736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EFA4D" w14:textId="45150987" w:rsidR="009B0736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B6AAB" w14:textId="5DD7FECE" w:rsidR="009B0736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71920" w14:textId="226BB6DF" w:rsidR="009B0736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533F1D" w14:textId="29A8F48F" w:rsidR="009B0736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ACE31" w14:textId="06850924" w:rsidR="009B0736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C6DAA" w14:textId="2FC7E674" w:rsidR="009B0736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0C5DC" w14:textId="24135AF8" w:rsidR="009B0736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5B1F7" w14:textId="2AD90A5A" w:rsidR="009B0736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EEC52" w14:textId="77777777" w:rsidR="009B0736" w:rsidRDefault="009B0736">
      <w:pPr>
        <w:rPr>
          <w:rFonts w:ascii="Times New Roman" w:hAnsi="Times New Roman" w:cs="Times New Roman"/>
          <w:sz w:val="24"/>
          <w:szCs w:val="24"/>
        </w:rPr>
      </w:pPr>
    </w:p>
    <w:p w14:paraId="39538B26" w14:textId="75091953" w:rsidR="00CA0014" w:rsidRPr="00CA0014" w:rsidRDefault="009B07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A31E49F" w14:textId="7C07CC02" w:rsidR="000F416C" w:rsidRDefault="000F416C">
      <w:pPr>
        <w:rPr>
          <w:rFonts w:ascii="Times New Roman" w:hAnsi="Times New Roman" w:cs="Times New Roman"/>
          <w:sz w:val="24"/>
          <w:szCs w:val="24"/>
        </w:rPr>
      </w:pPr>
    </w:p>
    <w:p w14:paraId="26FFA93E" w14:textId="70D04011" w:rsidR="009B0736" w:rsidRDefault="009B0736" w:rsidP="009B073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Page, T. (2022). </w:t>
      </w:r>
      <w:r>
        <w:rPr>
          <w:rFonts w:ascii="Times New Roman" w:hAnsi="Times New Roman" w:cs="Times New Roman"/>
          <w:i/>
          <w:iCs/>
          <w:sz w:val="24"/>
          <w:szCs w:val="24"/>
        </w:rPr>
        <w:t>Part of the PwC report: when cyber threatens M&amp;A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PriceWaterhouseCoopers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0C30AD">
          <w:rPr>
            <w:rStyle w:val="Hyperlink"/>
            <w:rFonts w:ascii="Times New Roman" w:hAnsi="Times New Roman" w:cs="Times New Roman"/>
            <w:sz w:val="24"/>
            <w:szCs w:val="24"/>
          </w:rPr>
          <w:t>https://www.pwc.com/us/en/services/deals/library/understanding-cyber-due-diligence.html</w:t>
        </w:r>
      </w:hyperlink>
    </w:p>
    <w:p w14:paraId="0036C8DC" w14:textId="4DDA7E36" w:rsidR="009B0736" w:rsidRDefault="006817AC" w:rsidP="009B0736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(2021, February 25). </w:t>
      </w:r>
      <w:r>
        <w:rPr>
          <w:rFonts w:ascii="Times New Roman" w:hAnsi="Times New Roman" w:cs="Times New Roman"/>
          <w:i/>
          <w:iCs/>
          <w:sz w:val="24"/>
          <w:szCs w:val="24"/>
        </w:rPr>
        <w:t>What is due diligence in a business acquisition?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MidStreet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0C30AD">
          <w:rPr>
            <w:rStyle w:val="Hyperlink"/>
            <w:rFonts w:ascii="Times New Roman" w:hAnsi="Times New Roman" w:cs="Times New Roman"/>
            <w:sz w:val="24"/>
            <w:szCs w:val="24"/>
          </w:rPr>
          <w:t>https://www.midstreet.com/blog/what-is-due-diligence</w:t>
        </w:r>
      </w:hyperlink>
    </w:p>
    <w:p w14:paraId="11C9B678" w14:textId="0BAC3F36" w:rsidR="006817AC" w:rsidRDefault="006817AC" w:rsidP="009B073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Snyder, J. (2022, March 14).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What higher education institutions need to know about cyber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insurance.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EdTech. </w:t>
      </w:r>
      <w:hyperlink r:id="rId11" w:history="1">
        <w:r w:rsidRPr="000C30AD">
          <w:rPr>
            <w:rStyle w:val="Hyperlink"/>
            <w:rFonts w:ascii="Times New Roman" w:hAnsi="Times New Roman" w:cs="Times New Roman"/>
            <w:sz w:val="24"/>
            <w:szCs w:val="24"/>
          </w:rPr>
          <w:t>https://edtechmagazine.com/higher/article/2022/03/what-higher-education-institutions-need-know-about-cyber-insurance</w:t>
        </w:r>
      </w:hyperlink>
    </w:p>
    <w:p w14:paraId="126660D9" w14:textId="76D73EDF" w:rsidR="006817AC" w:rsidRDefault="006817AC" w:rsidP="009B0736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(2021, October 25). </w:t>
      </w:r>
      <w:r>
        <w:rPr>
          <w:rFonts w:ascii="Times New Roman" w:hAnsi="Times New Roman" w:cs="Times New Roman"/>
          <w:i/>
          <w:iCs/>
          <w:sz w:val="24"/>
          <w:szCs w:val="24"/>
        </w:rPr>
        <w:t>M&amp;A in cybersecurity services: the ‘buy &amp; build’ opportunity.</w:t>
      </w:r>
      <w:r>
        <w:rPr>
          <w:rFonts w:ascii="Times New Roman" w:hAnsi="Times New Roman" w:cs="Times New Roman"/>
          <w:sz w:val="24"/>
          <w:szCs w:val="24"/>
        </w:rPr>
        <w:t xml:space="preserve"> KPMG. </w:t>
      </w:r>
      <w:hyperlink r:id="rId12" w:history="1">
        <w:r w:rsidRPr="000C30AD">
          <w:rPr>
            <w:rStyle w:val="Hyperlink"/>
            <w:rFonts w:ascii="Times New Roman" w:hAnsi="Times New Roman" w:cs="Times New Roman"/>
            <w:sz w:val="24"/>
            <w:szCs w:val="24"/>
          </w:rPr>
          <w:t>https://home.kpmg/uk/en/home/insights/2021/10/m-and-a-in-cybersecurity-services-the-buy-and-build-opportunity.html</w:t>
        </w:r>
      </w:hyperlink>
    </w:p>
    <w:p w14:paraId="072C3DC0" w14:textId="6CC29B73" w:rsidR="006817AC" w:rsidRDefault="006817AC" w:rsidP="009B073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Arnold, J. (2022). </w:t>
      </w:r>
      <w:r>
        <w:rPr>
          <w:rFonts w:ascii="Times New Roman" w:hAnsi="Times New Roman" w:cs="Times New Roman"/>
          <w:i/>
          <w:iCs/>
          <w:sz w:val="24"/>
          <w:szCs w:val="24"/>
        </w:rPr>
        <w:t>Key cyber security considerations for sellers.</w:t>
      </w:r>
      <w:r>
        <w:rPr>
          <w:rFonts w:ascii="Times New Roman" w:hAnsi="Times New Roman" w:cs="Times New Roman"/>
          <w:sz w:val="24"/>
          <w:szCs w:val="24"/>
        </w:rPr>
        <w:t xml:space="preserve"> KPMG. </w:t>
      </w:r>
      <w:hyperlink r:id="rId13" w:history="1">
        <w:r w:rsidRPr="000C30AD">
          <w:rPr>
            <w:rStyle w:val="Hyperlink"/>
            <w:rFonts w:ascii="Times New Roman" w:hAnsi="Times New Roman" w:cs="Times New Roman"/>
            <w:sz w:val="24"/>
            <w:szCs w:val="24"/>
          </w:rPr>
          <w:t>https://advisory.kpmg.us/articles/2018/key-cyber-security-considerations-for-sellers.html</w:t>
        </w:r>
      </w:hyperlink>
    </w:p>
    <w:p w14:paraId="70A7D858" w14:textId="4244FE97" w:rsidR="006817AC" w:rsidRDefault="008E5476" w:rsidP="009B0736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Panettieri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(2022, April 15).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KPMG acquires cloud cybersecurity consultancy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Fortica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MSSPAlert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Pr="000C30AD">
          <w:rPr>
            <w:rStyle w:val="Hyperlink"/>
            <w:rFonts w:ascii="Times New Roman" w:hAnsi="Times New Roman" w:cs="Times New Roman"/>
            <w:sz w:val="24"/>
            <w:szCs w:val="24"/>
          </w:rPr>
          <w:t>https://www.msspalert.com/investments/kpmg-acquires-cloud-cybersecurity-consultancy-fortica/</w:t>
        </w:r>
      </w:hyperlink>
    </w:p>
    <w:p w14:paraId="7282A0D6" w14:textId="08299332" w:rsidR="008E5476" w:rsidRDefault="008E5476" w:rsidP="009B073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Stern, D. (2021, September 22). </w:t>
      </w:r>
      <w:r>
        <w:rPr>
          <w:rFonts w:ascii="Times New Roman" w:hAnsi="Times New Roman" w:cs="Times New Roman"/>
          <w:i/>
          <w:iCs/>
          <w:sz w:val="24"/>
          <w:szCs w:val="24"/>
        </w:rPr>
        <w:t>Cybersecurity obligations for government contractors – focus on them before the government focuses on you.</w:t>
      </w:r>
      <w:r>
        <w:rPr>
          <w:rFonts w:ascii="Times New Roman" w:hAnsi="Times New Roman" w:cs="Times New Roman"/>
          <w:sz w:val="24"/>
          <w:szCs w:val="24"/>
        </w:rPr>
        <w:t xml:space="preserve"> DLA Piper. </w:t>
      </w:r>
      <w:hyperlink r:id="rId15" w:history="1">
        <w:r w:rsidRPr="000C30AD">
          <w:rPr>
            <w:rStyle w:val="Hyperlink"/>
            <w:rFonts w:ascii="Times New Roman" w:hAnsi="Times New Roman" w:cs="Times New Roman"/>
            <w:sz w:val="24"/>
            <w:szCs w:val="24"/>
          </w:rPr>
          <w:t>https://www.dlapiper.com/en/us/insights/publications/2021/09/cybersecurity-obligations-for-government-contractors-focus-on-them/</w:t>
        </w:r>
      </w:hyperlink>
    </w:p>
    <w:p w14:paraId="4F893D69" w14:textId="77777777" w:rsidR="008E5476" w:rsidRPr="008E5476" w:rsidRDefault="008E5476" w:rsidP="009B073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8E5476" w:rsidRPr="008E5476">
      <w:footerReference w:type="default" r:id="rId16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ADF97" w14:textId="77777777" w:rsidR="0035761A" w:rsidRDefault="0035761A">
      <w:pPr>
        <w:spacing w:after="0" w:line="240" w:lineRule="auto"/>
      </w:pPr>
      <w:r>
        <w:separator/>
      </w:r>
    </w:p>
  </w:endnote>
  <w:endnote w:type="continuationSeparator" w:id="0">
    <w:p w14:paraId="11F6EB7A" w14:textId="77777777" w:rsidR="0035761A" w:rsidRDefault="0035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0A060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5D68" w14:textId="77777777" w:rsidR="0035761A" w:rsidRDefault="0035761A">
      <w:pPr>
        <w:spacing w:after="0" w:line="240" w:lineRule="auto"/>
      </w:pPr>
      <w:r>
        <w:separator/>
      </w:r>
    </w:p>
  </w:footnote>
  <w:footnote w:type="continuationSeparator" w:id="0">
    <w:p w14:paraId="1E58C44E" w14:textId="77777777" w:rsidR="0035761A" w:rsidRDefault="00357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BF1"/>
    <w:multiLevelType w:val="multilevel"/>
    <w:tmpl w:val="B198C33C"/>
    <w:styleLink w:val="CurrentList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63A3"/>
    <w:multiLevelType w:val="hybridMultilevel"/>
    <w:tmpl w:val="EE70F450"/>
    <w:lvl w:ilvl="0" w:tplc="19E484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06ECA"/>
    <w:multiLevelType w:val="hybridMultilevel"/>
    <w:tmpl w:val="88081D9C"/>
    <w:lvl w:ilvl="0" w:tplc="9D182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765844">
    <w:abstractNumId w:val="1"/>
  </w:num>
  <w:num w:numId="2" w16cid:durableId="1675646209">
    <w:abstractNumId w:val="2"/>
  </w:num>
  <w:num w:numId="3" w16cid:durableId="102899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79"/>
    <w:rsid w:val="0000012C"/>
    <w:rsid w:val="00015F55"/>
    <w:rsid w:val="000E066E"/>
    <w:rsid w:val="000F416C"/>
    <w:rsid w:val="001018E9"/>
    <w:rsid w:val="001379FB"/>
    <w:rsid w:val="001B188B"/>
    <w:rsid w:val="001E7B91"/>
    <w:rsid w:val="00201891"/>
    <w:rsid w:val="00231270"/>
    <w:rsid w:val="00242C54"/>
    <w:rsid w:val="002B0B48"/>
    <w:rsid w:val="00306307"/>
    <w:rsid w:val="00321B47"/>
    <w:rsid w:val="00341357"/>
    <w:rsid w:val="0035761A"/>
    <w:rsid w:val="003619E9"/>
    <w:rsid w:val="00390BCD"/>
    <w:rsid w:val="00394E0B"/>
    <w:rsid w:val="003D2F6A"/>
    <w:rsid w:val="0041422D"/>
    <w:rsid w:val="00417ABC"/>
    <w:rsid w:val="00492250"/>
    <w:rsid w:val="004C2E9D"/>
    <w:rsid w:val="004D51B2"/>
    <w:rsid w:val="004E7712"/>
    <w:rsid w:val="00501B7C"/>
    <w:rsid w:val="00554595"/>
    <w:rsid w:val="005638E6"/>
    <w:rsid w:val="00566792"/>
    <w:rsid w:val="00595A29"/>
    <w:rsid w:val="005A7F64"/>
    <w:rsid w:val="005F4A30"/>
    <w:rsid w:val="006235D5"/>
    <w:rsid w:val="00670883"/>
    <w:rsid w:val="006817AC"/>
    <w:rsid w:val="00681A68"/>
    <w:rsid w:val="00696B3E"/>
    <w:rsid w:val="006D69F0"/>
    <w:rsid w:val="007224E6"/>
    <w:rsid w:val="00725842"/>
    <w:rsid w:val="00751185"/>
    <w:rsid w:val="00777406"/>
    <w:rsid w:val="00795131"/>
    <w:rsid w:val="00797E62"/>
    <w:rsid w:val="007B3B75"/>
    <w:rsid w:val="007E2F22"/>
    <w:rsid w:val="00812C84"/>
    <w:rsid w:val="00820564"/>
    <w:rsid w:val="00876536"/>
    <w:rsid w:val="00897941"/>
    <w:rsid w:val="008E5476"/>
    <w:rsid w:val="009575A2"/>
    <w:rsid w:val="009608D6"/>
    <w:rsid w:val="0096404B"/>
    <w:rsid w:val="009B0736"/>
    <w:rsid w:val="00A06679"/>
    <w:rsid w:val="00A129A2"/>
    <w:rsid w:val="00A45D04"/>
    <w:rsid w:val="00AF77A4"/>
    <w:rsid w:val="00B175A4"/>
    <w:rsid w:val="00B317D4"/>
    <w:rsid w:val="00B75F00"/>
    <w:rsid w:val="00BA0400"/>
    <w:rsid w:val="00BE5B79"/>
    <w:rsid w:val="00C14A44"/>
    <w:rsid w:val="00C6697C"/>
    <w:rsid w:val="00C71D66"/>
    <w:rsid w:val="00CA0014"/>
    <w:rsid w:val="00CC6D50"/>
    <w:rsid w:val="00CE4F23"/>
    <w:rsid w:val="00D00C00"/>
    <w:rsid w:val="00D32625"/>
    <w:rsid w:val="00D77C46"/>
    <w:rsid w:val="00DB0995"/>
    <w:rsid w:val="00DF214A"/>
    <w:rsid w:val="00E50E07"/>
    <w:rsid w:val="00ED28F2"/>
    <w:rsid w:val="00F05288"/>
    <w:rsid w:val="00F214C2"/>
    <w:rsid w:val="00F95E68"/>
    <w:rsid w:val="00F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E4C3"/>
  <w15:chartTrackingRefBased/>
  <w15:docId w15:val="{8D1CD2D4-7C85-2841-AAD1-C01AC0D9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unhideWhenUsed/>
    <w:qFormat/>
    <w:rsid w:val="001B188B"/>
    <w:pPr>
      <w:ind w:left="720"/>
      <w:contextualSpacing/>
    </w:pPr>
  </w:style>
  <w:style w:type="numbering" w:customStyle="1" w:styleId="CurrentList1">
    <w:name w:val="Current List1"/>
    <w:uiPriority w:val="99"/>
    <w:rsid w:val="007224E6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9B07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dvisory.kpmg.us/articles/2018/key-cyber-security-considerations-for-sellers.html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me.kpmg/uk/en/home/insights/2021/10/m-and-a-in-cybersecurity-services-the-buy-and-build-opportunit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techmagazine.com/higher/article/2022/03/what-higher-education-institutions-need-know-about-cyber-insu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lapiper.com/en/us/insights/publications/2021/09/cybersecurity-obligations-for-government-contractors-focus-on-them/" TargetMode="External"/><Relationship Id="rId10" Type="http://schemas.openxmlformats.org/officeDocument/2006/relationships/hyperlink" Target="https://www.midstreet.com/blog/what-is-due-dilige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wc.com/us/en/services/deals/library/understanding-cyber-due-diligence.html" TargetMode="External"/><Relationship Id="rId14" Type="http://schemas.openxmlformats.org/officeDocument/2006/relationships/hyperlink" Target="https://www.msspalert.com/investments/kpmg-acquires-cloud-cybersecurity-consultancy-fortic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smithiii/Library/Containers/com.microsoft.Word/Data/Library/Application%20Support/Microsoft/Office/16.0/DTS/Search/%7b6E3BB312-4C81-5449-B5AA-71660661A6B1%7dtf163925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AC248012F69E4F9978F352CA94C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5465B-2944-C740-9FC4-2CF29A3306A4}"/>
      </w:docPartPr>
      <w:docPartBody>
        <w:p w:rsidR="00F643BF" w:rsidRDefault="00946BC6">
          <w:pPr>
            <w:pStyle w:val="09AC248012F69E4F9978F352CA94CA2A"/>
          </w:pPr>
          <w:r>
            <w:t>To:</w:t>
          </w:r>
        </w:p>
      </w:docPartBody>
    </w:docPart>
    <w:docPart>
      <w:docPartPr>
        <w:name w:val="62611DD74959D549988B97465D87C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6AF6B-EFE8-DA4A-93F0-D46E5F3193A2}"/>
      </w:docPartPr>
      <w:docPartBody>
        <w:p w:rsidR="00F643BF" w:rsidRDefault="00946BC6">
          <w:pPr>
            <w:pStyle w:val="62611DD74959D549988B97465D87CDEA"/>
          </w:pPr>
          <w:r>
            <w:t xml:space="preserve">From: </w:t>
          </w:r>
        </w:p>
      </w:docPartBody>
    </w:docPart>
    <w:docPart>
      <w:docPartPr>
        <w:name w:val="86E6DBB2F598E9418439289974E4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87F89-6B45-3141-A135-6FFCB4A3AD62}"/>
      </w:docPartPr>
      <w:docPartBody>
        <w:p w:rsidR="00F643BF" w:rsidRDefault="00946BC6">
          <w:pPr>
            <w:pStyle w:val="86E6DBB2F598E9418439289974E48441"/>
          </w:pPr>
          <w:r>
            <w:t xml:space="preserve">CC: </w:t>
          </w:r>
        </w:p>
      </w:docPartBody>
    </w:docPart>
    <w:docPart>
      <w:docPartPr>
        <w:name w:val="200F71955C82A44C9D979449F8EAD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E9174-9824-C344-B183-A5F26D37E7E1}"/>
      </w:docPartPr>
      <w:docPartBody>
        <w:p w:rsidR="00F643BF" w:rsidRDefault="00946BC6">
          <w:pPr>
            <w:pStyle w:val="200F71955C82A44C9D979449F8EAD047"/>
          </w:pPr>
          <w:r>
            <w:t>Date:</w:t>
          </w:r>
        </w:p>
      </w:docPartBody>
    </w:docPart>
    <w:docPart>
      <w:docPartPr>
        <w:name w:val="0F03612D43247F4AACF6B4155C4A2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04B7-7021-B940-8C01-17D5D50CA4AB}"/>
      </w:docPartPr>
      <w:docPartBody>
        <w:p w:rsidR="00F643BF" w:rsidRDefault="00946BC6">
          <w:pPr>
            <w:pStyle w:val="0F03612D43247F4AACF6B4155C4A219B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C6"/>
    <w:rsid w:val="00864CD5"/>
    <w:rsid w:val="00946BC6"/>
    <w:rsid w:val="009E13FA"/>
    <w:rsid w:val="00B34C7E"/>
    <w:rsid w:val="00BE5B90"/>
    <w:rsid w:val="00F6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C248012F69E4F9978F352CA94CA2A">
    <w:name w:val="09AC248012F69E4F9978F352CA94CA2A"/>
  </w:style>
  <w:style w:type="paragraph" w:customStyle="1" w:styleId="62611DD74959D549988B97465D87CDEA">
    <w:name w:val="62611DD74959D549988B97465D87CDEA"/>
  </w:style>
  <w:style w:type="paragraph" w:customStyle="1" w:styleId="86E6DBB2F598E9418439289974E48441">
    <w:name w:val="86E6DBB2F598E9418439289974E48441"/>
  </w:style>
  <w:style w:type="paragraph" w:customStyle="1" w:styleId="200F71955C82A44C9D979449F8EAD047">
    <w:name w:val="200F71955C82A44C9D979449F8EAD047"/>
  </w:style>
  <w:style w:type="paragraph" w:customStyle="1" w:styleId="0F03612D43247F4AACF6B4155C4A219B">
    <w:name w:val="0F03612D43247F4AACF6B4155C4A2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{6E3BB312-4C81-5449-B5AA-71660661A6B1}tf16392555_win32.dotx</Template>
  <TotalTime>1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Smith</cp:lastModifiedBy>
  <cp:revision>4</cp:revision>
  <dcterms:created xsi:type="dcterms:W3CDTF">2022-04-21T16:52:00Z</dcterms:created>
  <dcterms:modified xsi:type="dcterms:W3CDTF">2022-04-21T16:53:00Z</dcterms:modified>
</cp:coreProperties>
</file>