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06AF" w14:textId="132E74DA" w:rsidR="00312E54" w:rsidRPr="00893B82" w:rsidRDefault="007256CB" w:rsidP="00893B82">
      <w:pPr>
        <w:pStyle w:val="Title"/>
        <w:jc w:val="both"/>
        <w:rPr>
          <w:rFonts w:ascii="Segoe UI" w:hAnsi="Segoe UI" w:cs="Segoe UI"/>
          <w:b/>
          <w:bCs/>
          <w:color w:val="000000" w:themeColor="text1"/>
          <w:spacing w:val="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B82">
        <w:rPr>
          <w:rFonts w:ascii="Segoe UI" w:hAnsi="Segoe UI" w:cs="Segoe UI"/>
          <w:b/>
          <w:bCs/>
          <w:color w:val="000000" w:themeColor="text1"/>
          <w:spacing w:val="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 Monitoring Report Template</w:t>
      </w:r>
    </w:p>
    <w:p w14:paraId="1EE92E62" w14:textId="1AABDB07" w:rsidR="00312E54" w:rsidRPr="00893B82" w:rsidRDefault="007256CB" w:rsidP="00893B82">
      <w:pPr>
        <w:jc w:val="both"/>
        <w:rPr>
          <w:rFonts w:ascii="Segoe UI" w:hAnsi="Segoe UI" w:cs="Segoe UI"/>
        </w:rPr>
      </w:pPr>
      <w:r w:rsidRPr="00893B82">
        <w:rPr>
          <w:rFonts w:ascii="Segoe UI" w:hAnsi="Segoe UI" w:cs="Segoe UI"/>
        </w:rPr>
        <w:t xml:space="preserve">This Transaction Monitoring Report template is designed to capture key information on financial activities across </w:t>
      </w:r>
      <w:r w:rsidR="008D13F0">
        <w:rPr>
          <w:rFonts w:ascii="Segoe UI" w:hAnsi="Segoe UI" w:cs="Segoe UI"/>
        </w:rPr>
        <w:t>the organization’s</w:t>
      </w:r>
      <w:r w:rsidRPr="00893B82">
        <w:rPr>
          <w:rFonts w:ascii="Segoe UI" w:hAnsi="Segoe UI" w:cs="Segoe UI"/>
        </w:rPr>
        <w:t xml:space="preserve"> personal and business banking platforms. The report supports regulatory compliance, fraud detection, and internal risk management efforts.</w:t>
      </w:r>
    </w:p>
    <w:p w14:paraId="72A53207" w14:textId="77777777" w:rsidR="00312E54" w:rsidRPr="00893B82" w:rsidRDefault="007256CB" w:rsidP="00893B82">
      <w:pPr>
        <w:pStyle w:val="Heading1"/>
        <w:jc w:val="both"/>
        <w:rPr>
          <w:rFonts w:ascii="Segoe UI" w:hAnsi="Segoe UI" w:cs="Segoe UI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B82">
        <w:rPr>
          <w:rFonts w:ascii="Segoe UI" w:hAnsi="Segoe UI" w:cs="Segoe UI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Core Transaction Details</w:t>
      </w:r>
    </w:p>
    <w:p w14:paraId="467D1ADF" w14:textId="77777777" w:rsidR="00312E54" w:rsidRPr="00893B82" w:rsidRDefault="007256CB" w:rsidP="00893B82">
      <w:pPr>
        <w:jc w:val="both"/>
        <w:rPr>
          <w:rFonts w:ascii="Segoe UI" w:hAnsi="Segoe UI" w:cs="Segoe UI"/>
        </w:rPr>
      </w:pPr>
      <w:r w:rsidRPr="00893B82">
        <w:rPr>
          <w:rFonts w:ascii="Segoe UI" w:hAnsi="Segoe UI" w:cs="Segoe UI"/>
        </w:rPr>
        <w:t>The following fields should be captured for each transaction: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2E54" w:rsidRPr="00893B82" w14:paraId="403363CB" w14:textId="77777777">
        <w:tc>
          <w:tcPr>
            <w:tcW w:w="4320" w:type="dxa"/>
          </w:tcPr>
          <w:p w14:paraId="487CBF3E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Field</w:t>
            </w:r>
          </w:p>
        </w:tc>
        <w:tc>
          <w:tcPr>
            <w:tcW w:w="4320" w:type="dxa"/>
          </w:tcPr>
          <w:p w14:paraId="74C18C61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Description</w:t>
            </w:r>
          </w:p>
        </w:tc>
      </w:tr>
      <w:tr w:rsidR="00312E54" w:rsidRPr="00893B82" w14:paraId="4C49043D" w14:textId="77777777">
        <w:tc>
          <w:tcPr>
            <w:tcW w:w="4320" w:type="dxa"/>
          </w:tcPr>
          <w:p w14:paraId="0E8834A5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Transaction ID</w:t>
            </w:r>
          </w:p>
        </w:tc>
        <w:tc>
          <w:tcPr>
            <w:tcW w:w="4320" w:type="dxa"/>
          </w:tcPr>
          <w:p w14:paraId="1A5865E0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Unique identifier for each transaction</w:t>
            </w:r>
          </w:p>
        </w:tc>
      </w:tr>
      <w:tr w:rsidR="00312E54" w:rsidRPr="00893B82" w14:paraId="27967FCA" w14:textId="77777777">
        <w:tc>
          <w:tcPr>
            <w:tcW w:w="4320" w:type="dxa"/>
          </w:tcPr>
          <w:p w14:paraId="2834650A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Customer Name/ID</w:t>
            </w:r>
          </w:p>
        </w:tc>
        <w:tc>
          <w:tcPr>
            <w:tcW w:w="4320" w:type="dxa"/>
          </w:tcPr>
          <w:p w14:paraId="7D14F20B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Name or internal ID of the customer</w:t>
            </w:r>
          </w:p>
        </w:tc>
      </w:tr>
      <w:tr w:rsidR="00312E54" w:rsidRPr="00893B82" w14:paraId="28864831" w14:textId="77777777">
        <w:tc>
          <w:tcPr>
            <w:tcW w:w="4320" w:type="dxa"/>
          </w:tcPr>
          <w:p w14:paraId="53B14285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Account Number</w:t>
            </w:r>
          </w:p>
        </w:tc>
        <w:tc>
          <w:tcPr>
            <w:tcW w:w="4320" w:type="dxa"/>
          </w:tcPr>
          <w:p w14:paraId="5251D5DC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Customer account number</w:t>
            </w:r>
          </w:p>
        </w:tc>
      </w:tr>
      <w:tr w:rsidR="00312E54" w:rsidRPr="00893B82" w14:paraId="226F2B67" w14:textId="77777777">
        <w:tc>
          <w:tcPr>
            <w:tcW w:w="4320" w:type="dxa"/>
          </w:tcPr>
          <w:p w14:paraId="428C4F86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Transaction Type</w:t>
            </w:r>
          </w:p>
        </w:tc>
        <w:tc>
          <w:tcPr>
            <w:tcW w:w="4320" w:type="dxa"/>
          </w:tcPr>
          <w:p w14:paraId="1BD3ABB6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Credit, Debit, Loan Disbursement, Repayment, Transfer etc.</w:t>
            </w:r>
          </w:p>
        </w:tc>
      </w:tr>
      <w:tr w:rsidR="00312E54" w:rsidRPr="00893B82" w14:paraId="6EAA1976" w14:textId="77777777">
        <w:tc>
          <w:tcPr>
            <w:tcW w:w="4320" w:type="dxa"/>
          </w:tcPr>
          <w:p w14:paraId="1DE0D06F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Transaction Date/Time</w:t>
            </w:r>
          </w:p>
        </w:tc>
        <w:tc>
          <w:tcPr>
            <w:tcW w:w="4320" w:type="dxa"/>
          </w:tcPr>
          <w:p w14:paraId="54A8E6C6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Timestamp of transaction initiation or completion</w:t>
            </w:r>
          </w:p>
        </w:tc>
      </w:tr>
      <w:tr w:rsidR="00312E54" w:rsidRPr="00893B82" w14:paraId="60FE1599" w14:textId="77777777">
        <w:tc>
          <w:tcPr>
            <w:tcW w:w="4320" w:type="dxa"/>
          </w:tcPr>
          <w:p w14:paraId="0E9FB46A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Amount (₦)</w:t>
            </w:r>
          </w:p>
        </w:tc>
        <w:tc>
          <w:tcPr>
            <w:tcW w:w="4320" w:type="dxa"/>
          </w:tcPr>
          <w:p w14:paraId="1FD8F364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Value of the transaction</w:t>
            </w:r>
          </w:p>
        </w:tc>
      </w:tr>
      <w:tr w:rsidR="00312E54" w:rsidRPr="00893B82" w14:paraId="0342C0F7" w14:textId="77777777">
        <w:tc>
          <w:tcPr>
            <w:tcW w:w="4320" w:type="dxa"/>
          </w:tcPr>
          <w:p w14:paraId="0E8F795C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Currency</w:t>
            </w:r>
          </w:p>
        </w:tc>
        <w:tc>
          <w:tcPr>
            <w:tcW w:w="4320" w:type="dxa"/>
          </w:tcPr>
          <w:p w14:paraId="312F6BAE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Currency type, default is NGN</w:t>
            </w:r>
          </w:p>
        </w:tc>
      </w:tr>
      <w:tr w:rsidR="00312E54" w:rsidRPr="00893B82" w14:paraId="787E18D8" w14:textId="77777777">
        <w:tc>
          <w:tcPr>
            <w:tcW w:w="4320" w:type="dxa"/>
          </w:tcPr>
          <w:p w14:paraId="32F17389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Channel</w:t>
            </w:r>
          </w:p>
        </w:tc>
        <w:tc>
          <w:tcPr>
            <w:tcW w:w="4320" w:type="dxa"/>
          </w:tcPr>
          <w:p w14:paraId="73EA2443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Mobile App, Web, USSD, etc.</w:t>
            </w:r>
          </w:p>
        </w:tc>
      </w:tr>
      <w:tr w:rsidR="00312E54" w14:paraId="5CB2E6AA" w14:textId="77777777">
        <w:tc>
          <w:tcPr>
            <w:tcW w:w="4320" w:type="dxa"/>
          </w:tcPr>
          <w:p w14:paraId="188C1613" w14:textId="77777777" w:rsidR="00312E54" w:rsidRPr="007256CB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7256CB">
              <w:rPr>
                <w:rFonts w:ascii="Segoe UI" w:hAnsi="Segoe UI" w:cs="Segoe UI"/>
              </w:rPr>
              <w:t>Status</w:t>
            </w:r>
          </w:p>
        </w:tc>
        <w:tc>
          <w:tcPr>
            <w:tcW w:w="4320" w:type="dxa"/>
          </w:tcPr>
          <w:p w14:paraId="51379744" w14:textId="77777777" w:rsidR="00312E54" w:rsidRPr="007256CB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7256CB">
              <w:rPr>
                <w:rFonts w:ascii="Segoe UI" w:hAnsi="Segoe UI" w:cs="Segoe UI"/>
              </w:rPr>
              <w:t>Successful, Failed, Reversed, Pending</w:t>
            </w:r>
          </w:p>
        </w:tc>
      </w:tr>
    </w:tbl>
    <w:p w14:paraId="5647F53A" w14:textId="77777777" w:rsidR="00312E54" w:rsidRPr="00893B82" w:rsidRDefault="007256CB" w:rsidP="00893B82">
      <w:pPr>
        <w:pStyle w:val="Heading1"/>
        <w:jc w:val="both"/>
        <w:rPr>
          <w:rFonts w:ascii="Segoe UI" w:hAnsi="Segoe UI" w:cs="Segoe UI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B82">
        <w:rPr>
          <w:rFonts w:ascii="Segoe UI" w:hAnsi="Segoe UI" w:cs="Segoe UI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Risk Indicators / Red Flags to Monitor</w:t>
      </w:r>
    </w:p>
    <w:p w14:paraId="21979A5F" w14:textId="77777777" w:rsidR="00312E54" w:rsidRPr="00893B82" w:rsidRDefault="007256CB" w:rsidP="00893B82">
      <w:pPr>
        <w:jc w:val="both"/>
        <w:rPr>
          <w:rFonts w:ascii="Segoe UI" w:hAnsi="Segoe UI" w:cs="Segoe UI"/>
        </w:rPr>
      </w:pPr>
      <w:r w:rsidRPr="00893B82">
        <w:rPr>
          <w:rFonts w:ascii="Segoe UI" w:hAnsi="Segoe UI" w:cs="Segoe UI"/>
        </w:rPr>
        <w:t>Flag the following risk indicators manually or via defined thresholds: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2E54" w:rsidRPr="00893B82" w14:paraId="1D04764A" w14:textId="77777777">
        <w:tc>
          <w:tcPr>
            <w:tcW w:w="4320" w:type="dxa"/>
          </w:tcPr>
          <w:p w14:paraId="500A025B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Indicator</w:t>
            </w:r>
          </w:p>
        </w:tc>
        <w:tc>
          <w:tcPr>
            <w:tcW w:w="4320" w:type="dxa"/>
          </w:tcPr>
          <w:p w14:paraId="2B0940B7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Description</w:t>
            </w:r>
          </w:p>
        </w:tc>
      </w:tr>
      <w:tr w:rsidR="00312E54" w:rsidRPr="00893B82" w14:paraId="3BFEDFCF" w14:textId="77777777">
        <w:tc>
          <w:tcPr>
            <w:tcW w:w="4320" w:type="dxa"/>
          </w:tcPr>
          <w:p w14:paraId="4F3AA523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High-Value Transactions</w:t>
            </w:r>
          </w:p>
        </w:tc>
        <w:tc>
          <w:tcPr>
            <w:tcW w:w="4320" w:type="dxa"/>
          </w:tcPr>
          <w:p w14:paraId="17DE08A8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Single transactions above ₦1,000,000 for individuals or above set limits for SMEs</w:t>
            </w:r>
          </w:p>
        </w:tc>
      </w:tr>
      <w:tr w:rsidR="00312E54" w:rsidRPr="00893B82" w14:paraId="6BA82532" w14:textId="77777777">
        <w:tc>
          <w:tcPr>
            <w:tcW w:w="4320" w:type="dxa"/>
          </w:tcPr>
          <w:p w14:paraId="3BDCECAE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lastRenderedPageBreak/>
              <w:t>Frequent Failed Transactions</w:t>
            </w:r>
          </w:p>
        </w:tc>
        <w:tc>
          <w:tcPr>
            <w:tcW w:w="4320" w:type="dxa"/>
          </w:tcPr>
          <w:p w14:paraId="257098F1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Multiple failed login or payment attempts</w:t>
            </w:r>
          </w:p>
        </w:tc>
      </w:tr>
      <w:tr w:rsidR="00312E54" w:rsidRPr="00893B82" w14:paraId="54636CB8" w14:textId="77777777">
        <w:tc>
          <w:tcPr>
            <w:tcW w:w="4320" w:type="dxa"/>
          </w:tcPr>
          <w:p w14:paraId="2CA7F297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Unusual Transaction Patterns</w:t>
            </w:r>
          </w:p>
        </w:tc>
        <w:tc>
          <w:tcPr>
            <w:tcW w:w="4320" w:type="dxa"/>
          </w:tcPr>
          <w:p w14:paraId="42125569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Rapid movement of funds, round-figure transactions, or inconsistent usage</w:t>
            </w:r>
          </w:p>
        </w:tc>
      </w:tr>
      <w:tr w:rsidR="00312E54" w:rsidRPr="00893B82" w14:paraId="4EF082BE" w14:textId="77777777">
        <w:tc>
          <w:tcPr>
            <w:tcW w:w="4320" w:type="dxa"/>
          </w:tcPr>
          <w:p w14:paraId="054EA4F1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Third-Party Repayments</w:t>
            </w:r>
          </w:p>
        </w:tc>
        <w:tc>
          <w:tcPr>
            <w:tcW w:w="4320" w:type="dxa"/>
          </w:tcPr>
          <w:p w14:paraId="351A59B7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Loan repayments from accounts not linked to the borrower</w:t>
            </w:r>
          </w:p>
        </w:tc>
      </w:tr>
      <w:tr w:rsidR="00312E54" w:rsidRPr="00893B82" w14:paraId="7D0791C4" w14:textId="77777777">
        <w:tc>
          <w:tcPr>
            <w:tcW w:w="4320" w:type="dxa"/>
          </w:tcPr>
          <w:p w14:paraId="7BD494E0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Activity on Dormant Accounts</w:t>
            </w:r>
          </w:p>
        </w:tc>
        <w:tc>
          <w:tcPr>
            <w:tcW w:w="4320" w:type="dxa"/>
          </w:tcPr>
          <w:p w14:paraId="25605E1F" w14:textId="77777777" w:rsidR="00312E54" w:rsidRPr="00893B82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Sudden activity on previously inactive accounts</w:t>
            </w:r>
          </w:p>
        </w:tc>
      </w:tr>
      <w:tr w:rsidR="00312E54" w:rsidRPr="00893B82" w14:paraId="39D4F0CB" w14:textId="77777777">
        <w:tc>
          <w:tcPr>
            <w:tcW w:w="4320" w:type="dxa"/>
          </w:tcPr>
          <w:p w14:paraId="6A55C960" w14:textId="77777777" w:rsidR="00312E54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Linked Accounts</w:t>
            </w:r>
          </w:p>
          <w:p w14:paraId="23F6F843" w14:textId="77777777" w:rsidR="00C60046" w:rsidRDefault="00C60046" w:rsidP="00C60046">
            <w:pPr>
              <w:pStyle w:val="Heading2"/>
              <w:rPr>
                <w:rFonts w:ascii="Segoe UI" w:hAnsi="Segoe UI" w:cs="Segoe UI"/>
                <w:b w:val="0"/>
                <w:bCs w:val="0"/>
                <w:color w:val="auto"/>
                <w:sz w:val="22"/>
                <w:szCs w:val="22"/>
              </w:rPr>
            </w:pPr>
          </w:p>
          <w:p w14:paraId="781B6108" w14:textId="06F5EFA3" w:rsidR="00C60046" w:rsidRPr="00C60046" w:rsidRDefault="00C60046" w:rsidP="00C60046">
            <w:pPr>
              <w:pStyle w:val="Heading2"/>
              <w:rPr>
                <w:rFonts w:ascii="Segoe UI" w:hAnsi="Segoe UI" w:cs="Segoe UI"/>
                <w:b w:val="0"/>
                <w:bCs w:val="0"/>
                <w:color w:val="auto"/>
                <w:sz w:val="22"/>
                <w:szCs w:val="22"/>
              </w:rPr>
            </w:pPr>
            <w:r w:rsidRPr="00C60046">
              <w:rPr>
                <w:rFonts w:ascii="Segoe UI" w:hAnsi="Segoe UI" w:cs="Segoe UI"/>
                <w:b w:val="0"/>
                <w:bCs w:val="0"/>
                <w:color w:val="auto"/>
                <w:sz w:val="22"/>
                <w:szCs w:val="22"/>
              </w:rPr>
              <w:t>High-Risk Geographic Locations</w:t>
            </w:r>
          </w:p>
          <w:p w14:paraId="1D5E964F" w14:textId="77777777" w:rsidR="00C60046" w:rsidRDefault="00C60046" w:rsidP="00893B82">
            <w:pPr>
              <w:jc w:val="both"/>
              <w:rPr>
                <w:rFonts w:ascii="Segoe UI" w:hAnsi="Segoe UI" w:cs="Segoe UI"/>
              </w:rPr>
            </w:pPr>
          </w:p>
          <w:p w14:paraId="65D1B423" w14:textId="77777777" w:rsidR="00C60046" w:rsidRDefault="00C60046" w:rsidP="00893B82">
            <w:pPr>
              <w:jc w:val="both"/>
              <w:rPr>
                <w:rFonts w:ascii="Segoe UI" w:hAnsi="Segoe UI" w:cs="Segoe UI"/>
              </w:rPr>
            </w:pPr>
          </w:p>
          <w:p w14:paraId="3435F290" w14:textId="77777777" w:rsidR="00C60046" w:rsidRDefault="00C60046" w:rsidP="00893B82">
            <w:pPr>
              <w:jc w:val="both"/>
              <w:rPr>
                <w:rFonts w:ascii="Segoe UI" w:hAnsi="Segoe UI" w:cs="Segoe UI"/>
              </w:rPr>
            </w:pPr>
          </w:p>
          <w:p w14:paraId="14A75382" w14:textId="77777777" w:rsidR="00C60046" w:rsidRPr="00C60046" w:rsidRDefault="00C60046" w:rsidP="00C60046">
            <w:pPr>
              <w:pStyle w:val="Heading2"/>
              <w:rPr>
                <w:rFonts w:ascii="Segoe UI" w:hAnsi="Segoe UI" w:cs="Segoe UI"/>
                <w:b w:val="0"/>
                <w:bCs w:val="0"/>
                <w:color w:val="auto"/>
                <w:sz w:val="22"/>
                <w:szCs w:val="22"/>
              </w:rPr>
            </w:pPr>
            <w:r w:rsidRPr="00C60046">
              <w:rPr>
                <w:rFonts w:ascii="Segoe UI" w:hAnsi="Segoe UI" w:cs="Segoe UI"/>
                <w:b w:val="0"/>
                <w:bCs w:val="0"/>
                <w:color w:val="auto"/>
                <w:sz w:val="22"/>
                <w:szCs w:val="22"/>
              </w:rPr>
              <w:t>False or Inconsistent Customer Information</w:t>
            </w:r>
          </w:p>
          <w:p w14:paraId="17BFE4B1" w14:textId="77777777" w:rsidR="00C60046" w:rsidRDefault="00C60046" w:rsidP="00893B82">
            <w:pPr>
              <w:jc w:val="both"/>
              <w:rPr>
                <w:rFonts w:ascii="Segoe UI" w:hAnsi="Segoe UI" w:cs="Segoe UI"/>
              </w:rPr>
            </w:pPr>
          </w:p>
          <w:p w14:paraId="037FFC3B" w14:textId="77777777" w:rsidR="00C60046" w:rsidRPr="00C60046" w:rsidRDefault="00C60046" w:rsidP="00C60046">
            <w:pPr>
              <w:pStyle w:val="Heading2"/>
              <w:rPr>
                <w:rFonts w:ascii="Segoe UI" w:hAnsi="Segoe UI" w:cs="Segoe UI"/>
                <w:b w:val="0"/>
                <w:bCs w:val="0"/>
                <w:color w:val="auto"/>
                <w:sz w:val="22"/>
                <w:szCs w:val="22"/>
              </w:rPr>
            </w:pPr>
            <w:r w:rsidRPr="00C60046">
              <w:rPr>
                <w:rFonts w:ascii="Segoe UI" w:hAnsi="Segoe UI" w:cs="Segoe UI"/>
                <w:b w:val="0"/>
                <w:bCs w:val="0"/>
                <w:color w:val="auto"/>
                <w:sz w:val="22"/>
                <w:szCs w:val="22"/>
              </w:rPr>
              <w:t>Early Loan Repayment Without Justification</w:t>
            </w:r>
          </w:p>
          <w:p w14:paraId="2670097C" w14:textId="37B529CD" w:rsidR="00C60046" w:rsidRPr="00893B82" w:rsidRDefault="00C60046" w:rsidP="00893B82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320" w:type="dxa"/>
          </w:tcPr>
          <w:p w14:paraId="5EEAF4AF" w14:textId="77777777" w:rsidR="00312E54" w:rsidRDefault="007256CB" w:rsidP="00893B82">
            <w:pPr>
              <w:jc w:val="both"/>
              <w:rPr>
                <w:rFonts w:ascii="Segoe UI" w:hAnsi="Segoe UI" w:cs="Segoe UI"/>
              </w:rPr>
            </w:pPr>
            <w:r w:rsidRPr="00893B82">
              <w:rPr>
                <w:rFonts w:ascii="Segoe UI" w:hAnsi="Segoe UI" w:cs="Segoe UI"/>
              </w:rPr>
              <w:t>Multiple accounts with same phone number, BVN, or device ID</w:t>
            </w:r>
          </w:p>
          <w:p w14:paraId="3260A9C4" w14:textId="77777777" w:rsidR="00C60046" w:rsidRDefault="00C60046" w:rsidP="00C60046">
            <w:pPr>
              <w:jc w:val="both"/>
            </w:pPr>
            <w:r w:rsidRPr="00C60046">
              <w:rPr>
                <w:rFonts w:ascii="Segoe UI" w:hAnsi="Segoe UI" w:cs="Segoe UI"/>
              </w:rPr>
              <w:t>Transactions linked to or originating from jurisdictions flagged by FATF or NFIU for high ML/TF risk</w:t>
            </w:r>
            <w:r>
              <w:rPr>
                <w:rFonts w:ascii="Segoe UI" w:hAnsi="Segoe UI" w:cs="Segoe UI"/>
              </w:rPr>
              <w:t xml:space="preserve">, transactions from </w:t>
            </w:r>
            <w:r>
              <w:t>DNFBPs, Real Estate, certain types of charities/NGOs) are often identified as having higher inherent ML/TF risks.</w:t>
            </w:r>
          </w:p>
          <w:p w14:paraId="407372EF" w14:textId="3F99CC93" w:rsidR="00C60046" w:rsidRDefault="00C60046" w:rsidP="00C60046">
            <w:pPr>
              <w:rPr>
                <w:rFonts w:ascii="Segoe UI" w:hAnsi="Segoe UI" w:cs="Segoe UI"/>
              </w:rPr>
            </w:pPr>
            <w:r w:rsidRPr="00C60046">
              <w:rPr>
                <w:rFonts w:ascii="Segoe UI" w:hAnsi="Segoe UI" w:cs="Segoe UI"/>
              </w:rPr>
              <w:t>Mismatches between BVN, NIN, KYC documents and transaction behavior; unverifiable details.</w:t>
            </w:r>
          </w:p>
          <w:p w14:paraId="0A49FDEB" w14:textId="119EE193" w:rsidR="00C60046" w:rsidRPr="00C60046" w:rsidRDefault="00C60046" w:rsidP="00C60046">
            <w:pPr>
              <w:rPr>
                <w:rFonts w:ascii="Segoe UI" w:hAnsi="Segoe UI" w:cs="Segoe UI"/>
              </w:rPr>
            </w:pPr>
            <w:r w:rsidRPr="00C60046">
              <w:rPr>
                <w:rFonts w:ascii="Segoe UI" w:hAnsi="Segoe UI" w:cs="Segoe UI"/>
              </w:rPr>
              <w:t>Customers consistently paying off loans early using third-party funds or unsupported cash deposits</w:t>
            </w:r>
          </w:p>
          <w:p w14:paraId="3328A87F" w14:textId="23774A0D" w:rsidR="00C60046" w:rsidRPr="00C60046" w:rsidRDefault="00C60046" w:rsidP="00C60046">
            <w:pPr>
              <w:jc w:val="both"/>
              <w:rPr>
                <w:rFonts w:ascii="Segoe UI" w:hAnsi="Segoe UI" w:cs="Segoe UI"/>
              </w:rPr>
            </w:pPr>
          </w:p>
        </w:tc>
      </w:tr>
    </w:tbl>
    <w:p w14:paraId="392681B9" w14:textId="77777777" w:rsidR="00312E54" w:rsidRDefault="007256CB" w:rsidP="00893B82">
      <w:pPr>
        <w:pStyle w:val="Heading1"/>
        <w:jc w:val="both"/>
      </w:pPr>
      <w:r w:rsidRPr="00893B82">
        <w:rPr>
          <w:rFonts w:ascii="Segoe UI" w:hAnsi="Segoe UI" w:cs="Segoe UI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Summary Insights (</w:t>
      </w:r>
      <w:r w:rsidRPr="00893B82">
        <w:rPr>
          <w:rFonts w:ascii="Segoe UI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</w:t>
      </w:r>
      <w:r w:rsidRPr="00893B8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54B7837" w14:textId="77777777" w:rsidR="00312E54" w:rsidRPr="00893B82" w:rsidRDefault="007256CB" w:rsidP="00893B82">
      <w:pPr>
        <w:jc w:val="both"/>
        <w:rPr>
          <w:rFonts w:ascii="Segoe UI" w:hAnsi="Segoe UI" w:cs="Segoe UI"/>
        </w:rPr>
      </w:pPr>
      <w:r w:rsidRPr="00893B82">
        <w:rPr>
          <w:rFonts w:ascii="Segoe UI" w:hAnsi="Segoe UI" w:cs="Segoe UI"/>
        </w:rPr>
        <w:t>This section can include analysis of overall trends, flagged transactions, and recommendations for review.</w:t>
      </w:r>
    </w:p>
    <w:sectPr w:rsidR="00312E54" w:rsidRPr="00893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511590">
    <w:abstractNumId w:val="8"/>
  </w:num>
  <w:num w:numId="2" w16cid:durableId="994913406">
    <w:abstractNumId w:val="6"/>
  </w:num>
  <w:num w:numId="3" w16cid:durableId="759840093">
    <w:abstractNumId w:val="5"/>
  </w:num>
  <w:num w:numId="4" w16cid:durableId="65495912">
    <w:abstractNumId w:val="4"/>
  </w:num>
  <w:num w:numId="5" w16cid:durableId="310721080">
    <w:abstractNumId w:val="7"/>
  </w:num>
  <w:num w:numId="6" w16cid:durableId="203564753">
    <w:abstractNumId w:val="3"/>
  </w:num>
  <w:num w:numId="7" w16cid:durableId="2023891641">
    <w:abstractNumId w:val="2"/>
  </w:num>
  <w:num w:numId="8" w16cid:durableId="702443938">
    <w:abstractNumId w:val="1"/>
  </w:num>
  <w:num w:numId="9" w16cid:durableId="100003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E54"/>
    <w:rsid w:val="00326F90"/>
    <w:rsid w:val="004B333D"/>
    <w:rsid w:val="007256CB"/>
    <w:rsid w:val="00893B82"/>
    <w:rsid w:val="008D13F0"/>
    <w:rsid w:val="00AA1D8D"/>
    <w:rsid w:val="00B47730"/>
    <w:rsid w:val="00C600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77862"/>
  <w14:defaultImageDpi w14:val="300"/>
  <w15:docId w15:val="{90DCE0CD-9211-4762-BFA6-BD8D00E9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Aderoju Adeyemi</cp:lastModifiedBy>
  <cp:revision>3</cp:revision>
  <dcterms:created xsi:type="dcterms:W3CDTF">2013-12-23T23:15:00Z</dcterms:created>
  <dcterms:modified xsi:type="dcterms:W3CDTF">2026-02-18T13:50:00Z</dcterms:modified>
  <cp:category/>
</cp:coreProperties>
</file>