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投产回退预案</w:t>
      </w:r>
    </w:p>
    <w:p>
      <w:pPr>
        <w:pStyle w:val="BodyText"/>
        <w:bidi w:val="0"/>
        <w:spacing w:before="0" w:after="283"/>
        <w:rPr/>
      </w:pPr>
      <w:r>
        <w:rPr>
          <w:rStyle w:val="Strong"/>
        </w:rPr>
        <w:t>项目：</w:t>
      </w:r>
      <w:r>
        <w:rPr/>
        <w:t>统一交付能力升级</w:t>
      </w:r>
    </w:p>
    <w:p>
      <w:pPr>
        <w:pStyle w:val="BodyText"/>
        <w:bidi w:val="0"/>
        <w:spacing w:before="0" w:after="283"/>
        <w:rPr/>
      </w:pPr>
      <w:r>
        <w:rPr>
          <w:rStyle w:val="Strong"/>
        </w:rPr>
        <w:t>投产窗口：</w:t>
      </w:r>
      <w:r>
        <w:rPr/>
        <w:t>2026-09-05 22:00 - 24:00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触发条件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核心交易验证连续失败两次。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关键接口错误率超过 </w:t>
      </w:r>
      <w:r>
        <w:rPr/>
        <w:t>5%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数据迁移校验结果不一致。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回退步骤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停止新版本应用流量并冻结数据写入。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恢复上一稳定版本及对应配置。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执行数据库回退脚本并核对关键数据。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完成业务验证后恢复服务并发布通知。 </w:t>
      </w:r>
    </w:p>
    <w:p>
      <w:pPr>
        <w:pStyle w:val="BodyText"/>
        <w:bidi w:val="0"/>
        <w:spacing w:before="0" w:after="283"/>
        <w:rPr/>
      </w:pPr>
      <w:r>
        <w:rPr/>
        <w:t>编制人：林川　审核人：周宁　日期：</w:t>
      </w:r>
      <w:r>
        <w:rPr/>
        <w:t>2026-08-05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Linux Libertine G" w:cs="Noto 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  <Pages>1</Pages>
  <Words>158</Words>
  <Characters>189</Characters>
  <CharactersWithSpaces>202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投产回退预案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