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9.png" ContentType="image/png"/>
  <Override PartName="/word/media/rId252.png" ContentType="image/png"/>
  <Override PartName="/word/media/rId296.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Open</w:t>
      </w:r>
      <w:r>
        <w:t xml:space="preserve"> </w:t>
      </w:r>
      <w:r>
        <w:t xml:space="preserve">Pediatric</w:t>
      </w:r>
      <w:r>
        <w:t xml:space="preserve"> </w:t>
      </w:r>
      <w:r>
        <w:t xml:space="preserve">Cancer</w:t>
      </w:r>
      <w:r>
        <w:t xml:space="preserve"> </w:t>
      </w:r>
      <w:r>
        <w:t xml:space="preserve">Project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rokitalab/OpenPedCan-manuscript@d56f5f4</w:t>
        </w:r>
      </w:hyperlink>
      <w:r>
        <w:t xml:space="preserve"> </w:t>
      </w:r>
      <w:r>
        <w:t xml:space="preserve">on 2025-02-28.</w:t>
      </w:r>
      <w:r>
        <w:t xml:space="preserve"> </w:t>
      </w:r>
    </w:p>
    <w:bookmarkStart w:id="222" w:name="authors"/>
    <w:p>
      <w:pPr>
        <w:pStyle w:val="Heading2"/>
      </w:pPr>
      <w:r>
        <w:t xml:space="preserve">Authors</w:t>
      </w:r>
    </w:p>
    <w:p>
      <w:pPr>
        <w:numPr>
          <w:ilvl w:val="0"/>
          <w:numId w:val="1001"/>
        </w:numPr>
      </w:pPr>
      <w:r>
        <w:rPr>
          <w:bCs/>
          <w:b/>
        </w:rPr>
        <w:t xml:space="preserve">Zhuangzhuang Geng</w:t>
      </w:r>
      <w:r>
        <w:t xml:space="preserve"> </w:t>
      </w:r>
      <w:r>
        <w:drawing>
          <wp:inline>
            <wp:extent cx="203200" cy="203200"/>
            <wp:effectExtent b="0" l="0" r="0" t="0"/>
            <wp:docPr descr="ORCID icon" title="" id="23" name="Picture"/>
            <a:graphic>
              <a:graphicData uri="http://schemas.openxmlformats.org/drawingml/2006/picture">
                <pic:pic>
                  <pic:nvPicPr>
                    <pic:cNvPr descr="images/orcid.png" id="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5">
        <w:r>
          <w:rPr>
            <w:rStyle w:val="Hyperlink"/>
          </w:rPr>
          <w:t xml:space="preserve">0009-0007-6883-0691</w:t>
        </w:r>
      </w:hyperlink>
      <w:r>
        <w:t xml:space="preserve"> </w:t>
      </w:r>
      <w:r>
        <w:t xml:space="preserve">·</w:t>
      </w:r>
      <w:r>
        <w:t xml:space="preserve"> </w:t>
      </w:r>
      <w:r>
        <w:drawing>
          <wp:inline>
            <wp:extent cx="203200" cy="203200"/>
            <wp:effectExtent b="0" l="0" r="0" t="0"/>
            <wp:docPr descr="GitHub icon" title="" id="27" name="Picture"/>
            <a:graphic>
              <a:graphicData uri="http://schemas.openxmlformats.org/drawingml/2006/picture">
                <pic:pic>
                  <pic:nvPicPr>
                    <pic:cNvPr descr="images/github.png" id="2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9">
        <w:r>
          <w:rPr>
            <w:rStyle w:val="Hyperlink"/>
          </w:rPr>
          <w:t xml:space="preserve">zzgeng</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Eric Wafula</w:t>
      </w:r>
      <w:r>
        <w:t xml:space="preserve"> </w:t>
      </w:r>
      <w:r>
        <w:drawing>
          <wp:inline>
            <wp:extent cx="203200" cy="203200"/>
            <wp:effectExtent b="0" l="0" r="0" t="0"/>
            <wp:docPr descr="ORCID icon" title="" id="30" name="Picture"/>
            <a:graphic>
              <a:graphicData uri="http://schemas.openxmlformats.org/drawingml/2006/picture">
                <pic:pic>
                  <pic:nvPicPr>
                    <pic:cNvPr descr="images/orcid.png" id="3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2">
        <w:r>
          <w:rPr>
            <w:rStyle w:val="Hyperlink"/>
          </w:rPr>
          <w:t xml:space="preserve">0000-0001-8073-3797</w:t>
        </w:r>
      </w:hyperlink>
      <w:r>
        <w:t xml:space="preserve"> </w:t>
      </w:r>
      <w:r>
        <w:t xml:space="preserve">·</w:t>
      </w:r>
      <w:r>
        <w:t xml:space="preserve"> </w:t>
      </w:r>
      <w:r>
        <w:drawing>
          <wp:inline>
            <wp:extent cx="203200" cy="203200"/>
            <wp:effectExtent b="0" l="0" r="0" t="0"/>
            <wp:docPr descr="GitHub icon" title="" id="33" name="Picture"/>
            <a:graphic>
              <a:graphicData uri="http://schemas.openxmlformats.org/drawingml/2006/picture">
                <pic:pic>
                  <pic:nvPicPr>
                    <pic:cNvPr descr="images/github.png" id="3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5">
        <w:r>
          <w:rPr>
            <w:rStyle w:val="Hyperlink"/>
          </w:rPr>
          <w:t xml:space="preserve">ewafula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Ryan J. Corbett</w:t>
      </w:r>
      <w:r>
        <w:t xml:space="preserve"> </w:t>
      </w:r>
      <w:r>
        <w:drawing>
          <wp:inline>
            <wp:extent cx="203200" cy="203200"/>
            <wp:effectExtent b="0" l="0" r="0" t="0"/>
            <wp:docPr descr="ORCID icon" title="" id="36" name="Picture"/>
            <a:graphic>
              <a:graphicData uri="http://schemas.openxmlformats.org/drawingml/2006/picture">
                <pic:pic>
                  <pic:nvPicPr>
                    <pic:cNvPr descr="images/orcid.png" id="3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8">
        <w:r>
          <w:rPr>
            <w:rStyle w:val="Hyperlink"/>
          </w:rPr>
          <w:t xml:space="preserve">0000-0002-3478-0784</w:t>
        </w:r>
      </w:hyperlink>
      <w:r>
        <w:t xml:space="preserve"> </w:t>
      </w:r>
      <w:r>
        <w:t xml:space="preserve">·</w:t>
      </w:r>
      <w:r>
        <w:t xml:space="preserve"> </w:t>
      </w:r>
      <w:r>
        <w:drawing>
          <wp:inline>
            <wp:extent cx="203200" cy="203200"/>
            <wp:effectExtent b="0" l="0" r="0" t="0"/>
            <wp:docPr descr="GitHub icon" title="" id="39" name="Picture"/>
            <a:graphic>
              <a:graphicData uri="http://schemas.openxmlformats.org/drawingml/2006/picture">
                <pic:pic>
                  <pic:nvPicPr>
                    <pic:cNvPr descr="images/github.png" id="4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1">
        <w:r>
          <w:rPr>
            <w:rStyle w:val="Hyperlink"/>
          </w:rPr>
          <w:t xml:space="preserve">rjcorb</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Yuanchao Zhang</w:t>
      </w:r>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Run Jin</w:t>
      </w:r>
      <w:r>
        <w:t xml:space="preserve"> </w:t>
      </w:r>
      <w:r>
        <w:drawing>
          <wp:inline>
            <wp:extent cx="203200" cy="203200"/>
            <wp:effectExtent b="0" l="0" r="0" t="0"/>
            <wp:docPr descr="ORCID icon" title="" id="42" name="Picture"/>
            <a:graphic>
              <a:graphicData uri="http://schemas.openxmlformats.org/drawingml/2006/picture">
                <pic:pic>
                  <pic:nvPicPr>
                    <pic:cNvPr descr="images/orcid.png" id="4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4">
        <w:r>
          <w:rPr>
            <w:rStyle w:val="Hyperlink"/>
          </w:rPr>
          <w:t xml:space="preserve">0000-0002-8958-9266</w:t>
        </w:r>
      </w:hyperlink>
      <w:r>
        <w:t xml:space="preserve"> </w:t>
      </w:r>
      <w:r>
        <w:t xml:space="preserve">·</w:t>
      </w:r>
      <w:r>
        <w:t xml:space="preserve"> </w:t>
      </w:r>
      <w:r>
        <w:drawing>
          <wp:inline>
            <wp:extent cx="203200" cy="203200"/>
            <wp:effectExtent b="0" l="0" r="0" t="0"/>
            <wp:docPr descr="GitHub icon" title="" id="45" name="Picture"/>
            <a:graphic>
              <a:graphicData uri="http://schemas.openxmlformats.org/drawingml/2006/picture">
                <pic:pic>
                  <pic:nvPicPr>
                    <pic:cNvPr descr="images/github.png" id="4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7">
        <w:r>
          <w:rPr>
            <w:rStyle w:val="Hyperlink"/>
          </w:rPr>
          <w:t xml:space="preserve">runjin326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Krutika S. Gaonkar</w:t>
      </w:r>
      <w:r>
        <w:t xml:space="preserve"> </w:t>
      </w:r>
      <w:r>
        <w:drawing>
          <wp:inline>
            <wp:extent cx="203200" cy="203200"/>
            <wp:effectExtent b="0" l="0" r="0" t="0"/>
            <wp:docPr descr="ORCID icon" title="" id="48" name="Picture"/>
            <a:graphic>
              <a:graphicData uri="http://schemas.openxmlformats.org/drawingml/2006/picture">
                <pic:pic>
                  <pic:nvPicPr>
                    <pic:cNvPr descr="images/orcid.png" id="4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0">
        <w:r>
          <w:rPr>
            <w:rStyle w:val="Hyperlink"/>
          </w:rPr>
          <w:t xml:space="preserve">0000-0003-0838-2405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Sangeeta Shukla</w:t>
      </w:r>
      <w:r>
        <w:t xml:space="preserve"> </w:t>
      </w:r>
      <w:r>
        <w:drawing>
          <wp:inline>
            <wp:extent cx="203200" cy="203200"/>
            <wp:effectExtent b="0" l="0" r="0" t="0"/>
            <wp:docPr descr="ORCID icon" title="" id="51" name="Picture"/>
            <a:graphic>
              <a:graphicData uri="http://schemas.openxmlformats.org/drawingml/2006/picture">
                <pic:pic>
                  <pic:nvPicPr>
                    <pic:cNvPr descr="images/orcid.png" id="5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3">
        <w:r>
          <w:rPr>
            <w:rStyle w:val="Hyperlink"/>
          </w:rPr>
          <w:t xml:space="preserve">0000-0002-3727-9602</w:t>
        </w:r>
      </w:hyperlink>
      <w:r>
        <w:t xml:space="preserve"> </w:t>
      </w:r>
      <w:r>
        <w:t xml:space="preserve">·</w:t>
      </w:r>
      <w:r>
        <w:t xml:space="preserve"> </w:t>
      </w:r>
      <w:r>
        <w:drawing>
          <wp:inline>
            <wp:extent cx="203200" cy="203200"/>
            <wp:effectExtent b="0" l="0" r="0" t="0"/>
            <wp:docPr descr="GitHub icon" title="" id="54" name="Picture"/>
            <a:graphic>
              <a:graphicData uri="http://schemas.openxmlformats.org/drawingml/2006/picture">
                <pic:pic>
                  <pic:nvPicPr>
                    <pic:cNvPr descr="images/github.png" id="5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6">
        <w:r>
          <w:rPr>
            <w:rStyle w:val="Hyperlink"/>
          </w:rPr>
          <w:t xml:space="preserve">sangeetashukla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Komal S. Rathi</w:t>
      </w:r>
      <w:r>
        <w:t xml:space="preserve"> </w:t>
      </w:r>
      <w:r>
        <w:drawing>
          <wp:inline>
            <wp:extent cx="203200" cy="203200"/>
            <wp:effectExtent b="0" l="0" r="0" t="0"/>
            <wp:docPr descr="ORCID icon" title="" id="57" name="Picture"/>
            <a:graphic>
              <a:graphicData uri="http://schemas.openxmlformats.org/drawingml/2006/picture">
                <pic:pic>
                  <pic:nvPicPr>
                    <pic:cNvPr descr="images/orcid.png" id="5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9">
        <w:r>
          <w:rPr>
            <w:rStyle w:val="Hyperlink"/>
          </w:rPr>
          <w:t xml:space="preserve">0000-0001-5534-6904</w:t>
        </w:r>
      </w:hyperlink>
      <w:r>
        <w:t xml:space="preserve"> </w:t>
      </w:r>
      <w:r>
        <w:t xml:space="preserve">·</w:t>
      </w:r>
      <w:r>
        <w:t xml:space="preserve"> </w:t>
      </w:r>
      <w:r>
        <w:drawing>
          <wp:inline>
            <wp:extent cx="203200" cy="203200"/>
            <wp:effectExtent b="0" l="0" r="0" t="0"/>
            <wp:docPr descr="GitHub icon" title="" id="60" name="Picture"/>
            <a:graphic>
              <a:graphicData uri="http://schemas.openxmlformats.org/drawingml/2006/picture">
                <pic:pic>
                  <pic:nvPicPr>
                    <pic:cNvPr descr="images/github.png" id="6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2">
        <w:r>
          <w:rPr>
            <w:rStyle w:val="Hyperlink"/>
          </w:rPr>
          <w:t xml:space="preserve">komalsrathi</w:t>
        </w:r>
      </w:hyperlink>
      <w:r>
        <w:t xml:space="preserve"> </w:t>
      </w:r>
      <w:r>
        <w:t xml:space="preserve"> </w:t>
      </w:r>
      <w:r>
        <w:t xml:space="preserve">Center for Data-Driven Discovery in Biomedicine,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Dave Hill</w:t>
      </w:r>
      <w:r>
        <w:t xml:space="preserve"> </w:t>
      </w:r>
      <w:r>
        <w:drawing>
          <wp:inline>
            <wp:extent cx="203200" cy="203200"/>
            <wp:effectExtent b="0" l="0" r="0" t="0"/>
            <wp:docPr descr="ORCID icon" title="" id="63" name="Picture"/>
            <a:graphic>
              <a:graphicData uri="http://schemas.openxmlformats.org/drawingml/2006/picture">
                <pic:pic>
                  <pic:nvPicPr>
                    <pic:cNvPr descr="images/orcid.png" id="6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5">
        <w:r>
          <w:rPr>
            <w:rStyle w:val="Hyperlink"/>
          </w:rPr>
          <w:t xml:space="preserve">0000-0002-1337-1789</w:t>
        </w:r>
      </w:hyperlink>
      <w:r>
        <w:t xml:space="preserve"> </w:t>
      </w:r>
      <w:r>
        <w:t xml:space="preserve">·</w:t>
      </w:r>
      <w:r>
        <w:t xml:space="preserve"> </w:t>
      </w:r>
      <w:r>
        <w:drawing>
          <wp:inline>
            <wp:extent cx="203200" cy="203200"/>
            <wp:effectExtent b="0" l="0" r="0" t="0"/>
            <wp:docPr descr="GitHub icon" title="" id="66" name="Picture"/>
            <a:graphic>
              <a:graphicData uri="http://schemas.openxmlformats.org/drawingml/2006/picture">
                <pic:pic>
                  <pic:nvPicPr>
                    <pic:cNvPr descr="images/github.png" id="6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8">
        <w:r>
          <w:rPr>
            <w:rStyle w:val="Hyperlink"/>
          </w:rPr>
          <w:t xml:space="preserve">atlas4213</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Aditya Lahiri</w:t>
      </w:r>
      <w:r>
        <w:t xml:space="preserve"> </w:t>
      </w:r>
      <w:r>
        <w:drawing>
          <wp:inline>
            <wp:extent cx="203200" cy="203200"/>
            <wp:effectExtent b="0" l="0" r="0" t="0"/>
            <wp:docPr descr="ORCID icon" title="" id="69" name="Picture"/>
            <a:graphic>
              <a:graphicData uri="http://schemas.openxmlformats.org/drawingml/2006/picture">
                <pic:pic>
                  <pic:nvPicPr>
                    <pic:cNvPr descr="images/orcid.png" id="7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1">
        <w:r>
          <w:rPr>
            <w:rStyle w:val="Hyperlink"/>
          </w:rPr>
          <w:t xml:space="preserve">0000-0001-9352-1312</w:t>
        </w:r>
      </w:hyperlink>
      <w:r>
        <w:t xml:space="preserve"> </w:t>
      </w:r>
      <w:r>
        <w:t xml:space="preserve">·</w:t>
      </w:r>
      <w:r>
        <w:t xml:space="preserve"> </w:t>
      </w:r>
      <w:r>
        <w:drawing>
          <wp:inline>
            <wp:extent cx="203200" cy="203200"/>
            <wp:effectExtent b="0" l="0" r="0" t="0"/>
            <wp:docPr descr="GitHub icon" title="" id="72" name="Picture"/>
            <a:graphic>
              <a:graphicData uri="http://schemas.openxmlformats.org/drawingml/2006/picture">
                <pic:pic>
                  <pic:nvPicPr>
                    <pic:cNvPr descr="images/github.png" id="7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4">
        <w:r>
          <w:rPr>
            <w:rStyle w:val="Hyperlink"/>
          </w:rPr>
          <w:t xml:space="preserve">adilahiri</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Daniel P. Miller</w:t>
      </w:r>
      <w:r>
        <w:t xml:space="preserve"> </w:t>
      </w:r>
      <w:r>
        <w:drawing>
          <wp:inline>
            <wp:extent cx="203200" cy="203200"/>
            <wp:effectExtent b="0" l="0" r="0" t="0"/>
            <wp:docPr descr="ORCID icon" title="" id="75" name="Picture"/>
            <a:graphic>
              <a:graphicData uri="http://schemas.openxmlformats.org/drawingml/2006/picture">
                <pic:pic>
                  <pic:nvPicPr>
                    <pic:cNvPr descr="images/orcid.png" id="7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7">
        <w:r>
          <w:rPr>
            <w:rStyle w:val="Hyperlink"/>
          </w:rPr>
          <w:t xml:space="preserve">0000-0002-2032-4358</w:t>
        </w:r>
      </w:hyperlink>
      <w:r>
        <w:t xml:space="preserve"> </w:t>
      </w:r>
      <w:r>
        <w:t xml:space="preserve">·</w:t>
      </w:r>
      <w:r>
        <w:t xml:space="preserve"> </w:t>
      </w:r>
      <w:r>
        <w:drawing>
          <wp:inline>
            <wp:extent cx="203200" cy="203200"/>
            <wp:effectExtent b="0" l="0" r="0" t="0"/>
            <wp:docPr descr="GitHub icon" title="" id="78" name="Picture"/>
            <a:graphic>
              <a:graphicData uri="http://schemas.openxmlformats.org/drawingml/2006/picture">
                <pic:pic>
                  <pic:nvPicPr>
                    <pic:cNvPr descr="images/github.png" id="7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0">
        <w:r>
          <w:rPr>
            <w:rStyle w:val="Hyperlink"/>
          </w:rPr>
          <w:t xml:space="preserve">dmiller15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Alex Sickler</w:t>
      </w:r>
      <w:r>
        <w:t xml:space="preserve"> </w:t>
      </w:r>
      <w:r>
        <w:drawing>
          <wp:inline>
            <wp:extent cx="203200" cy="203200"/>
            <wp:effectExtent b="0" l="0" r="0" t="0"/>
            <wp:docPr descr="ORCID icon" title="" id="81" name="Picture"/>
            <a:graphic>
              <a:graphicData uri="http://schemas.openxmlformats.org/drawingml/2006/picture">
                <pic:pic>
                  <pic:nvPicPr>
                    <pic:cNvPr descr="images/orcid.png" id="8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3">
        <w:r>
          <w:rPr>
            <w:rStyle w:val="Hyperlink"/>
          </w:rPr>
          <w:t xml:space="preserve">0000-0001-7830-7537</w:t>
        </w:r>
      </w:hyperlink>
      <w:r>
        <w:t xml:space="preserve"> </w:t>
      </w:r>
      <w:r>
        <w:t xml:space="preserve">·</w:t>
      </w:r>
      <w:r>
        <w:t xml:space="preserve"> </w:t>
      </w:r>
      <w:r>
        <w:drawing>
          <wp:inline>
            <wp:extent cx="203200" cy="203200"/>
            <wp:effectExtent b="0" l="0" r="0" t="0"/>
            <wp:docPr descr="GitHub icon" title="" id="84" name="Picture"/>
            <a:graphic>
              <a:graphicData uri="http://schemas.openxmlformats.org/drawingml/2006/picture">
                <pic:pic>
                  <pic:nvPicPr>
                    <pic:cNvPr descr="images/github.png" id="8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6">
        <w:r>
          <w:rPr>
            <w:rStyle w:val="Hyperlink"/>
          </w:rPr>
          <w:t xml:space="preserve">sickler-alex</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Kelsey Keith</w:t>
      </w:r>
      <w:r>
        <w:t xml:space="preserve"> </w:t>
      </w:r>
      <w:r>
        <w:drawing>
          <wp:inline>
            <wp:extent cx="203200" cy="203200"/>
            <wp:effectExtent b="0" l="0" r="0" t="0"/>
            <wp:docPr descr="ORCID icon" title="" id="87" name="Picture"/>
            <a:graphic>
              <a:graphicData uri="http://schemas.openxmlformats.org/drawingml/2006/picture">
                <pic:pic>
                  <pic:nvPicPr>
                    <pic:cNvPr descr="images/orcid.png" id="8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9">
        <w:r>
          <w:rPr>
            <w:rStyle w:val="Hyperlink"/>
          </w:rPr>
          <w:t xml:space="preserve">0000-0002-7451-5117</w:t>
        </w:r>
      </w:hyperlink>
      <w:r>
        <w:t xml:space="preserve"> </w:t>
      </w:r>
      <w:r>
        <w:t xml:space="preserve">·</w:t>
      </w:r>
      <w:r>
        <w:t xml:space="preserve"> </w:t>
      </w:r>
      <w:r>
        <w:drawing>
          <wp:inline>
            <wp:extent cx="203200" cy="203200"/>
            <wp:effectExtent b="0" l="0" r="0" t="0"/>
            <wp:docPr descr="GitHub icon" title="" id="90" name="Picture"/>
            <a:graphic>
              <a:graphicData uri="http://schemas.openxmlformats.org/drawingml/2006/picture">
                <pic:pic>
                  <pic:nvPicPr>
                    <pic:cNvPr descr="images/github.png" id="9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2">
        <w:r>
          <w:rPr>
            <w:rStyle w:val="Hyperlink"/>
          </w:rPr>
          <w:t xml:space="preserve">kelseykeith</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Christopher Blackden</w:t>
      </w:r>
      <w:r>
        <w:t xml:space="preserve"> </w:t>
      </w:r>
      <w:r>
        <w:drawing>
          <wp:inline>
            <wp:extent cx="203200" cy="203200"/>
            <wp:effectExtent b="0" l="0" r="0" t="0"/>
            <wp:docPr descr="ORCID icon" title="" id="93" name="Picture"/>
            <a:graphic>
              <a:graphicData uri="http://schemas.openxmlformats.org/drawingml/2006/picture">
                <pic:pic>
                  <pic:nvPicPr>
                    <pic:cNvPr descr="images/orcid.png" id="9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5">
        <w:r>
          <w:rPr>
            <w:rStyle w:val="Hyperlink"/>
          </w:rPr>
          <w:t xml:space="preserve">0000-0002-4928-090X</w:t>
        </w:r>
      </w:hyperlink>
      <w:r>
        <w:t xml:space="preserve"> </w:t>
      </w:r>
      <w:r>
        <w:t xml:space="preserve">·</w:t>
      </w:r>
      <w:r>
        <w:t xml:space="preserve"> </w:t>
      </w:r>
      <w:r>
        <w:drawing>
          <wp:inline>
            <wp:extent cx="203200" cy="203200"/>
            <wp:effectExtent b="0" l="0" r="0" t="0"/>
            <wp:docPr descr="GitHub icon" title="" id="96" name="Picture"/>
            <a:graphic>
              <a:graphicData uri="http://schemas.openxmlformats.org/drawingml/2006/picture">
                <pic:pic>
                  <pic:nvPicPr>
                    <pic:cNvPr descr="images/github.png" id="9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8">
        <w:r>
          <w:rPr>
            <w:rStyle w:val="Hyperlink"/>
          </w:rPr>
          <w:t xml:space="preserve">devbyaccident</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Antonia Chroni</w:t>
      </w:r>
      <w:r>
        <w:t xml:space="preserve"> </w:t>
      </w:r>
      <w:r>
        <w:t xml:space="preserve">·</w:t>
      </w:r>
      <w:r>
        <w:t xml:space="preserve"> </w:t>
      </w:r>
      <w:r>
        <w:drawing>
          <wp:inline>
            <wp:extent cx="203200" cy="203200"/>
            <wp:effectExtent b="0" l="0" r="0" t="0"/>
            <wp:docPr descr="GitHub icon" title="" id="99" name="Picture"/>
            <a:graphic>
              <a:graphicData uri="http://schemas.openxmlformats.org/drawingml/2006/picture">
                <pic:pic>
                  <pic:nvPicPr>
                    <pic:cNvPr descr="images/github.png" id="10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1">
        <w:r>
          <w:rPr>
            <w:rStyle w:val="Hyperlink"/>
          </w:rPr>
          <w:t xml:space="preserve">AntoniaChroni</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Miguel A. Brown</w:t>
      </w:r>
      <w:r>
        <w:t xml:space="preserve"> </w:t>
      </w:r>
      <w:r>
        <w:drawing>
          <wp:inline>
            <wp:extent cx="203200" cy="203200"/>
            <wp:effectExtent b="0" l="0" r="0" t="0"/>
            <wp:docPr descr="ORCID icon" title="" id="102" name="Picture"/>
            <a:graphic>
              <a:graphicData uri="http://schemas.openxmlformats.org/drawingml/2006/picture">
                <pic:pic>
                  <pic:nvPicPr>
                    <pic:cNvPr descr="images/orcid.png" id="10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4">
        <w:r>
          <w:rPr>
            <w:rStyle w:val="Hyperlink"/>
          </w:rPr>
          <w:t xml:space="preserve">0000-0001-6782-1442</w:t>
        </w:r>
      </w:hyperlink>
      <w:r>
        <w:t xml:space="preserve"> </w:t>
      </w:r>
      <w:r>
        <w:t xml:space="preserve">·</w:t>
      </w:r>
      <w:r>
        <w:t xml:space="preserve"> </w:t>
      </w:r>
      <w:r>
        <w:drawing>
          <wp:inline>
            <wp:extent cx="203200" cy="203200"/>
            <wp:effectExtent b="0" l="0" r="0" t="0"/>
            <wp:docPr descr="GitHub icon" title="" id="105" name="Picture"/>
            <a:graphic>
              <a:graphicData uri="http://schemas.openxmlformats.org/drawingml/2006/picture">
                <pic:pic>
                  <pic:nvPicPr>
                    <pic:cNvPr descr="images/github.png" id="10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7">
        <w:r>
          <w:rPr>
            <w:rStyle w:val="Hyperlink"/>
          </w:rPr>
          <w:t xml:space="preserve">migbro</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A. Kraya</w:t>
      </w:r>
      <w:r>
        <w:t xml:space="preserve"> </w:t>
      </w:r>
      <w:r>
        <w:drawing>
          <wp:inline>
            <wp:extent cx="203200" cy="203200"/>
            <wp:effectExtent b="0" l="0" r="0" t="0"/>
            <wp:docPr descr="ORCID icon" title="" id="108" name="Picture"/>
            <a:graphic>
              <a:graphicData uri="http://schemas.openxmlformats.org/drawingml/2006/picture">
                <pic:pic>
                  <pic:nvPicPr>
                    <pic:cNvPr descr="images/orcid.png" id="10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0">
        <w:r>
          <w:rPr>
            <w:rStyle w:val="Hyperlink"/>
          </w:rPr>
          <w:t xml:space="preserve">0000-0002-8526-5694</w:t>
        </w:r>
      </w:hyperlink>
      <w:r>
        <w:t xml:space="preserve"> </w:t>
      </w:r>
      <w:r>
        <w:t xml:space="preserve">·</w:t>
      </w:r>
      <w:r>
        <w:t xml:space="preserve"> </w:t>
      </w:r>
      <w:r>
        <w:drawing>
          <wp:inline>
            <wp:extent cx="203200" cy="203200"/>
            <wp:effectExtent b="0" l="0" r="0" t="0"/>
            <wp:docPr descr="GitHub icon" title="" id="111" name="Picture"/>
            <a:graphic>
              <a:graphicData uri="http://schemas.openxmlformats.org/drawingml/2006/picture">
                <pic:pic>
                  <pic:nvPicPr>
                    <pic:cNvPr descr="images/github.png" id="11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3">
        <w:r>
          <w:rPr>
            <w:rStyle w:val="Hyperlink"/>
          </w:rPr>
          <w:t xml:space="preserve">aadamk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R. Rood</w:t>
      </w:r>
      <w:r>
        <w:t xml:space="preserve"> </w:t>
      </w:r>
      <w:r>
        <w:t xml:space="preserve"> </w:t>
      </w:r>
      <w:r>
        <w:t xml:space="preserve">Children’s National Research Institute, Washington, D.C.; George Washington University School of Medicine and Health Sciences, Washington, D.C., 20052, USA</w:t>
      </w:r>
      <w:r>
        <w:t xml:space="preserve"> </w:t>
      </w:r>
    </w:p>
    <w:p>
      <w:pPr>
        <w:numPr>
          <w:ilvl w:val="0"/>
          <w:numId w:val="1001"/>
        </w:numPr>
      </w:pPr>
      <w:r>
        <w:rPr>
          <w:bCs/>
          <w:b/>
        </w:rPr>
        <w:t xml:space="preserve">Adam C. Resnick</w:t>
      </w:r>
      <w:r>
        <w:t xml:space="preserve"> </w:t>
      </w:r>
      <w:r>
        <w:drawing>
          <wp:inline>
            <wp:extent cx="203200" cy="203200"/>
            <wp:effectExtent b="0" l="0" r="0" t="0"/>
            <wp:docPr descr="ORCID icon" title="" id="114" name="Picture"/>
            <a:graphic>
              <a:graphicData uri="http://schemas.openxmlformats.org/drawingml/2006/picture">
                <pic:pic>
                  <pic:nvPicPr>
                    <pic:cNvPr descr="images/orcid.png" id="11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6">
        <w:r>
          <w:rPr>
            <w:rStyle w:val="Hyperlink"/>
          </w:rPr>
          <w:t xml:space="preserve">0000-0003-0436-4189</w:t>
        </w:r>
      </w:hyperlink>
      <w:r>
        <w:t xml:space="preserve"> </w:t>
      </w:r>
      <w:r>
        <w:t xml:space="preserve">·</w:t>
      </w:r>
      <w:r>
        <w:t xml:space="preserve"> </w:t>
      </w:r>
      <w:r>
        <w:drawing>
          <wp:inline>
            <wp:extent cx="203200" cy="203200"/>
            <wp:effectExtent b="0" l="0" r="0" t="0"/>
            <wp:docPr descr="GitHub icon" title="" id="117" name="Picture"/>
            <a:graphic>
              <a:graphicData uri="http://schemas.openxmlformats.org/drawingml/2006/picture">
                <pic:pic>
                  <pic:nvPicPr>
                    <pic:cNvPr descr="images/github.png" id="11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9">
        <w:r>
          <w:rPr>
            <w:rStyle w:val="Hyperlink"/>
          </w:rPr>
          <w:t xml:space="preserve">adamcresnick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r>
        <w:t xml:space="preserve">· Funded by Children’s Brain Tumor Network; NIH 3P30 CA016520-44S5, U2C HL138346-03, U24 CA220457-03; NCI/NIH Contract No. 75N91019D00024, Task Order No. 75N91020F00003; Children’s Hospital of Philadelphia Division of Neurosurgery</w:t>
      </w:r>
      <w:r>
        <w:t xml:space="preserve"> </w:t>
      </w:r>
    </w:p>
    <w:p>
      <w:pPr>
        <w:numPr>
          <w:ilvl w:val="0"/>
          <w:numId w:val="1001"/>
        </w:numPr>
      </w:pPr>
      <w:r>
        <w:rPr>
          <w:bCs/>
          <w:b/>
        </w:rPr>
        <w:t xml:space="preserve">Nicholas Van Kuren</w:t>
      </w:r>
      <w:r>
        <w:t xml:space="preserve"> </w:t>
      </w:r>
      <w:r>
        <w:drawing>
          <wp:inline>
            <wp:extent cx="203200" cy="203200"/>
            <wp:effectExtent b="0" l="0" r="0" t="0"/>
            <wp:docPr descr="ORCID icon" title="" id="120" name="Picture"/>
            <a:graphic>
              <a:graphicData uri="http://schemas.openxmlformats.org/drawingml/2006/picture">
                <pic:pic>
                  <pic:nvPicPr>
                    <pic:cNvPr descr="images/orcid.png" id="12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2">
        <w:r>
          <w:rPr>
            <w:rStyle w:val="Hyperlink"/>
          </w:rPr>
          <w:t xml:space="preserve">0000-0002-7414-9516</w:t>
        </w:r>
      </w:hyperlink>
      <w:r>
        <w:t xml:space="preserve"> </w:t>
      </w:r>
      <w:r>
        <w:t xml:space="preserve">·</w:t>
      </w:r>
      <w:r>
        <w:t xml:space="preserve"> </w:t>
      </w:r>
      <w:r>
        <w:drawing>
          <wp:inline>
            <wp:extent cx="203200" cy="203200"/>
            <wp:effectExtent b="0" l="0" r="0" t="0"/>
            <wp:docPr descr="GitHub icon" title="" id="123" name="Picture"/>
            <a:graphic>
              <a:graphicData uri="http://schemas.openxmlformats.org/drawingml/2006/picture">
                <pic:pic>
                  <pic:nvPicPr>
                    <pic:cNvPr descr="images/github.png" id="12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5">
        <w:r>
          <w:rPr>
            <w:rStyle w:val="Hyperlink"/>
          </w:rPr>
          <w:t xml:space="preserve">nicholasvk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John M. Maris</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Alvin Farrel</w:t>
      </w:r>
      <w:r>
        <w:t xml:space="preserve"> </w:t>
      </w:r>
      <w:r>
        <w:drawing>
          <wp:inline>
            <wp:extent cx="203200" cy="203200"/>
            <wp:effectExtent b="0" l="0" r="0" t="0"/>
            <wp:docPr descr="ORCID icon" title="" id="126" name="Picture"/>
            <a:graphic>
              <a:graphicData uri="http://schemas.openxmlformats.org/drawingml/2006/picture">
                <pic:pic>
                  <pic:nvPicPr>
                    <pic:cNvPr descr="images/orcid.png" id="12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8">
        <w:r>
          <w:rPr>
            <w:rStyle w:val="Hyperlink"/>
          </w:rPr>
          <w:t xml:space="preserve">0000-0003-1087-9840</w:t>
        </w:r>
      </w:hyperlink>
      <w:r>
        <w:t xml:space="preserve"> </w:t>
      </w:r>
      <w:r>
        <w:t xml:space="preserve">·</w:t>
      </w:r>
      <w:r>
        <w:t xml:space="preserve"> </w:t>
      </w:r>
      <w:r>
        <w:drawing>
          <wp:inline>
            <wp:extent cx="203200" cy="203200"/>
            <wp:effectExtent b="0" l="0" r="0" t="0"/>
            <wp:docPr descr="GitHub icon" title="" id="129" name="Picture"/>
            <a:graphic>
              <a:graphicData uri="http://schemas.openxmlformats.org/drawingml/2006/picture">
                <pic:pic>
                  <pic:nvPicPr>
                    <pic:cNvPr descr="images/github.png" id="13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1">
        <w:r>
          <w:rPr>
            <w:rStyle w:val="Hyperlink"/>
          </w:rPr>
          <w:t xml:space="preserve">afarrel</w:t>
        </w:r>
      </w:hyperlink>
      <w:r>
        <w:t xml:space="preserve"> </w:t>
      </w:r>
      <w:r>
        <w:t xml:space="preserve"> </w:t>
      </w:r>
      <w:r>
        <w:t xml:space="preserve">Department of Biomedical and Health Informatics, Children’s Hospital of Philadelphia, Philadelphia, PA, 19104, USA; Division of Oncology, Children’s Hospital of Philadelphia, Philadelphia, PA, 19104, USA; Center for Childhood Cancer Research, Children’s Hospital of Philadelphia,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Mateusz P. Koptyra</w:t>
      </w:r>
      <w:r>
        <w:t xml:space="preserve"> </w:t>
      </w:r>
      <w:r>
        <w:drawing>
          <wp:inline>
            <wp:extent cx="203200" cy="203200"/>
            <wp:effectExtent b="0" l="0" r="0" t="0"/>
            <wp:docPr descr="ORCID icon" title="" id="132" name="Picture"/>
            <a:graphic>
              <a:graphicData uri="http://schemas.openxmlformats.org/drawingml/2006/picture">
                <pic:pic>
                  <pic:nvPicPr>
                    <pic:cNvPr descr="images/orcid.png" id="13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4">
        <w:r>
          <w:rPr>
            <w:rStyle w:val="Hyperlink"/>
          </w:rPr>
          <w:t xml:space="preserve">0000-0002-3857-6633</w:t>
        </w:r>
      </w:hyperlink>
      <w:r>
        <w:t xml:space="preserve"> </w:t>
      </w:r>
      <w:r>
        <w:t xml:space="preserve">·</w:t>
      </w:r>
      <w:r>
        <w:t xml:space="preserve"> </w:t>
      </w:r>
      <w:r>
        <w:drawing>
          <wp:inline>
            <wp:extent cx="203200" cy="203200"/>
            <wp:effectExtent b="0" l="0" r="0" t="0"/>
            <wp:docPr descr="GitHub icon" title="" id="135" name="Picture"/>
            <a:graphic>
              <a:graphicData uri="http://schemas.openxmlformats.org/drawingml/2006/picture">
                <pic:pic>
                  <pic:nvPicPr>
                    <pic:cNvPr descr="images/github.png" id="13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7">
        <w:r>
          <w:rPr>
            <w:rStyle w:val="Hyperlink"/>
          </w:rPr>
          <w:t xml:space="preserve">mkoptyra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Gerri R. Trooskin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Noel Coleman</w:t>
      </w:r>
      <w:r>
        <w:t xml:space="preserve"> </w:t>
      </w:r>
      <w:r>
        <w:drawing>
          <wp:inline>
            <wp:extent cx="203200" cy="203200"/>
            <wp:effectExtent b="0" l="0" r="0" t="0"/>
            <wp:docPr descr="ORCID icon" title="" id="138" name="Picture"/>
            <a:graphic>
              <a:graphicData uri="http://schemas.openxmlformats.org/drawingml/2006/picture">
                <pic:pic>
                  <pic:nvPicPr>
                    <pic:cNvPr descr="images/orcid.png" id="13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0">
        <w:r>
          <w:rPr>
            <w:rStyle w:val="Hyperlink"/>
          </w:rPr>
          <w:t xml:space="preserve">0000-0001-6454-1285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Yuankun Zhu</w:t>
      </w:r>
      <w:r>
        <w:t xml:space="preserve"> </w:t>
      </w:r>
      <w:r>
        <w:drawing>
          <wp:inline>
            <wp:extent cx="203200" cy="203200"/>
            <wp:effectExtent b="0" l="0" r="0" t="0"/>
            <wp:docPr descr="ORCID icon" title="" id="141" name="Picture"/>
            <a:graphic>
              <a:graphicData uri="http://schemas.openxmlformats.org/drawingml/2006/picture">
                <pic:pic>
                  <pic:nvPicPr>
                    <pic:cNvPr descr="images/orcid.png" id="14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3">
        <w:r>
          <w:rPr>
            <w:rStyle w:val="Hyperlink"/>
          </w:rPr>
          <w:t xml:space="preserve">0000-0002-2455-9525</w:t>
        </w:r>
      </w:hyperlink>
      <w:r>
        <w:t xml:space="preserve"> </w:t>
      </w:r>
      <w:r>
        <w:t xml:space="preserve">·</w:t>
      </w:r>
      <w:r>
        <w:t xml:space="preserve"> </w:t>
      </w:r>
      <w:r>
        <w:drawing>
          <wp:inline>
            <wp:extent cx="203200" cy="203200"/>
            <wp:effectExtent b="0" l="0" r="0" t="0"/>
            <wp:docPr descr="GitHub icon" title="" id="144" name="Picture"/>
            <a:graphic>
              <a:graphicData uri="http://schemas.openxmlformats.org/drawingml/2006/picture">
                <pic:pic>
                  <pic:nvPicPr>
                    <pic:cNvPr descr="images/github.png" id="14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6">
        <w:r>
          <w:rPr>
            <w:rStyle w:val="Hyperlink"/>
          </w:rPr>
          <w:t xml:space="preserve">yuankunzhu</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Stephanie Stefankiewicz</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Zied Abdullaev</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Asif T Chinwalla</w:t>
      </w:r>
      <w:r>
        <w:t xml:space="preserve"> </w:t>
      </w:r>
      <w:r>
        <w:drawing>
          <wp:inline>
            <wp:extent cx="203200" cy="203200"/>
            <wp:effectExtent b="0" l="0" r="0" t="0"/>
            <wp:docPr descr="ORCID icon" title="" id="147" name="Picture"/>
            <a:graphic>
              <a:graphicData uri="http://schemas.openxmlformats.org/drawingml/2006/picture">
                <pic:pic>
                  <pic:nvPicPr>
                    <pic:cNvPr descr="images/orcid.png" id="14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9">
        <w:r>
          <w:rPr>
            <w:rStyle w:val="Hyperlink"/>
          </w:rPr>
          <w:t xml:space="preserve">0000-0001-7831-3996</w:t>
        </w:r>
      </w:hyperlink>
      <w:r>
        <w:t xml:space="preserve"> </w:t>
      </w:r>
      <w:r>
        <w:t xml:space="preserve">·</w:t>
      </w:r>
      <w:r>
        <w:t xml:space="preserve"> </w:t>
      </w:r>
      <w:r>
        <w:drawing>
          <wp:inline>
            <wp:extent cx="203200" cy="203200"/>
            <wp:effectExtent b="0" l="0" r="0" t="0"/>
            <wp:docPr descr="GitHub icon" title="" id="150" name="Picture"/>
            <a:graphic>
              <a:graphicData uri="http://schemas.openxmlformats.org/drawingml/2006/picture">
                <pic:pic>
                  <pic:nvPicPr>
                    <pic:cNvPr descr="images/github.png" id="15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2">
        <w:r>
          <w:rPr>
            <w:rStyle w:val="Hyperlink"/>
          </w:rPr>
          <w:t xml:space="preserve">chinwallaa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Mariarita Santi</w:t>
      </w:r>
      <w:r>
        <w:t xml:space="preserve"> </w:t>
      </w:r>
      <w:r>
        <w:drawing>
          <wp:inline>
            <wp:extent cx="203200" cy="203200"/>
            <wp:effectExtent b="0" l="0" r="0" t="0"/>
            <wp:docPr descr="ORCID icon" title="" id="153" name="Picture"/>
            <a:graphic>
              <a:graphicData uri="http://schemas.openxmlformats.org/drawingml/2006/picture">
                <pic:pic>
                  <pic:nvPicPr>
                    <pic:cNvPr descr="images/orcid.png" id="15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5">
        <w:r>
          <w:rPr>
            <w:rStyle w:val="Hyperlink"/>
          </w:rPr>
          <w:t xml:space="preserve">0000-0002-6728-3450</w:t>
        </w:r>
      </w:hyperlink>
      <w:r>
        <w:t xml:space="preserve"> </w:t>
      </w:r>
      <w:r>
        <w:t xml:space="preserve"> </w:t>
      </w:r>
      <w:r>
        <w:t xml:space="preserve">Department of Pathology and Laboratory Medicine, Children’s Hospital of Philadelphia, Philadelphia, PA, 19104, USA; Department of Pathology and Laboratory Medicine, University of Pennsylvania Perelman School of Medicine, Philadelphia, PA, 19104, USA</w:t>
      </w:r>
      <w:r>
        <w:t xml:space="preserve"> </w:t>
      </w:r>
    </w:p>
    <w:p>
      <w:pPr>
        <w:numPr>
          <w:ilvl w:val="0"/>
          <w:numId w:val="1001"/>
        </w:numPr>
      </w:pPr>
      <w:r>
        <w:rPr>
          <w:bCs/>
          <w:b/>
        </w:rPr>
        <w:t xml:space="preserve">Ammar S. Naqvi</w:t>
      </w:r>
      <w:r>
        <w:t xml:space="preserve"> </w:t>
      </w:r>
      <w:r>
        <w:t xml:space="preserve">·</w:t>
      </w:r>
      <w:r>
        <w:t xml:space="preserve"> </w:t>
      </w:r>
      <w:r>
        <w:drawing>
          <wp:inline>
            <wp:extent cx="203200" cy="203200"/>
            <wp:effectExtent b="0" l="0" r="0" t="0"/>
            <wp:docPr descr="GitHub icon" title="" id="156" name="Picture"/>
            <a:graphic>
              <a:graphicData uri="http://schemas.openxmlformats.org/drawingml/2006/picture">
                <pic:pic>
                  <pic:nvPicPr>
                    <pic:cNvPr descr="images/github.png" id="15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8">
        <w:r>
          <w:rPr>
            <w:rStyle w:val="Hyperlink"/>
          </w:rPr>
          <w:t xml:space="preserve">naqvia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Jennifer L. Mason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Carl J. Koschmann</w:t>
      </w:r>
      <w:r>
        <w:t xml:space="preserve"> </w:t>
      </w:r>
      <w:r>
        <w:drawing>
          <wp:inline>
            <wp:extent cx="203200" cy="203200"/>
            <wp:effectExtent b="0" l="0" r="0" t="0"/>
            <wp:docPr descr="ORCID icon" title="" id="159" name="Picture"/>
            <a:graphic>
              <a:graphicData uri="http://schemas.openxmlformats.org/drawingml/2006/picture">
                <pic:pic>
                  <pic:nvPicPr>
                    <pic:cNvPr descr="images/orcid.png" id="16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1">
        <w:r>
          <w:rPr>
            <w:rStyle w:val="Hyperlink"/>
          </w:rPr>
          <w:t xml:space="preserve">0000-0002-0825-7615</w:t>
        </w:r>
      </w:hyperlink>
      <w:r>
        <w:t xml:space="preserve"> </w:t>
      </w:r>
      <w:r>
        <w:t xml:space="preserve"> </w:t>
      </w:r>
      <w:r>
        <w:t xml:space="preserve">Department of Pediatrics, University of Michigan Health, Ann Arbor, MI, 48105, USA; Pediatric Hematology Oncology, Mott Children’s Hospital, Ann Arbor, MI, 48109, USA</w:t>
      </w:r>
      <w:r>
        <w:t xml:space="preserve"> </w:t>
      </w:r>
    </w:p>
    <w:p>
      <w:pPr>
        <w:numPr>
          <w:ilvl w:val="0"/>
          <w:numId w:val="1001"/>
        </w:numPr>
      </w:pPr>
      <w:r>
        <w:rPr>
          <w:bCs/>
          <w:b/>
        </w:rPr>
        <w:t xml:space="preserve">Xiaoyan Huang</w:t>
      </w:r>
      <w:r>
        <w:t xml:space="preserve"> </w:t>
      </w:r>
      <w:r>
        <w:drawing>
          <wp:inline>
            <wp:extent cx="203200" cy="203200"/>
            <wp:effectExtent b="0" l="0" r="0" t="0"/>
            <wp:docPr descr="ORCID icon" title="" id="162" name="Picture"/>
            <a:graphic>
              <a:graphicData uri="http://schemas.openxmlformats.org/drawingml/2006/picture">
                <pic:pic>
                  <pic:nvPicPr>
                    <pic:cNvPr descr="images/orcid.png" id="16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4">
        <w:r>
          <w:rPr>
            <w:rStyle w:val="Hyperlink"/>
          </w:rPr>
          <w:t xml:space="preserve">0000-0001-7267-4512</w:t>
        </w:r>
      </w:hyperlink>
      <w:r>
        <w:t xml:space="preserve"> </w:t>
      </w:r>
      <w:r>
        <w:t xml:space="preserve">·</w:t>
      </w:r>
      <w:r>
        <w:t xml:space="preserve"> </w:t>
      </w:r>
      <w:r>
        <w:drawing>
          <wp:inline>
            <wp:extent cx="203200" cy="203200"/>
            <wp:effectExtent b="0" l="0" r="0" t="0"/>
            <wp:docPr descr="GitHub icon" title="" id="165" name="Picture"/>
            <a:graphic>
              <a:graphicData uri="http://schemas.openxmlformats.org/drawingml/2006/picture">
                <pic:pic>
                  <pic:nvPicPr>
                    <pic:cNvPr descr="images/github.png" id="16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7">
        <w:r>
          <w:rPr>
            <w:rStyle w:val="Hyperlink"/>
          </w:rPr>
          <w:t xml:space="preserve">HuangXiaoyan0106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Sharon J. Diskin</w:t>
      </w:r>
      <w:r>
        <w:t xml:space="preserve"> </w:t>
      </w:r>
      <w:r>
        <w:drawing>
          <wp:inline>
            <wp:extent cx="203200" cy="203200"/>
            <wp:effectExtent b="0" l="0" r="0" t="0"/>
            <wp:docPr descr="ORCID icon" title="" id="168" name="Picture"/>
            <a:graphic>
              <a:graphicData uri="http://schemas.openxmlformats.org/drawingml/2006/picture">
                <pic:pic>
                  <pic:nvPicPr>
                    <pic:cNvPr descr="images/orcid.png" id="16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0">
        <w:r>
          <w:rPr>
            <w:rStyle w:val="Hyperlink"/>
          </w:rPr>
          <w:t xml:space="preserve">0000-0002-7200-8939</w:t>
        </w:r>
      </w:hyperlink>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Kenneth Aldape</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Bailey K. Farrow</w:t>
      </w:r>
      <w:r>
        <w:t xml:space="preserve"> </w:t>
      </w:r>
      <w:r>
        <w:drawing>
          <wp:inline>
            <wp:extent cx="203200" cy="203200"/>
            <wp:effectExtent b="0" l="0" r="0" t="0"/>
            <wp:docPr descr="ORCID icon" title="" id="171" name="Picture"/>
            <a:graphic>
              <a:graphicData uri="http://schemas.openxmlformats.org/drawingml/2006/picture">
                <pic:pic>
                  <pic:nvPicPr>
                    <pic:cNvPr descr="images/orcid.png" id="17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3">
        <w:r>
          <w:rPr>
            <w:rStyle w:val="Hyperlink"/>
          </w:rPr>
          <w:t xml:space="preserve">0000-0001-6727-6333</w:t>
        </w:r>
      </w:hyperlink>
      <w:r>
        <w:t xml:space="preserve"> </w:t>
      </w:r>
      <w:r>
        <w:t xml:space="preserve">·</w:t>
      </w:r>
      <w:r>
        <w:t xml:space="preserve"> </w:t>
      </w:r>
      <w:r>
        <w:drawing>
          <wp:inline>
            <wp:extent cx="203200" cy="203200"/>
            <wp:effectExtent b="0" l="0" r="0" t="0"/>
            <wp:docPr descr="GitHub icon" title="" id="174" name="Picture"/>
            <a:graphic>
              <a:graphicData uri="http://schemas.openxmlformats.org/drawingml/2006/picture">
                <pic:pic>
                  <pic:nvPicPr>
                    <pic:cNvPr descr="images/github.png" id="17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6">
        <w:r>
          <w:rPr>
            <w:rStyle w:val="Hyperlink"/>
          </w:rPr>
          <w:t xml:space="preserve">baileyckelly</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Weiping Ma</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Bo Zhang</w:t>
      </w:r>
      <w:r>
        <w:t xml:space="preserve"> </w:t>
      </w:r>
      <w:r>
        <w:drawing>
          <wp:inline>
            <wp:extent cx="203200" cy="203200"/>
            <wp:effectExtent b="0" l="0" r="0" t="0"/>
            <wp:docPr descr="ORCID icon" title="" id="177" name="Picture"/>
            <a:graphic>
              <a:graphicData uri="http://schemas.openxmlformats.org/drawingml/2006/picture">
                <pic:pic>
                  <pic:nvPicPr>
                    <pic:cNvPr descr="images/orcid.png" id="17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9">
        <w:r>
          <w:rPr>
            <w:rStyle w:val="Hyperlink"/>
          </w:rPr>
          <w:t xml:space="preserve">0000-0002-0743-5379</w:t>
        </w:r>
      </w:hyperlink>
      <w:r>
        <w:t xml:space="preserve"> </w:t>
      </w:r>
      <w:r>
        <w:t xml:space="preserve">·</w:t>
      </w:r>
      <w:r>
        <w:t xml:space="preserve"> </w:t>
      </w:r>
      <w:r>
        <w:drawing>
          <wp:inline>
            <wp:extent cx="203200" cy="203200"/>
            <wp:effectExtent b="0" l="0" r="0" t="0"/>
            <wp:docPr descr="GitHub icon" title="" id="180" name="Picture"/>
            <a:graphic>
              <a:graphicData uri="http://schemas.openxmlformats.org/drawingml/2006/picture">
                <pic:pic>
                  <pic:nvPicPr>
                    <pic:cNvPr descr="images/github.png" id="18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2">
        <w:r>
          <w:rPr>
            <w:rStyle w:val="Hyperlink"/>
          </w:rPr>
          <w:t xml:space="preserve">zhangb1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M. Ennis</w:t>
      </w:r>
      <w:r>
        <w:t xml:space="preserve"> </w:t>
      </w:r>
      <w:r>
        <w:drawing>
          <wp:inline>
            <wp:extent cx="203200" cy="203200"/>
            <wp:effectExtent b="0" l="0" r="0" t="0"/>
            <wp:docPr descr="ORCID icon" title="" id="183" name="Picture"/>
            <a:graphic>
              <a:graphicData uri="http://schemas.openxmlformats.org/drawingml/2006/picture">
                <pic:pic>
                  <pic:nvPicPr>
                    <pic:cNvPr descr="images/orcid.png" id="18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5">
        <w:r>
          <w:rPr>
            <w:rStyle w:val="Hyperlink"/>
          </w:rPr>
          <w:t xml:space="preserve">0000-0002-2653-5009</w:t>
        </w:r>
      </w:hyperlink>
      <w:r>
        <w:t xml:space="preserve"> </w:t>
      </w:r>
      <w:r>
        <w:t xml:space="preserve">·</w:t>
      </w:r>
      <w:r>
        <w:t xml:space="preserve"> </w:t>
      </w:r>
      <w:r>
        <w:drawing>
          <wp:inline>
            <wp:extent cx="203200" cy="203200"/>
            <wp:effectExtent b="0" l="0" r="0" t="0"/>
            <wp:docPr descr="GitHub icon" title="" id="186" name="Picture"/>
            <a:graphic>
              <a:graphicData uri="http://schemas.openxmlformats.org/drawingml/2006/picture">
                <pic:pic>
                  <pic:nvPicPr>
                    <pic:cNvPr descr="images/github.png" id="18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8">
        <w:r>
          <w:rPr>
            <w:rStyle w:val="Hyperlink"/>
          </w:rPr>
          <w:t xml:space="preserve">bmennis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Sarah Tasian</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Saksham Phul</w:t>
      </w:r>
      <w:r>
        <w:t xml:space="preserve"> </w:t>
      </w:r>
      <w:r>
        <w:drawing>
          <wp:inline>
            <wp:extent cx="203200" cy="203200"/>
            <wp:effectExtent b="0" l="0" r="0" t="0"/>
            <wp:docPr descr="ORCID icon" title="" id="189" name="Picture"/>
            <a:graphic>
              <a:graphicData uri="http://schemas.openxmlformats.org/drawingml/2006/picture">
                <pic:pic>
                  <pic:nvPicPr>
                    <pic:cNvPr descr="images/orcid.png" id="19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1">
        <w:r>
          <w:rPr>
            <w:rStyle w:val="Hyperlink"/>
          </w:rPr>
          <w:t xml:space="preserve">0000-0002-2771-2572</w:t>
        </w:r>
      </w:hyperlink>
      <w:r>
        <w:t xml:space="preserve"> </w:t>
      </w:r>
      <w:r>
        <w:t xml:space="preserve">·</w:t>
      </w:r>
      <w:r>
        <w:t xml:space="preserve"> </w:t>
      </w:r>
      <w:r>
        <w:drawing>
          <wp:inline>
            <wp:extent cx="203200" cy="203200"/>
            <wp:effectExtent b="0" l="0" r="0" t="0"/>
            <wp:docPr descr="GitHub icon" title="" id="192" name="Picture"/>
            <a:graphic>
              <a:graphicData uri="http://schemas.openxmlformats.org/drawingml/2006/picture">
                <pic:pic>
                  <pic:nvPicPr>
                    <pic:cNvPr descr="images/github.png" id="19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4">
        <w:r>
          <w:rPr>
            <w:rStyle w:val="Hyperlink"/>
          </w:rPr>
          <w:t xml:space="preserve">sakshamphul</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Matthew R. Lueder</w:t>
      </w:r>
      <w:r>
        <w:t xml:space="preserve"> </w:t>
      </w:r>
      <w:r>
        <w:drawing>
          <wp:inline>
            <wp:extent cx="203200" cy="203200"/>
            <wp:effectExtent b="0" l="0" r="0" t="0"/>
            <wp:docPr descr="ORCID icon" title="" id="195" name="Picture"/>
            <a:graphic>
              <a:graphicData uri="http://schemas.openxmlformats.org/drawingml/2006/picture">
                <pic:pic>
                  <pic:nvPicPr>
                    <pic:cNvPr descr="images/orcid.png" id="19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7">
        <w:r>
          <w:rPr>
            <w:rStyle w:val="Hyperlink"/>
          </w:rPr>
          <w:t xml:space="preserve">0009-0002-7370-102X</w:t>
        </w:r>
      </w:hyperlink>
      <w:r>
        <w:t xml:space="preserve"> </w:t>
      </w:r>
      <w:r>
        <w:t xml:space="preserve">·</w:t>
      </w:r>
      <w:r>
        <w:t xml:space="preserve"> </w:t>
      </w:r>
      <w:r>
        <w:drawing>
          <wp:inline>
            <wp:extent cx="203200" cy="203200"/>
            <wp:effectExtent b="0" l="0" r="0" t="0"/>
            <wp:docPr descr="GitHub icon" title="" id="198" name="Picture"/>
            <a:graphic>
              <a:graphicData uri="http://schemas.openxmlformats.org/drawingml/2006/picture">
                <pic:pic>
                  <pic:nvPicPr>
                    <pic:cNvPr descr="images/github.png" id="19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0">
        <w:r>
          <w:rPr>
            <w:rStyle w:val="Hyperlink"/>
          </w:rPr>
          <w:t xml:space="preserve">luederm</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Pathology and Laboratory Medicine, Children’s Hospital of Philadelphia, Philadelphia, PA, 19104, USA</w:t>
      </w:r>
      <w:r>
        <w:t xml:space="preserve"> </w:t>
      </w:r>
    </w:p>
    <w:p>
      <w:pPr>
        <w:numPr>
          <w:ilvl w:val="0"/>
          <w:numId w:val="1001"/>
        </w:numPr>
      </w:pPr>
      <w:r>
        <w:rPr>
          <w:bCs/>
          <w:b/>
        </w:rPr>
        <w:t xml:space="preserve">Chuwei Zhong</w:t>
      </w:r>
      <w:r>
        <w:t xml:space="preserve"> </w:t>
      </w:r>
      <w:r>
        <w:drawing>
          <wp:inline>
            <wp:extent cx="203200" cy="203200"/>
            <wp:effectExtent b="0" l="0" r="0" t="0"/>
            <wp:docPr descr="ORCID icon" title="" id="201" name="Picture"/>
            <a:graphic>
              <a:graphicData uri="http://schemas.openxmlformats.org/drawingml/2006/picture">
                <pic:pic>
                  <pic:nvPicPr>
                    <pic:cNvPr descr="images/orcid.png" id="20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3">
        <w:r>
          <w:rPr>
            <w:rStyle w:val="Hyperlink"/>
          </w:rPr>
          <w:t xml:space="preserve">0000-0003-2406-2735</w:t>
        </w:r>
      </w:hyperlink>
      <w:r>
        <w:t xml:space="preserve"> </w:t>
      </w:r>
      <w:r>
        <w:t xml:space="preserve">·</w:t>
      </w:r>
      <w:r>
        <w:t xml:space="preserve"> </w:t>
      </w:r>
      <w:r>
        <w:drawing>
          <wp:inline>
            <wp:extent cx="203200" cy="203200"/>
            <wp:effectExtent b="0" l="0" r="0" t="0"/>
            <wp:docPr descr="GitHub icon" title="" id="204" name="Picture"/>
            <a:graphic>
              <a:graphicData uri="http://schemas.openxmlformats.org/drawingml/2006/picture">
                <pic:pic>
                  <pic:nvPicPr>
                    <pic:cNvPr descr="images/github.png" id="20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6">
        <w:r>
          <w:rPr>
            <w:rStyle w:val="Hyperlink"/>
          </w:rPr>
          <w:t xml:space="preserve">zoomzoom1011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Joseph M. Dybas</w:t>
      </w:r>
      <w:r>
        <w:t xml:space="preserve"> </w:t>
      </w:r>
      <w:r>
        <w:t xml:space="preserve">·</w:t>
      </w:r>
      <w:r>
        <w:t xml:space="preserve"> </w:t>
      </w:r>
      <w:r>
        <w:drawing>
          <wp:inline>
            <wp:extent cx="203200" cy="203200"/>
            <wp:effectExtent b="0" l="0" r="0" t="0"/>
            <wp:docPr descr="GitHub icon" title="" id="207" name="Picture"/>
            <a:graphic>
              <a:graphicData uri="http://schemas.openxmlformats.org/drawingml/2006/picture">
                <pic:pic>
                  <pic:nvPicPr>
                    <pic:cNvPr descr="images/github.png" id="20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9">
        <w:r>
          <w:rPr>
            <w:rStyle w:val="Hyperlink"/>
          </w:rPr>
          <w:t xml:space="preserve">JosephDybas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Pei Wang</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Deanne Taylor</w:t>
      </w:r>
      <w:r>
        <w:t xml:space="preserve"> </w:t>
      </w:r>
      <w:r>
        <w:drawing>
          <wp:inline>
            <wp:extent cx="203200" cy="203200"/>
            <wp:effectExtent b="0" l="0" r="0" t="0"/>
            <wp:docPr descr="ORCID icon" title="" id="210" name="Picture"/>
            <a:graphic>
              <a:graphicData uri="http://schemas.openxmlformats.org/drawingml/2006/picture">
                <pic:pic>
                  <pic:nvPicPr>
                    <pic:cNvPr descr="images/orcid.png" id="21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2">
        <w:r>
          <w:rPr>
            <w:rStyle w:val="Hyperlink"/>
          </w:rPr>
          <w:t xml:space="preserve">0000-0002-3302-4610</w:t>
        </w:r>
      </w:hyperlink>
      <w:r>
        <w:t xml:space="preserve"> </w:t>
      </w:r>
      <w:r>
        <w:t xml:space="preserve">·</w:t>
      </w:r>
      <w:r>
        <w:t xml:space="preserve"> </w:t>
      </w:r>
      <w:r>
        <w:drawing>
          <wp:inline>
            <wp:extent cx="203200" cy="203200"/>
            <wp:effectExtent b="0" l="0" r="0" t="0"/>
            <wp:docPr descr="GitHub icon" title="" id="213" name="Picture"/>
            <a:graphic>
              <a:graphicData uri="http://schemas.openxmlformats.org/drawingml/2006/picture">
                <pic:pic>
                  <pic:nvPicPr>
                    <pic:cNvPr descr="images/github.png" id="21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5">
        <w:r>
          <w:rPr>
            <w:rStyle w:val="Hyperlink"/>
          </w:rPr>
          <w:t xml:space="preserve">taylordm</w:t>
        </w:r>
      </w:hyperlink>
      <w:r>
        <w:t xml:space="preserve"> </w:t>
      </w:r>
      <w:r>
        <w:t xml:space="preserve"> </w:t>
      </w:r>
      <w:r>
        <w:t xml:space="preserve">Department of Biomedical and Health Informatics, Children’s Hospital of Philadelphia, Philadelphia, PA, 19104, USA; Department of Pediatrics, University of Pennsylvania Perelman Medical School,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Jo Lynne Rokita</w:t>
      </w:r>
      <w:r>
        <w:t xml:space="preserve"> </w:t>
      </w:r>
      <w:hyperlink w:anchor="correspondence">
        <w:r>
          <w:rPr>
            <w:rStyle w:val="Hyperlink"/>
            <w:vertAlign w:val="superscript"/>
          </w:rPr>
          <w:t xml:space="preserve">✉</w:t>
        </w:r>
      </w:hyperlink>
      <w:r>
        <w:t xml:space="preserve"> </w:t>
      </w:r>
      <w:r>
        <w:drawing>
          <wp:inline>
            <wp:extent cx="203200" cy="203200"/>
            <wp:effectExtent b="0" l="0" r="0" t="0"/>
            <wp:docPr descr="ORCID icon" title="" id="216" name="Picture"/>
            <a:graphic>
              <a:graphicData uri="http://schemas.openxmlformats.org/drawingml/2006/picture">
                <pic:pic>
                  <pic:nvPicPr>
                    <pic:cNvPr descr="images/orcid.png" id="21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8">
        <w:r>
          <w:rPr>
            <w:rStyle w:val="Hyperlink"/>
          </w:rPr>
          <w:t xml:space="preserve">0000-0003-2171-3627</w:t>
        </w:r>
      </w:hyperlink>
      <w:r>
        <w:t xml:space="preserve"> </w:t>
      </w:r>
      <w:r>
        <w:t xml:space="preserve">·</w:t>
      </w:r>
      <w:r>
        <w:t xml:space="preserve"> </w:t>
      </w:r>
      <w:r>
        <w:drawing>
          <wp:inline>
            <wp:extent cx="203200" cy="203200"/>
            <wp:effectExtent b="0" l="0" r="0" t="0"/>
            <wp:docPr descr="GitHub icon" title="" id="219" name="Picture"/>
            <a:graphic>
              <a:graphicData uri="http://schemas.openxmlformats.org/drawingml/2006/picture">
                <pic:pic>
                  <pic:nvPicPr>
                    <pic:cNvPr descr="images/github.png" id="22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21">
        <w:r>
          <w:rPr>
            <w:rStyle w:val="Hyperlink"/>
          </w:rPr>
          <w:t xml:space="preserve">jharenza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r>
        <w:t xml:space="preserve">· Funded by NCI/NIH Contract No. 75N91019D00024, Task Order No. 75N91020F00003</w:t>
      </w:r>
      <w:r>
        <w:t xml:space="preserve"> </w:t>
      </w:r>
    </w:p>
    <w:bookmarkEnd w:id="222"/>
    <w:bookmarkStart w:id="224" w:name="contact-information"/>
    <w:p>
      <w:pPr>
        <w:pStyle w:val="Heading2"/>
      </w:pPr>
      <w:r>
        <w:t xml:space="preserve">Contact information</w:t>
      </w:r>
    </w:p>
    <w:p>
      <w:pPr>
        <w:pStyle w:val="FirstParagraph"/>
      </w:pPr>
      <w:r>
        <w:t xml:space="preserve">✉Correspondence: Jo Lynne Rokita</w:t>
      </w:r>
      <w:r>
        <w:t xml:space="preserve"> </w:t>
      </w:r>
      <w:hyperlink r:id="rId223">
        <w:r>
          <w:rPr>
            <w:rStyle w:val="Hyperlink"/>
          </w:rPr>
          <w:t xml:space="preserve">jrokita@childrensnational.org</w:t>
        </w:r>
      </w:hyperlink>
    </w:p>
    <w:bookmarkEnd w:id="224"/>
    <w:bookmarkStart w:id="225" w:name="abstract"/>
    <w:p>
      <w:pPr>
        <w:pStyle w:val="Heading2"/>
      </w:pPr>
      <w:r>
        <w:t xml:space="preserve">Abstract</w:t>
      </w:r>
    </w:p>
    <w:p>
      <w:pPr>
        <w:pStyle w:val="FirstParagraph"/>
      </w:pPr>
      <w:r>
        <w:rPr>
          <w:bCs/>
          <w:b/>
        </w:rPr>
        <w:t xml:space="preserve">Background:</w:t>
      </w:r>
      <w:r>
        <w:t xml:space="preserve"> </w:t>
      </w:r>
      <w:r>
        <w:t xml:space="preserve">In 2019, the Open Pediatric Brain Tumor Atlas (OpenPBTA) was created as a global, collaborative open-science initiative to genomically characterize 1,074 pediatric brain tumors and 22 patient-derived cell lines.</w:t>
      </w:r>
      <w:r>
        <w:t xml:space="preserve"> </w:t>
      </w:r>
      <w:r>
        <w:t xml:space="preserve">Here, we present an extension of the OpenPBTA called the Open Pediatric Cancer (OpenPedCan) Project, a harmonized open-source multi-omic dataset from 6,112 pediatric cancer patients with 7,096 tumor events across more than 100 histologies.</w:t>
      </w:r>
      <w:r>
        <w:t xml:space="preserve"> </w:t>
      </w:r>
      <w:r>
        <w:t xml:space="preserve">Combined with RNA-Seq from the Genotype-Tissue Expression (GTEx) and The Cancer Genome Atlas (TCGA), OpenPedCan contains nearly 48,000 total biospecimens (24,002 tumor and 23,893 normal specimens).</w:t>
      </w:r>
    </w:p>
    <w:p>
      <w:pPr>
        <w:pStyle w:val="BodyText"/>
      </w:pPr>
      <w:r>
        <w:rPr>
          <w:bCs/>
          <w:b/>
        </w:rPr>
        <w:t xml:space="preserve">Findings:</w:t>
      </w:r>
      <w:r>
        <w:t xml:space="preserve"> </w:t>
      </w:r>
      <w:r>
        <w:t xml:space="preserve">We utilized Gabriella Miller Kids First (GMKF) workflows to harmonize WGS, WXS, RNA-seq, and Targeted Sequencing datasets to include somatic SNVs, InDels, CNVs, SVs, RNA expression, fusions, and splice variants.</w:t>
      </w:r>
      <w:r>
        <w:t xml:space="preserve"> </w:t>
      </w:r>
      <w:r>
        <w:t xml:space="preserve">We integrated summarized CPTAC whole cell proteomics and phospho-proteomics data, miRNA-Seq data, and have developed a methylation array harmonization workflow to include m-values, beta-vales, and copy number calls.</w:t>
      </w:r>
      <w:r>
        <w:t xml:space="preserve"> </w:t>
      </w:r>
      <w:r>
        <w:t xml:space="preserve">OpenPedCan contains reproducible, dockerized workflows in GitHub, CAVATICA, and Amazon Web Services (AWS) to deliver harmonized and processed data from over 60 scalable modules which can be leveraged both locally and on AWS.</w:t>
      </w:r>
      <w:r>
        <w:t xml:space="preserve"> </w:t>
      </w:r>
      <w:r>
        <w:t xml:space="preserve">The processed data are released in a versioned manner and accessible through CAVATICA or AWS S3 download (from GitHub), and queryable through PedcBioPortal and the NCI’s pediatric Molecular Targets Platform.</w:t>
      </w:r>
      <w:r>
        <w:t xml:space="preserve"> </w:t>
      </w:r>
      <w:r>
        <w:t xml:space="preserve">Notably, we have expanded PBTA molecular subtyping to include methylation information to align with the WHO 2021 Central Nervous System Tumor classifications, allowing us to create research-grade integrated diagnoses for these tumors.</w:t>
      </w:r>
    </w:p>
    <w:p>
      <w:pPr>
        <w:pStyle w:val="BodyText"/>
      </w:pPr>
      <w:r>
        <w:rPr>
          <w:bCs/>
          <w:b/>
        </w:rPr>
        <w:t xml:space="preserve">Conclusions:</w:t>
      </w:r>
      <w:r>
        <w:t xml:space="preserve"> </w:t>
      </w:r>
      <w:r>
        <w:t xml:space="preserve">OpenPedCan data and its reproducible analysis module framework are openly available and can be utilized and/or adapted by researchers to accelerate discovery, validation, and clinical translation.</w:t>
      </w:r>
    </w:p>
    <w:bookmarkEnd w:id="225"/>
    <w:bookmarkStart w:id="226" w:name="keywords"/>
    <w:p>
      <w:pPr>
        <w:pStyle w:val="Heading2"/>
      </w:pPr>
      <w:r>
        <w:t xml:space="preserve">Keywords</w:t>
      </w:r>
    </w:p>
    <w:p>
      <w:pPr>
        <w:pStyle w:val="FirstParagraph"/>
      </w:pPr>
      <w:r>
        <w:t xml:space="preserve">Pediatric cancer, open science, reproducibility, multi-omics, Docker</w:t>
      </w:r>
    </w:p>
    <w:bookmarkEnd w:id="226"/>
    <w:bookmarkStart w:id="248" w:name="data-description"/>
    <w:p>
      <w:pPr>
        <w:pStyle w:val="Heading2"/>
      </w:pPr>
      <w:r>
        <w:t xml:space="preserve">Data Description</w:t>
      </w:r>
    </w:p>
    <w:p>
      <w:pPr>
        <w:pStyle w:val="FirstParagraph"/>
      </w:pPr>
      <w:r>
        <w:t xml:space="preserve">The Open Pediatric Cancer (OpenPedCan) project is an iterative open analysis effort in which we harmonize pediatric cancer data from multiple sources, perform downstream cancer analyses on these data, and provide them through Amazon S3, CAVATICA, PedcBioPortal, and v2.1 of NCI’s</w:t>
      </w:r>
      <w:r>
        <w:t xml:space="preserve"> </w:t>
      </w:r>
      <w:hyperlink r:id="rId227">
        <w:r>
          <w:rPr>
            <w:rStyle w:val="Hyperlink"/>
          </w:rPr>
          <w:t xml:space="preserve">Pediatric Molecular Targets Platform (MTP)</w:t>
        </w:r>
      </w:hyperlink>
      <w:r>
        <w:t xml:space="preserve">.</w:t>
      </w:r>
      <w:r>
        <w:t xml:space="preserve"> </w:t>
      </w:r>
      <w:r>
        <w:t xml:space="preserve">We harmonized, aggregated, and analyzed data from multiple pediatric and adult data sources, building upon the work of the OpenPBTA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Biospecimen-level metadata and clinical data are contained in</w:t>
      </w:r>
      <w:r>
        <w:t xml:space="preserve"> </w:t>
      </w:r>
      <w:hyperlink r:id="rId228">
        <w:r>
          <w:rPr>
            <w:rStyle w:val="Hyperlink"/>
            <w:bCs/>
            <w:b/>
          </w:rPr>
          <w:t xml:space="preserve">Supplemental Table 1</w:t>
        </w:r>
      </w:hyperlink>
      <w:r>
        <w:t xml:space="preserve">.</w:t>
      </w:r>
    </w:p>
    <w:bookmarkStart w:id="0" w:name="fig:Fig1"/>
    <w:p>
      <w:pPr>
        <w:pStyle w:val="CaptionedFigure"/>
      </w:pPr>
      <w:bookmarkStart w:id="232" w:name="fig:Fig1"/>
      <w:r>
        <w:drawing>
          <wp:inline>
            <wp:extent cx="5943600" cy="3790430"/>
            <wp:effectExtent b="0" l="0" r="0" t="0"/>
            <wp:docPr descr="Figure 1: OpenPedCan Data. 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 title="" id="230" name="Picture"/>
            <a:graphic>
              <a:graphicData uri="http://schemas.openxmlformats.org/drawingml/2006/picture">
                <pic:pic>
                  <pic:nvPicPr>
                    <pic:cNvPr descr="https://raw.githubusercontent.com/rokitalab/OpenPedCan-Project-CNH/e0e35bb13fd8542b807f7ea75ffd3ab857c522cb/figures/manuscript_OPC/figure1/Figure1.png?sanitize=true" id="231" name="Picture"/>
                    <pic:cNvPicPr>
                      <a:picLocks noChangeArrowheads="1" noChangeAspect="1"/>
                    </pic:cNvPicPr>
                  </pic:nvPicPr>
                  <pic:blipFill>
                    <a:blip r:embed="rId229"/>
                    <a:stretch>
                      <a:fillRect/>
                    </a:stretch>
                  </pic:blipFill>
                  <pic:spPr bwMode="auto">
                    <a:xfrm>
                      <a:off x="0" y="0"/>
                      <a:ext cx="5943600" cy="3790430"/>
                    </a:xfrm>
                    <a:prstGeom prst="rect">
                      <a:avLst/>
                    </a:prstGeom>
                    <a:noFill/>
                    <a:ln w="9525">
                      <a:noFill/>
                      <a:headEnd/>
                      <a:tailEnd/>
                    </a:ln>
                  </pic:spPr>
                </pic:pic>
              </a:graphicData>
            </a:graphic>
          </wp:inline>
        </w:drawing>
      </w:r>
      <w:bookmarkEnd w:id="232"/>
    </w:p>
    <w:p>
      <w:pPr>
        <w:pStyle w:val="ImageCaption"/>
      </w:pPr>
      <w:r>
        <w:t xml:space="preserve">Figure 1:</w:t>
      </w:r>
      <w:r>
        <w:t xml:space="preserve"> </w:t>
      </w:r>
      <w:r>
        <w:rPr>
          <w:bCs/>
          <w:b/>
        </w:rPr>
        <w:t xml:space="preserve">OpenPedCan Data.</w:t>
      </w:r>
      <w:r>
        <w:t xml:space="preserve"> </w:t>
      </w:r>
      <w:r>
        <w:t xml:space="preserve">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w:t>
      </w:r>
    </w:p>
    <w:bookmarkEnd w:id="0"/>
    <w:p>
      <w:pPr>
        <w:pStyle w:val="BodyText"/>
      </w:pPr>
      <w:r>
        <w:t xml:space="preserve">OpenPedCan currently include the following datasets, described more fully below:</w:t>
      </w:r>
    </w:p>
    <w:p>
      <w:pPr>
        <w:numPr>
          <w:ilvl w:val="0"/>
          <w:numId w:val="1002"/>
        </w:numPr>
        <w:pStyle w:val="Compact"/>
      </w:pPr>
      <w:r>
        <w:t xml:space="preserve">OpenPBTA</w:t>
      </w:r>
    </w:p>
    <w:p>
      <w:pPr>
        <w:numPr>
          <w:ilvl w:val="0"/>
          <w:numId w:val="1002"/>
        </w:numPr>
        <w:pStyle w:val="Compact"/>
      </w:pPr>
      <w:r>
        <w:t xml:space="preserve">TARGET</w:t>
      </w:r>
    </w:p>
    <w:p>
      <w:pPr>
        <w:numPr>
          <w:ilvl w:val="0"/>
          <w:numId w:val="1002"/>
        </w:numPr>
        <w:pStyle w:val="Compact"/>
      </w:pPr>
      <w:r>
        <w:t xml:space="preserve">Kids First Neuroblastoma (X01)</w:t>
      </w:r>
    </w:p>
    <w:p>
      <w:pPr>
        <w:numPr>
          <w:ilvl w:val="0"/>
          <w:numId w:val="1002"/>
        </w:numPr>
        <w:pStyle w:val="Compact"/>
      </w:pPr>
      <w:r>
        <w:t xml:space="preserve">Kids First PBTA (X01)</w:t>
      </w:r>
    </w:p>
    <w:p>
      <w:pPr>
        <w:numPr>
          <w:ilvl w:val="0"/>
          <w:numId w:val="1002"/>
        </w:numPr>
        <w:pStyle w:val="Compact"/>
      </w:pPr>
      <w:r>
        <w:t xml:space="preserve">Chordoma Foundation</w:t>
      </w:r>
    </w:p>
    <w:p>
      <w:pPr>
        <w:numPr>
          <w:ilvl w:val="0"/>
          <w:numId w:val="1002"/>
        </w:numPr>
        <w:pStyle w:val="Compact"/>
      </w:pPr>
      <w:r>
        <w:t xml:space="preserve">PPTC</w:t>
      </w:r>
    </w:p>
    <w:p>
      <w:pPr>
        <w:numPr>
          <w:ilvl w:val="0"/>
          <w:numId w:val="1002"/>
        </w:numPr>
        <w:pStyle w:val="Compact"/>
      </w:pPr>
      <w:r>
        <w:t xml:space="preserve">Maris</w:t>
      </w:r>
    </w:p>
    <w:p>
      <w:pPr>
        <w:numPr>
          <w:ilvl w:val="0"/>
          <w:numId w:val="1002"/>
        </w:numPr>
        <w:pStyle w:val="Compact"/>
      </w:pPr>
      <w:r>
        <w:t xml:space="preserve">MI-ONCOSEQ Study</w:t>
      </w:r>
    </w:p>
    <w:p>
      <w:pPr>
        <w:numPr>
          <w:ilvl w:val="0"/>
          <w:numId w:val="1002"/>
        </w:numPr>
        <w:pStyle w:val="Compact"/>
      </w:pPr>
      <w:r>
        <w:t xml:space="preserve">DGD</w:t>
      </w:r>
    </w:p>
    <w:p>
      <w:pPr>
        <w:numPr>
          <w:ilvl w:val="0"/>
          <w:numId w:val="1002"/>
        </w:numPr>
        <w:pStyle w:val="Compact"/>
      </w:pPr>
      <w:r>
        <w:t xml:space="preserve">GTEx</w:t>
      </w:r>
    </w:p>
    <w:p>
      <w:pPr>
        <w:numPr>
          <w:ilvl w:val="0"/>
          <w:numId w:val="1002"/>
        </w:numPr>
        <w:pStyle w:val="Compact"/>
      </w:pPr>
      <w:r>
        <w:t xml:space="preserve">TCGA</w:t>
      </w:r>
    </w:p>
    <w:p>
      <w:pPr>
        <w:numPr>
          <w:ilvl w:val="0"/>
          <w:numId w:val="1002"/>
        </w:numPr>
        <w:pStyle w:val="Compact"/>
      </w:pPr>
      <w:r>
        <w:t xml:space="preserve">CPTAC PBTA</w:t>
      </w:r>
    </w:p>
    <w:p>
      <w:pPr>
        <w:numPr>
          <w:ilvl w:val="0"/>
          <w:numId w:val="1002"/>
        </w:numPr>
        <w:pStyle w:val="Compact"/>
      </w:pPr>
      <w:r>
        <w:t xml:space="preserve">CPTAC GBM</w:t>
      </w:r>
    </w:p>
    <w:p>
      <w:pPr>
        <w:numPr>
          <w:ilvl w:val="0"/>
          <w:numId w:val="1002"/>
        </w:numPr>
        <w:pStyle w:val="Compact"/>
      </w:pPr>
      <w:r>
        <w:t xml:space="preserve">HOPE proteomics</w:t>
      </w:r>
    </w:p>
    <w:p>
      <w:pPr>
        <w:pStyle w:val="FirstParagraph"/>
      </w:pPr>
      <w:r>
        <w:rPr>
          <w:bCs/>
          <w:b/>
        </w:rPr>
        <w:t xml:space="preserve">Open Pediatric Brain Tumor Atlas (OpenPBTA)</w:t>
      </w:r>
    </w:p>
    <w:p>
      <w:pPr>
        <w:pStyle w:val="BodyText"/>
      </w:pPr>
      <w:r>
        <w:t xml:space="preserve">In September of 2018, the</w:t>
      </w:r>
      <w:r>
        <w:t xml:space="preserve"> </w:t>
      </w:r>
      <w:hyperlink r:id="rId233">
        <w:r>
          <w:rPr>
            <w:rStyle w:val="Hyperlink"/>
          </w:rPr>
          <w:t xml:space="preserve">Children’s Brain Tumor Network (CBTN)</w:t>
        </w:r>
      </w:hyperlink>
      <w:r>
        <w:t xml:space="preserve"> </w:t>
      </w:r>
      <w:r>
        <w:t xml:space="preserve">released the</w:t>
      </w:r>
      <w:r>
        <w:t xml:space="preserve"> </w:t>
      </w:r>
      <w:hyperlink r:id="rId234">
        <w:r>
          <w:rPr>
            <w:rStyle w:val="Hyperlink"/>
          </w:rPr>
          <w:t xml:space="preserve">Pediatric Brain Tumor Atlas (PBTA)</w:t>
        </w:r>
      </w:hyperlink>
      <w:r>
        <w:t xml:space="preserve">, a genomic dataset (whole genome sequencing, whole exome sequencing, RNA sequencing, proteomic, and clinical data) for nearly 1,000 tumors, available from the</w:t>
      </w:r>
      <w:r>
        <w:t xml:space="preserve"> </w:t>
      </w:r>
      <w:hyperlink r:id="rId235">
        <w:r>
          <w:rPr>
            <w:rStyle w:val="Hyperlink"/>
          </w:rPr>
          <w:t xml:space="preserve">Gabriella Miller Kids First Portal</w:t>
        </w:r>
      </w:hyperlink>
      <w:r>
        <w:t xml:space="preserve">.</w:t>
      </w:r>
      <w:r>
        <w:t xml:space="preserve"> </w:t>
      </w:r>
      <w:r>
        <w:t xml:space="preserve">In September of 2019, the Open Pediatric Brain Tumor Atlas (OpenPBTA) Project was launched.</w:t>
      </w:r>
      <w:r>
        <w:t xml:space="preserve"> </w:t>
      </w:r>
      <w:r>
        <w:t xml:space="preserve">OpenPBTA was a global open science initiative to comprehensively define the molecular landscape of tumors of 943 patients from the CBTN and the PNOC003 DIPG clinical trial from the</w:t>
      </w:r>
      <w:r>
        <w:t xml:space="preserve"> </w:t>
      </w:r>
      <w:hyperlink r:id="rId236">
        <w:r>
          <w:rPr>
            <w:rStyle w:val="Hyperlink"/>
          </w:rPr>
          <w:t xml:space="preserve">Pediatric Pacific Neuro-oncology Consortium</w:t>
        </w:r>
      </w:hyperlink>
      <w:r>
        <w:t xml:space="preserve"> </w:t>
      </w:r>
      <w:r>
        <w:t xml:space="preserve">through real-time, collaborative analyses and collaborative manuscript writing on GitHub</w:t>
      </w:r>
      <w:r>
        <w:t xml:space="preserve"> </w:t>
      </w:r>
      <w:r>
        <w:t xml:space="preserve">[</w:t>
      </w:r>
      <w:hyperlink w:anchor="ref-5VXMHJ7N">
        <w:r>
          <w:rPr>
            <w:rStyle w:val="Hyperlink"/>
          </w:rPr>
          <w:t xml:space="preserve">1</w:t>
        </w:r>
      </w:hyperlink>
      <w:r>
        <w:t xml:space="preserve">]</w:t>
      </w:r>
      <w:r>
        <w:t xml:space="preserve">.</w:t>
      </w:r>
      <w:r>
        <w:t xml:space="preserve"> </w:t>
      </w:r>
      <w:r>
        <w:t xml:space="preserve">Additional PBTA data has been, and will be continually added to, OpenPedCan.</w:t>
      </w:r>
    </w:p>
    <w:p>
      <w:pPr>
        <w:pStyle w:val="BodyText"/>
      </w:pPr>
      <w:r>
        <w:rPr>
          <w:bCs/>
          <w:b/>
        </w:rPr>
        <w:t xml:space="preserve">Therapeutically Applicable Research to Generate Effective Treatments</w:t>
      </w:r>
      <w:r>
        <w:rPr>
          <w:bCs/>
          <w:b/>
        </w:rPr>
        <w:t xml:space="preserve"> </w:t>
      </w:r>
      <w:hyperlink r:id="rId237">
        <w:r>
          <w:rPr>
            <w:rStyle w:val="Hyperlink"/>
            <w:bCs/>
            <w:b/>
          </w:rPr>
          <w:t xml:space="preserve">(TARGET)</w:t>
        </w:r>
      </w:hyperlink>
    </w:p>
    <w:p>
      <w:pPr>
        <w:pStyle w:val="BodyText"/>
      </w:pPr>
      <w:r>
        <w:t xml:space="preserve">The Therapeutically Applicable Research to Generate Effective Treatments (TARGET) Initiative is an NCI-funded collection of disease-specific projects that seeks to identify the genomic changes of pediatric cancers.</w:t>
      </w:r>
      <w:r>
        <w:t xml:space="preserve"> </w:t>
      </w:r>
      <w:r>
        <w:t xml:space="preserve">The overall goal is to collect genomic data to accelerate the development of more effective therapies.</w:t>
      </w:r>
      <w:r>
        <w:t xml:space="preserve"> </w:t>
      </w:r>
      <w:r>
        <w:t xml:space="preserve">OpenPedCan analyses include the seven diseases present in the TARGET dataset: Acute Lymphoblastic Leukemia (ALL), Acute Myeloid Leukemia (AML), Clear cell sarcoma of the kidney, Neuroblastoma, Osteosarcoma, Rhabdoid tumor, and Wilm’s Tumor.</w:t>
      </w:r>
    </w:p>
    <w:p>
      <w:pPr>
        <w:pStyle w:val="BodyText"/>
      </w:pPr>
      <w:r>
        <w:rPr>
          <w:bCs/>
          <w:b/>
        </w:rPr>
        <w:t xml:space="preserve">Gabriella Miller Kids First</w:t>
      </w:r>
      <w:r>
        <w:rPr>
          <w:bCs/>
          <w:b/>
        </w:rPr>
        <w:t xml:space="preserve"> </w:t>
      </w:r>
      <w:hyperlink r:id="rId238">
        <w:r>
          <w:rPr>
            <w:rStyle w:val="Hyperlink"/>
            <w:bCs/>
            <w:b/>
          </w:rPr>
          <w:t xml:space="preserve">(Neuroblastoma)</w:t>
        </w:r>
      </w:hyperlink>
      <w:r>
        <w:rPr>
          <w:bCs/>
          <w:b/>
        </w:rPr>
        <w:t xml:space="preserve"> </w:t>
      </w:r>
      <w:r>
        <w:rPr>
          <w:bCs/>
          <w:b/>
        </w:rPr>
        <w:t xml:space="preserve">and</w:t>
      </w:r>
      <w:r>
        <w:rPr>
          <w:bCs/>
          <w:b/>
        </w:rPr>
        <w:t xml:space="preserve"> </w:t>
      </w:r>
      <w:hyperlink r:id="rId239">
        <w:r>
          <w:rPr>
            <w:rStyle w:val="Hyperlink"/>
            <w:bCs/>
            <w:b/>
          </w:rPr>
          <w:t xml:space="preserve">PBTA</w:t>
        </w:r>
      </w:hyperlink>
    </w:p>
    <w:p>
      <w:pPr>
        <w:pStyle w:val="BodyText"/>
      </w:pPr>
      <w:r>
        <w:t xml:space="preserve">The Gabriella Miller Kids First Pediatric Research Program (Kids First) is a large-scale effort to accelerate research and gene discovery in pediatric cancers and structural birth defects.</w:t>
      </w:r>
      <w:r>
        <w:t xml:space="preserve"> </w:t>
      </w:r>
      <w:r>
        <w:t xml:space="preserve">The program includes whole genome sequencing (WGS) from patients with pediatric cancers and structural birth defects and their families.</w:t>
      </w:r>
      <w:r>
        <w:t xml:space="preserve"> </w:t>
      </w:r>
      <w:r>
        <w:t xml:space="preserve">OpenPedCan analyses include Neuroblastoma and PBTA data from the Kids First projects.</w:t>
      </w:r>
    </w:p>
    <w:p>
      <w:pPr>
        <w:pStyle w:val="BodyText"/>
      </w:pPr>
      <w:r>
        <w:rPr>
          <w:bCs/>
          <w:b/>
        </w:rPr>
        <w:t xml:space="preserve">Chordoma Foundation</w:t>
      </w:r>
    </w:p>
    <w:p>
      <w:pPr>
        <w:pStyle w:val="BodyText"/>
      </w:pPr>
      <w:r>
        <w:t xml:space="preserve">The</w:t>
      </w:r>
      <w:r>
        <w:t xml:space="preserve"> </w:t>
      </w:r>
      <w:hyperlink r:id="rId240">
        <w:r>
          <w:rPr>
            <w:rStyle w:val="Hyperlink"/>
          </w:rPr>
          <w:t xml:space="preserve">Chordoma Foundation</w:t>
        </w:r>
      </w:hyperlink>
      <w:r>
        <w:t xml:space="preserve"> </w:t>
      </w:r>
      <w:r>
        <w:t xml:space="preserve">seeks to advance research and improve healthcare for patients diagnosed with chordoma and has shared patient and model sequencing data with the CBTN.</w:t>
      </w:r>
    </w:p>
    <w:p>
      <w:pPr>
        <w:pStyle w:val="BodyText"/>
      </w:pPr>
      <w:r>
        <w:rPr>
          <w:bCs/>
          <w:b/>
        </w:rPr>
        <w:t xml:space="preserve">Pediatric Preclinical Testing Consortium</w:t>
      </w:r>
      <w:r>
        <w:rPr>
          <w:bCs/>
          <w:b/>
        </w:rPr>
        <w:t xml:space="preserve"> </w:t>
      </w:r>
      <w:hyperlink r:id="rId241">
        <w:r>
          <w:rPr>
            <w:rStyle w:val="Hyperlink"/>
            <w:bCs/>
            <w:b/>
          </w:rPr>
          <w:t xml:space="preserve">(PPTC)</w:t>
        </w:r>
      </w:hyperlink>
    </w:p>
    <w:p>
      <w:pPr>
        <w:pStyle w:val="BodyText"/>
      </w:pPr>
      <w:r>
        <w:t xml:space="preserve">The National Cancer Institute’s (NCI) former PPTC, now the</w:t>
      </w:r>
      <w:r>
        <w:t xml:space="preserve"> </w:t>
      </w:r>
      <w:hyperlink r:id="rId242">
        <w:r>
          <w:rPr>
            <w:rStyle w:val="Hyperlink"/>
          </w:rPr>
          <w:t xml:space="preserve">Pediatric Preclinical in Vivo Testing (PIVOT) Program</w:t>
        </w:r>
      </w:hyperlink>
      <w:r>
        <w:t xml:space="preserve">, molecularly and pharmacologically characterizes cell-derived and patient-derived xenograft (PDX) models.</w:t>
      </w:r>
      <w:r>
        <w:t xml:space="preserve"> </w:t>
      </w:r>
      <w:r>
        <w:t xml:space="preserve">OpenPedCan includes re-harmonized RNA-Seq data for 244 models from the initial PPTC study</w:t>
      </w:r>
      <w:r>
        <w:t xml:space="preserve"> </w:t>
      </w:r>
      <w:r>
        <w:t xml:space="preserve">[</w:t>
      </w:r>
      <w:hyperlink w:anchor="ref-SDwYl8uA">
        <w:r>
          <w:rPr>
            <w:rStyle w:val="Hyperlink"/>
          </w:rPr>
          <w:t xml:space="preserve">2</w:t>
        </w:r>
      </w:hyperlink>
      <w:r>
        <w:t xml:space="preserve">]</w:t>
      </w:r>
      <w:r>
        <w:t xml:space="preserve">.</w:t>
      </w:r>
    </w:p>
    <w:p>
      <w:pPr>
        <w:pStyle w:val="BodyText"/>
      </w:pPr>
      <w:r>
        <w:rPr>
          <w:bCs/>
          <w:b/>
        </w:rPr>
        <w:t xml:space="preserve">MI-ONCOSEQ Study</w:t>
      </w:r>
      <w:r>
        <w:rPr>
          <w:bCs/>
          <w:b/>
        </w:rPr>
        <w:t xml:space="preserve"> </w:t>
      </w:r>
      <w:r>
        <w:rPr>
          <w:bCs/>
          <w:b/>
        </w:rPr>
        <w:t xml:space="preserve">[</w:t>
      </w:r>
      <w:hyperlink w:anchor="ref-ygVj7a6q">
        <w:r>
          <w:rPr>
            <w:rStyle w:val="Hyperlink"/>
            <w:bCs/>
            <w:b/>
          </w:rPr>
          <w:t xml:space="preserve">3</w:t>
        </w:r>
      </w:hyperlink>
      <w:r>
        <w:rPr>
          <w:bCs/>
          <w:b/>
        </w:rPr>
        <w:t xml:space="preserve">]</w:t>
      </w:r>
    </w:p>
    <w:p>
      <w:pPr>
        <w:pStyle w:val="BodyText"/>
      </w:pPr>
      <w:r>
        <w:t xml:space="preserve">These clinical sequencing data from the University of Michigan were donated to CBTN and added to the PBTA cohort.</w:t>
      </w:r>
    </w:p>
    <w:p>
      <w:pPr>
        <w:pStyle w:val="BodyText"/>
      </w:pPr>
      <w:r>
        <w:rPr>
          <w:bCs/>
          <w:b/>
        </w:rPr>
        <w:t xml:space="preserve">Division of Genomic Diagnostics at Children’s Hospital of Philadelphia</w:t>
      </w:r>
      <w:r>
        <w:rPr>
          <w:bCs/>
          <w:b/>
        </w:rPr>
        <w:t xml:space="preserve"> </w:t>
      </w:r>
      <w:hyperlink r:id="rId243">
        <w:r>
          <w:rPr>
            <w:rStyle w:val="Hyperlink"/>
            <w:bCs/>
            <w:b/>
          </w:rPr>
          <w:t xml:space="preserve">(DGD)</w:t>
        </w:r>
      </w:hyperlink>
    </w:p>
    <w:p>
      <w:pPr>
        <w:pStyle w:val="BodyText"/>
      </w:pPr>
      <w:r>
        <w:t xml:space="preserve">CHOP’s</w:t>
      </w:r>
      <w:r>
        <w:t xml:space="preserve"> </w:t>
      </w:r>
      <w:hyperlink r:id="rId244">
        <w:r>
          <w:rPr>
            <w:rStyle w:val="Hyperlink"/>
          </w:rPr>
          <w:t xml:space="preserve">Division of Genomic Diagnostics</w:t>
        </w:r>
      </w:hyperlink>
      <w:r>
        <w:t xml:space="preserve"> </w:t>
      </w:r>
      <w:r>
        <w:t xml:space="preserve">has partnered with CCDI to add somatic panel sequencing data to OpenPedCan and the Molecular Targets Platform.</w:t>
      </w:r>
    </w:p>
    <w:p>
      <w:pPr>
        <w:pStyle w:val="BodyText"/>
      </w:pPr>
      <w:r>
        <w:rPr>
          <w:bCs/>
          <w:b/>
        </w:rPr>
        <w:t xml:space="preserve">The Genotype-Tissue Expression Project</w:t>
      </w:r>
      <w:r>
        <w:rPr>
          <w:bCs/>
          <w:b/>
        </w:rPr>
        <w:t xml:space="preserve"> </w:t>
      </w:r>
      <w:hyperlink r:id="rId245">
        <w:r>
          <w:rPr>
            <w:rStyle w:val="Hyperlink"/>
            <w:bCs/>
            <w:b/>
          </w:rPr>
          <w:t xml:space="preserve">(GTEx)</w:t>
        </w:r>
      </w:hyperlink>
    </w:p>
    <w:p>
      <w:pPr>
        <w:pStyle w:val="BodyText"/>
      </w:pPr>
      <w:r>
        <w:t xml:space="preserve">The GTEx project is an ongoing effort to build a comprehensive public data resource and tissue bank to study tissue-specific gene expression, regulation and their relationship with genetic variants.</w:t>
      </w:r>
      <w:r>
        <w:t xml:space="preserve"> </w:t>
      </w:r>
      <w:r>
        <w:t xml:space="preserve">Samples were collected from 54 non-diseased tissue sites across nearly 1000 individuals, primarily for molecular assays including WGS, WXS, and RNA-Seq.</w:t>
      </w:r>
      <w:r>
        <w:t xml:space="preserve"> </w:t>
      </w:r>
      <w:r>
        <w:t xml:space="preserve">OpenPedCan project includes 17,382 GTEx RNA-Seq samples from GTEx v8 release, which span across 31 GTEx groups in the v12 release.</w:t>
      </w:r>
    </w:p>
    <w:p>
      <w:pPr>
        <w:pStyle w:val="BodyText"/>
      </w:pPr>
      <w:r>
        <w:rPr>
          <w:bCs/>
          <w:b/>
        </w:rPr>
        <w:t xml:space="preserve">The Cancer Genome Atlas Program</w:t>
      </w:r>
      <w:r>
        <w:rPr>
          <w:bCs/>
          <w:b/>
        </w:rPr>
        <w:t xml:space="preserve"> </w:t>
      </w:r>
      <w:hyperlink r:id="rId246">
        <w:r>
          <w:rPr>
            <w:rStyle w:val="Hyperlink"/>
            <w:bCs/>
            <w:b/>
          </w:rPr>
          <w:t xml:space="preserve">(TCGA)</w:t>
        </w:r>
      </w:hyperlink>
    </w:p>
    <w:p>
      <w:pPr>
        <w:pStyle w:val="BodyText"/>
      </w:pPr>
      <w:r>
        <w:t xml:space="preserve">TCGA is a landmark cancer genomics program that molecularly characterized over 20,000 primary cancer and matched normal samples spanning 33 cancer types.</w:t>
      </w:r>
      <w:r>
        <w:t xml:space="preserve"> </w:t>
      </w:r>
      <w:r>
        <w:t xml:space="preserve">It is a joint effort between NCI and the National Human Genome Research Institute.</w:t>
      </w:r>
      <w:r>
        <w:t xml:space="preserve"> </w:t>
      </w:r>
      <w:r>
        <w:t xml:space="preserve">OpenPedCan project includes 10,414 TCGA RNA-Seq samples (716 normal and 9698 tumor) from</w:t>
      </w:r>
      <w:r>
        <w:t xml:space="preserve"> </w:t>
      </w:r>
      <w:hyperlink r:id="rId247">
        <w:r>
          <w:rPr>
            <w:rStyle w:val="Hyperlink"/>
          </w:rPr>
          <w:t xml:space="preserve">33 cancer types</w:t>
        </w:r>
      </w:hyperlink>
      <w:r>
        <w:t xml:space="preserve">.</w:t>
      </w:r>
    </w:p>
    <w:p>
      <w:pPr>
        <w:pStyle w:val="BodyText"/>
      </w:pPr>
      <w:r>
        <w:rPr>
          <w:bCs/>
          <w:b/>
        </w:rPr>
        <w:t xml:space="preserve">Clinical Proteomic Tumor Analysis Consortium (CPTAC) PBTA proteomics study</w:t>
      </w:r>
    </w:p>
    <w:p>
      <w:pPr>
        <w:pStyle w:val="BodyText"/>
      </w:pPr>
      <w:r>
        <w:t xml:space="preserve">The CPTAC pediatric pan-brain tumor study</w:t>
      </w:r>
      <w:r>
        <w:t xml:space="preserve"> </w:t>
      </w:r>
      <w:r>
        <w:t xml:space="preserve">[</w:t>
      </w:r>
      <w:hyperlink w:anchor="ref-meH98mKZ">
        <w:r>
          <w:rPr>
            <w:rStyle w:val="Hyperlink"/>
          </w:rPr>
          <w:t xml:space="preserve">4</w:t>
        </w:r>
      </w:hyperlink>
      <w:r>
        <w:t xml:space="preserve">]</w:t>
      </w:r>
      <w:r>
        <w:t xml:space="preserve"> </w:t>
      </w:r>
      <w:r>
        <w:t xml:space="preserve">contains 218 tumors profiled by proteogenomics and are included in OPC.</w:t>
      </w:r>
    </w:p>
    <w:p>
      <w:pPr>
        <w:pStyle w:val="BodyText"/>
      </w:pPr>
      <w:r>
        <w:rPr>
          <w:bCs/>
          <w:b/>
        </w:rPr>
        <w:t xml:space="preserve">CPTAC adult GBM proteomics study</w:t>
      </w:r>
    </w:p>
    <w:p>
      <w:pPr>
        <w:pStyle w:val="BodyText"/>
      </w:pPr>
      <w:r>
        <w:t xml:space="preserve">This CPTAC adult GBM study</w:t>
      </w:r>
      <w:r>
        <w:t xml:space="preserve"> </w:t>
      </w:r>
      <w:r>
        <w:t xml:space="preserve">[</w:t>
      </w:r>
      <w:hyperlink w:anchor="ref-XOVss5Jf">
        <w:r>
          <w:rPr>
            <w:rStyle w:val="Hyperlink"/>
          </w:rPr>
          <w:t xml:space="preserve">5</w:t>
        </w:r>
      </w:hyperlink>
      <w:r>
        <w:t xml:space="preserve">]</w:t>
      </w:r>
      <w:r>
        <w:t xml:space="preserve"> </w:t>
      </w:r>
      <w:r>
        <w:t xml:space="preserve">contains 99 tumors profiled by proteogenomics and are included in OPC.</w:t>
      </w:r>
    </w:p>
    <w:p>
      <w:pPr>
        <w:pStyle w:val="BodyText"/>
      </w:pPr>
      <w:r>
        <w:rPr>
          <w:bCs/>
          <w:b/>
        </w:rPr>
        <w:t xml:space="preserve">Project HOPE proteomics study</w:t>
      </w:r>
    </w:p>
    <w:p>
      <w:pPr>
        <w:pStyle w:val="BodyText"/>
      </w:pPr>
      <w:r>
        <w:t xml:space="preserve">Project HOPE is an adolescent and young adult high-grade glioma study (in preparation for publication) that contains 90 tumors profiled by proteogenomics and are included in OPC.</w:t>
      </w:r>
    </w:p>
    <w:bookmarkEnd w:id="248"/>
    <w:bookmarkStart w:id="251" w:name="context"/>
    <w:p>
      <w:pPr>
        <w:pStyle w:val="Heading2"/>
      </w:pPr>
      <w:r>
        <w:t xml:space="preserve">Context</w:t>
      </w:r>
    </w:p>
    <w:p>
      <w:pPr>
        <w:pStyle w:val="FirstParagraph"/>
      </w:pPr>
      <w:r>
        <w:t xml:space="preserve">Creation of this dataset had multiple motivations.</w:t>
      </w:r>
      <w:r>
        <w:t xml:space="preserve"> </w:t>
      </w:r>
      <w:r>
        <w:t xml:space="preserve">First, we sought to harmonize, summarize, and contextualize pediatric cancer genomics data among normal tissues (GTEx) and adult cancer tissues (TCGA) to enable the creation of the National Cancer Institute’s Molecular Targets Platform (MTP) at https://moleculartargets.ccdi.cancer.gov/.</w:t>
      </w:r>
      <w:r>
        <w:t xml:space="preserve"> </w:t>
      </w:r>
      <w:r>
        <w:t xml:space="preserve">Next, we created this resource for broad community use to promote rapid reuse and accelerate the discovery of additional mechanisms contributing to the pathogenesis of pediatric cancers and/or to identify novel candidate therapeutic targets for pediatric cancer.</w:t>
      </w:r>
    </w:p>
    <w:p>
      <w:pPr>
        <w:pStyle w:val="BodyText"/>
      </w:pPr>
      <w:r>
        <w:t xml:space="preserve">Similar to OpenPBTA, OpenPedCan operates on a pull request model to accept contributions.</w:t>
      </w:r>
      <w:r>
        <w:t xml:space="preserve"> </w:t>
      </w:r>
      <w:r>
        <w:t xml:space="preserve">We set up continuous integration software via GitHub Actions to confirm the reproducibility of analyses within the project’s Docker container.</w:t>
      </w:r>
      <w:r>
        <w:t xml:space="preserve"> </w:t>
      </w:r>
      <w:r>
        <w:t xml:space="preserve">We maintained a data release folder on Amazon S3, downloadable directly from S3 or our open-access CAVATICA project, with merged files for each analysis.</w:t>
      </w:r>
      <w:r>
        <w:t xml:space="preserve"> </w:t>
      </w:r>
      <w:r>
        <w:t xml:space="preserve">As we produced new results, identified data issues, or added additional data, we created new data releases in a versioned manner.</w:t>
      </w:r>
      <w:r>
        <w:t xml:space="preserve"> </w:t>
      </w:r>
      <w:r>
        <w:t xml:space="preserve">The project maintainers have included engineers and scientists from the</w:t>
      </w:r>
      <w:r>
        <w:t xml:space="preserve"> </w:t>
      </w:r>
      <w:hyperlink r:id="rId249">
        <w:r>
          <w:rPr>
            <w:rStyle w:val="Hyperlink"/>
          </w:rPr>
          <w:t xml:space="preserve">Children’s Hospital of Philadelphia</w:t>
        </w:r>
      </w:hyperlink>
      <w:r>
        <w:t xml:space="preserve"> </w:t>
      </w:r>
      <w:r>
        <w:t xml:space="preserve">and</w:t>
      </w:r>
      <w:r>
        <w:t xml:space="preserve"> </w:t>
      </w:r>
      <w:hyperlink r:id="rId250">
        <w:r>
          <w:rPr>
            <w:rStyle w:val="Hyperlink"/>
          </w:rPr>
          <w:t xml:space="preserve">Children’s National Hospital</w:t>
        </w:r>
      </w:hyperlink>
      <w:r>
        <w:t xml:space="preserve">.</w:t>
      </w:r>
    </w:p>
    <w:bookmarkEnd w:id="251"/>
    <w:bookmarkStart w:id="305" w:name="methods"/>
    <w:p>
      <w:pPr>
        <w:pStyle w:val="Heading2"/>
      </w:pPr>
      <w:r>
        <w:t xml:space="preserve">Methods</w:t>
      </w:r>
    </w:p>
    <w:p>
      <w:pPr>
        <w:pStyle w:val="FirstParagraph"/>
      </w:pPr>
      <w:r>
        <w:t xml:space="preserve">An overview of the OpenPedCan methods is depicted in</w:t>
      </w:r>
      <w:r>
        <w:t xml:space="preserve"> </w:t>
      </w:r>
      <w:r>
        <w:rPr>
          <w:bCs/>
          <w:b/>
        </w:rPr>
        <w:t xml:space="preserve">Figure</w:t>
      </w:r>
      <w:r>
        <w:rPr>
          <w:bCs/>
          <w:b/>
        </w:rPr>
        <w:t xml:space="preserve"> </w:t>
      </w:r>
      <w:hyperlink w:anchor="fig:Fig2">
        <w:r>
          <w:rPr>
            <w:rStyle w:val="Hyperlink"/>
            <w:bCs/>
            <w:b/>
          </w:rPr>
          <w:t xml:space="preserve">2</w:t>
        </w:r>
      </w:hyperlink>
      <w:r>
        <w:t xml:space="preserve">.</w:t>
      </w:r>
      <w:r>
        <w:t xml:space="preserve"> </w:t>
      </w:r>
      <w:r>
        <w:t xml:space="preserve">Briefly, most primary harmonization analysis workflows were performed with Kids First pipelines written in Common Workflow Language (CWL) using CAVATICA (detailed below).</w:t>
      </w:r>
      <w:r>
        <w:t xml:space="preserve"> </w:t>
      </w:r>
      <w:r>
        <w:t xml:space="preserve">Alignment and expression quantification for GTEx and TCGA RNA-Seq was performed by the respective consortium.</w:t>
      </w:r>
      <w:r>
        <w:t xml:space="preserve"> </w:t>
      </w:r>
      <w:r>
        <w:t xml:space="preserve">Custom python, R, and/or bash scripts were then created in OpenPedCan using the primary harmonized output files.</w:t>
      </w:r>
    </w:p>
    <w:bookmarkStart w:id="0" w:name="fig:Fig2"/>
    <w:p>
      <w:pPr>
        <w:pStyle w:val="CaptionedFigure"/>
      </w:pPr>
      <w:bookmarkStart w:id="255" w:name="fig:Fig2"/>
      <w:r>
        <w:drawing>
          <wp:inline>
            <wp:extent cx="5943600" cy="3878586"/>
            <wp:effectExtent b="0" l="0" r="0" t="0"/>
            <wp:docPr descr="Figure 2: OpenPedCan Analysis Workflow. 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 title="" id="253" name="Picture"/>
            <a:graphic>
              <a:graphicData uri="http://schemas.openxmlformats.org/drawingml/2006/picture">
                <pic:pic>
                  <pic:nvPicPr>
                    <pic:cNvPr descr="https://raw.githubusercontent.com/rokitalab/OpenPedCan-Project-CNH/e0e35bb13fd8542b807f7ea75ffd3ab857c522cb/figures/manuscript_OPC/figure2/Figure2.png?sanitize=true" id="254" name="Picture"/>
                    <pic:cNvPicPr>
                      <a:picLocks noChangeArrowheads="1" noChangeAspect="1"/>
                    </pic:cNvPicPr>
                  </pic:nvPicPr>
                  <pic:blipFill>
                    <a:blip r:embed="rId252"/>
                    <a:stretch>
                      <a:fillRect/>
                    </a:stretch>
                  </pic:blipFill>
                  <pic:spPr bwMode="auto">
                    <a:xfrm>
                      <a:off x="0" y="0"/>
                      <a:ext cx="5943600" cy="3878586"/>
                    </a:xfrm>
                    <a:prstGeom prst="rect">
                      <a:avLst/>
                    </a:prstGeom>
                    <a:noFill/>
                    <a:ln w="9525">
                      <a:noFill/>
                      <a:headEnd/>
                      <a:tailEnd/>
                    </a:ln>
                  </pic:spPr>
                </pic:pic>
              </a:graphicData>
            </a:graphic>
          </wp:inline>
        </w:drawing>
      </w:r>
      <w:bookmarkEnd w:id="255"/>
    </w:p>
    <w:p>
      <w:pPr>
        <w:pStyle w:val="ImageCaption"/>
      </w:pPr>
      <w:r>
        <w:t xml:space="preserve">Figure 2:</w:t>
      </w:r>
      <w:r>
        <w:t xml:space="preserve"> </w:t>
      </w:r>
      <w:r>
        <w:rPr>
          <w:bCs/>
          <w:b/>
        </w:rPr>
        <w:t xml:space="preserve">OpenPedCan Analysis Workflow.</w:t>
      </w:r>
      <w:r>
        <w:t xml:space="preserve"> </w:t>
      </w:r>
      <w:r>
        <w:t xml:space="preserve">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w:t>
      </w:r>
    </w:p>
    <w:bookmarkEnd w:id="0"/>
    <w:bookmarkStart w:id="282" w:name="method-details"/>
    <w:p>
      <w:pPr>
        <w:pStyle w:val="Heading3"/>
      </w:pPr>
      <w:r>
        <w:t xml:space="preserve">Method Details</w:t>
      </w:r>
    </w:p>
    <w:bookmarkStart w:id="256" w:name="X2c603561ad4f091ae9a6c0ada8c79add8468585"/>
    <w:p>
      <w:pPr>
        <w:pStyle w:val="Heading4"/>
      </w:pPr>
      <w:r>
        <w:t xml:space="preserve">Nucleic acids extraction and library preparation (PBTA X01 and miRNA-Seq)</w:t>
      </w:r>
    </w:p>
    <w:p>
      <w:pPr>
        <w:pStyle w:val="FirstParagraph"/>
      </w:pPr>
      <w:r>
        <w:t xml:space="preserve">For detailed methods about the OpenPBTA cohort, please refer to the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For the PBTA X01 cohort, libraries were prepped using the Illumina TruSeq Strand-Specific Protocol to pull out poly-adenylated transcripts.</w:t>
      </w:r>
    </w:p>
    <w:p>
      <w:pPr>
        <w:pStyle w:val="BodyText"/>
      </w:pPr>
      <w:r>
        <w:rPr>
          <w:bCs/>
          <w:b/>
        </w:rPr>
        <w:t xml:space="preserve">cDNA Library Construction</w:t>
      </w:r>
    </w:p>
    <w:p>
      <w:pPr>
        <w:pStyle w:val="BodyText"/>
      </w:pPr>
      <w:r>
        <w:t xml:space="preserve">Total RNA was quantified using the Quant-iT RiboGreen RNA Assay Kit and normalized to 5ng/ul.</w:t>
      </w:r>
      <w:r>
        <w:t xml:space="preserve"> </w:t>
      </w:r>
      <w:r>
        <w:t xml:space="preserve">Following plating, 2 uL of ERCC controls (using a 1:1000 dilution) were spiked into each sample.</w:t>
      </w:r>
      <w:r>
        <w:t xml:space="preserve"> </w:t>
      </w:r>
      <w:r>
        <w:t xml:space="preserve">An aliquot of 325 ng for each sample was transferred into library preparation.</w:t>
      </w:r>
      <w:r>
        <w:t xml:space="preserve"> </w:t>
      </w:r>
      <w:r>
        <w:t xml:space="preserve">The resultant 400bp cDNA went through dual-indexed library preparation:</w:t>
      </w:r>
      <w:r>
        <w:t xml:space="preserve"> </w:t>
      </w:r>
      <w:r>
        <w:t xml:space="preserve">‘</w:t>
      </w:r>
      <w:r>
        <w:t xml:space="preserve">A</w:t>
      </w:r>
      <w:r>
        <w:t xml:space="preserve">’</w:t>
      </w:r>
      <w:r>
        <w:t xml:space="preserve"> </w:t>
      </w:r>
      <w:r>
        <w:t xml:space="preserve">base addition, adapter ligation using P7 adapters, and PCR enrichment using P5 adapters.</w:t>
      </w:r>
      <w:r>
        <w:t xml:space="preserve"> </w:t>
      </w:r>
      <w:r>
        <w:t xml:space="preserve">After enrichment, the libraries were quantified using Quant-iT PicoGreen (1:200 dilution).</w:t>
      </w:r>
      <w:r>
        <w:t xml:space="preserve"> </w:t>
      </w:r>
      <w:r>
        <w:t xml:space="preserve">Samples were normalized to 5 ng/uL.</w:t>
      </w:r>
      <w:r>
        <w:t xml:space="preserve"> </w:t>
      </w:r>
      <w:r>
        <w:t xml:space="preserve">The sample set was pooled and quantified using the KAPA Library Quantification Kit for Illumina Sequencing Platforms.</w:t>
      </w:r>
    </w:p>
    <w:p>
      <w:pPr>
        <w:pStyle w:val="BodyText"/>
      </w:pPr>
      <w:r>
        <w:rPr>
          <w:bCs/>
          <w:b/>
        </w:rPr>
        <w:t xml:space="preserve">miRNA Extraction and Library Preparation</w:t>
      </w:r>
    </w:p>
    <w:p>
      <w:pPr>
        <w:pStyle w:val="BodyText"/>
      </w:pPr>
      <w:r>
        <w:t xml:space="preserve">Total RNA for CBTN samples was extracted as described in OpenPBTA</w:t>
      </w:r>
      <w:r>
        <w:t xml:space="preserve"> </w:t>
      </w:r>
      <w:r>
        <w:t xml:space="preserve">[</w:t>
      </w:r>
      <w:hyperlink w:anchor="ref-5VXMHJ7N">
        <w:r>
          <w:rPr>
            <w:rStyle w:val="Hyperlink"/>
          </w:rPr>
          <w:t xml:space="preserve">1</w:t>
        </w:r>
      </w:hyperlink>
      <w:r>
        <w:t xml:space="preserve">]</w:t>
      </w:r>
      <w:r>
        <w:t xml:space="preserve"> </w:t>
      </w:r>
      <w:r>
        <w:t xml:space="preserve">and prepared according to the HTG Edge Seq protocol for the extracted RNA miRNA Whole transcriptome assay (WTA).</w:t>
      </w:r>
      <w:r>
        <w:t xml:space="preserve"> </w:t>
      </w:r>
      <w:r>
        <w:t xml:space="preserve">15ng of RNA were mixed in 25ul of lysis buffer, which were then loaded onto a 96-well plate.</w:t>
      </w:r>
      <w:r>
        <w:t xml:space="preserve"> </w:t>
      </w:r>
      <w:r>
        <w:t xml:space="preserve">Human Fetal Brain Total RNA (Takara Bio USA, #636526) and Human Brain Total RNA (Ambion, Inc., Austin, TX, USA) were used as controls.</w:t>
      </w:r>
      <w:r>
        <w:t xml:space="preserve"> </w:t>
      </w:r>
      <w:r>
        <w:t xml:space="preserve">The plate was loaded into the HTG EdgeSeq processor along with the miRNA WTA assay reagent pack.</w:t>
      </w:r>
      <w:r>
        <w:t xml:space="preserve"> </w:t>
      </w:r>
      <w:r>
        <w:t xml:space="preserve">Samples were processed for 18-20 hours, then were barcoded and amplified using a unique forward and reverse primer combination.</w:t>
      </w:r>
      <w:r>
        <w:t xml:space="preserve"> </w:t>
      </w:r>
      <w:r>
        <w:t xml:space="preserve">PCR settings used for barcoding and amplification were 95C for 4 min, 16 cycles of (95C for 15 sec, 56C for 45 sec, 68C for 45 sec), and 68C for 10 min.</w:t>
      </w:r>
      <w:r>
        <w:t xml:space="preserve"> </w:t>
      </w:r>
      <w:r>
        <w:t xml:space="preserve">Barcoded and amplified samples were cleaned using AMPure magnetic beads (Ampure XP,Cat# A63881).</w:t>
      </w:r>
      <w:r>
        <w:t xml:space="preserve"> </w:t>
      </w:r>
      <w:r>
        <w:t xml:space="preserve">Libraries were quantified using the KAPA Biosystem assay qPCR kit (Kapa Biosystems Cat#KK4824) and CT values were used to determine the pM concentration of each library.</w:t>
      </w:r>
    </w:p>
    <w:bookmarkEnd w:id="256"/>
    <w:bookmarkStart w:id="257" w:name="data-generation"/>
    <w:p>
      <w:pPr>
        <w:pStyle w:val="Heading4"/>
      </w:pPr>
      <w:r>
        <w:t xml:space="preserve">Data generation</w:t>
      </w:r>
    </w:p>
    <w:p>
      <w:pPr>
        <w:pStyle w:val="FirstParagraph"/>
      </w:pPr>
      <w:r>
        <w:rPr>
          <w:bCs/>
          <w:b/>
        </w:rPr>
        <w:t xml:space="preserve">PBTA X01 Illumina Sequencing</w:t>
      </w:r>
      <w:r>
        <w:t xml:space="preserve"> </w:t>
      </w:r>
      <w:r>
        <w:t xml:space="preserve">Pooled libraries were normalized to 2nM and denatured using 0.1 N NaOH prior to sequencing.</w:t>
      </w:r>
      <w:r>
        <w:t xml:space="preserve"> </w:t>
      </w:r>
      <w:r>
        <w:t xml:space="preserve">Flowcell cluster amplification and sequencing were performed according to the manufacturer’s protocols using the NovaSeq 6000.</w:t>
      </w:r>
      <w:r>
        <w:t xml:space="preserve"> </w:t>
      </w:r>
      <w:r>
        <w:t xml:space="preserve">Each run was a 151bp paired-end with an eight-base index barcode read.</w:t>
      </w:r>
      <w:r>
        <w:t xml:space="preserve"> </w:t>
      </w:r>
      <w:r>
        <w:t xml:space="preserve">Data was analyzed using the Broad Picard Pipeline which includes de-multiplexing and data aggregation.</w:t>
      </w:r>
    </w:p>
    <w:p>
      <w:pPr>
        <w:pStyle w:val="BodyText"/>
      </w:pPr>
      <w:r>
        <w:rPr>
          <w:bCs/>
          <w:b/>
        </w:rPr>
        <w:t xml:space="preserve">PBTA miRNA Sequencing</w:t>
      </w:r>
      <w:r>
        <w:t xml:space="preserve"> </w:t>
      </w:r>
      <w:r>
        <w:t xml:space="preserve">Libraries were pooled, denatured, and loaded onto sequencing cartridge.</w:t>
      </w:r>
      <w:r>
        <w:t xml:space="preserve"> </w:t>
      </w:r>
      <w:r>
        <w:t xml:space="preserve">Libraries were sequenced using an Illumina Nextseq 500 per manufacturer guidelines.</w:t>
      </w:r>
      <w:r>
        <w:t xml:space="preserve"> </w:t>
      </w:r>
      <w:r>
        <w:t xml:space="preserve">FASTQ files were generated from raw sequencing data using Illumina BaseSpace and analyzed with the HTG EdgeSeq Parser software v5.4.0.7543 to generate an excel file containing quantification of 2083 miRNAs per sample.</w:t>
      </w:r>
      <w:r>
        <w:t xml:space="preserve"> </w:t>
      </w:r>
      <w:r>
        <w:t xml:space="preserve">Any sample that did not pass the quality control set by the HTG REVEAL software version 2.0.1 (Tuscon, AR, USA) was excluded from the analysis.</w:t>
      </w:r>
    </w:p>
    <w:bookmarkEnd w:id="257"/>
    <w:bookmarkStart w:id="258" w:name="dna-wgs-alignment-and-snp-calling"/>
    <w:p>
      <w:pPr>
        <w:pStyle w:val="Heading4"/>
      </w:pPr>
      <w:r>
        <w:t xml:space="preserve">DNA WGS Alignment and SNP Calling</w:t>
      </w:r>
    </w:p>
    <w:p>
      <w:pPr>
        <w:pStyle w:val="FirstParagraph"/>
      </w:pPr>
      <w:r>
        <w:t xml:space="preserve">Please refer to the OpenPBTA manuscript for details on DNA WGS Alignment, prediction of participants’ genetic sex, and SNP calling for B-allele Frequency (BAF) generation.</w:t>
      </w:r>
      <w:r>
        <w:t xml:space="preserve"> </w:t>
      </w:r>
      <w:r>
        <w:t xml:space="preserve">[</w:t>
      </w:r>
      <w:hyperlink w:anchor="ref-5VXMHJ7N">
        <w:r>
          <w:rPr>
            <w:rStyle w:val="Hyperlink"/>
          </w:rPr>
          <w:t xml:space="preserve">1</w:t>
        </w:r>
      </w:hyperlink>
      <w:r>
        <w:t xml:space="preserve">]</w:t>
      </w:r>
      <w:r>
        <w:t xml:space="preserve">.</w:t>
      </w:r>
    </w:p>
    <w:bookmarkEnd w:id="258"/>
    <w:bookmarkStart w:id="260" w:name="somatic-mutation-and-indel-calling"/>
    <w:p>
      <w:pPr>
        <w:pStyle w:val="Heading4"/>
      </w:pPr>
      <w:r>
        <w:t xml:space="preserve">Somatic Mutation and INDEL Calling</w:t>
      </w:r>
    </w:p>
    <w:p>
      <w:pPr>
        <w:pStyle w:val="FirstParagraph"/>
      </w:pPr>
      <w:r>
        <w:t xml:space="preserve">For matched tumor/normal samples, we used the same mutation calling methods as described in OpenPBTA manuscript for details</w:t>
      </w:r>
      <w:r>
        <w:t xml:space="preserve"> </w:t>
      </w:r>
      <w:r>
        <w:t xml:space="preserve">[</w:t>
      </w:r>
      <w:hyperlink w:anchor="ref-5VXMHJ7N">
        <w:r>
          <w:rPr>
            <w:rStyle w:val="Hyperlink"/>
          </w:rPr>
          <w:t xml:space="preserve">1</w:t>
        </w:r>
      </w:hyperlink>
      <w:r>
        <w:t xml:space="preserve">]</w:t>
      </w:r>
      <w:r>
        <w:t xml:space="preserve">.</w:t>
      </w:r>
      <w:r>
        <w:t xml:space="preserve"> </w:t>
      </w:r>
      <w:r>
        <w:t xml:space="preserve">For tumor only samples, we ran Mutect2 from GATK v4.2.2.0 using the following</w:t>
      </w:r>
      <w:r>
        <w:t xml:space="preserve"> </w:t>
      </w:r>
      <w:hyperlink r:id="rId259">
        <w:r>
          <w:rPr>
            <w:rStyle w:val="Hyperlink"/>
          </w:rPr>
          <w:t xml:space="preserve">workflow</w:t>
        </w:r>
      </w:hyperlink>
      <w:r>
        <w:t xml:space="preserve">.</w:t>
      </w:r>
    </w:p>
    <w:p>
      <w:pPr>
        <w:pStyle w:val="BodyText"/>
      </w:pPr>
      <w:r>
        <w:rPr>
          <w:bCs/>
          <w:b/>
        </w:rPr>
        <w:t xml:space="preserve">VCF annotation and MAF creation</w:t>
      </w:r>
    </w:p>
    <w:p>
      <w:pPr>
        <w:pStyle w:val="BodyText"/>
      </w:pPr>
      <w:r>
        <w:t xml:space="preserve">Somatic variants were annotated by the Ensembl Variant Effect Predictor (VEP v105)</w:t>
      </w:r>
      <w:r>
        <w:t xml:space="preserve"> </w:t>
      </w:r>
      <w:r>
        <w:t xml:space="preserve">[</w:t>
      </w:r>
      <w:hyperlink w:anchor="ref-p1f5DxRQ">
        <w:r>
          <w:rPr>
            <w:rStyle w:val="Hyperlink"/>
          </w:rPr>
          <w:t xml:space="preserve">6</w:t>
        </w:r>
      </w:hyperlink>
      <w:r>
        <w:t xml:space="preserve">]</w:t>
      </w:r>
      <w:r>
        <w:t xml:space="preserve">.</w:t>
      </w:r>
      <w:r>
        <w:t xml:space="preserve"> </w:t>
      </w:r>
      <w:r>
        <w:t xml:space="preserve">From tumor only variant calls, we removed variants with</w:t>
      </w:r>
      <w:r>
        <w:t xml:space="preserve"> </w:t>
      </w:r>
      <w:r>
        <w:rPr>
          <w:rStyle w:val="VerbatimChar"/>
        </w:rPr>
        <w:t xml:space="preserve">alt_depth == 0</w:t>
      </w:r>
      <w:r>
        <w:t xml:space="preserve"> </w:t>
      </w:r>
      <w:r>
        <w:t xml:space="preserve">or</w:t>
      </w:r>
      <w:r>
        <w:t xml:space="preserve"> </w:t>
      </w:r>
      <w:r>
        <w:rPr>
          <w:rStyle w:val="VerbatimChar"/>
        </w:rPr>
        <w:t xml:space="preserve">t_depth &lt; 4</w:t>
      </w:r>
      <w:r>
        <w:t xml:space="preserve">.</w:t>
      </w:r>
    </w:p>
    <w:p>
      <w:pPr>
        <w:pStyle w:val="BodyText"/>
      </w:pPr>
      <w:r>
        <w:rPr>
          <w:bCs/>
          <w:b/>
        </w:rPr>
        <w:t xml:space="preserve">Consensus SNV Calling (tumor/normal only)</w:t>
      </w:r>
    </w:p>
    <w:p>
      <w:pPr>
        <w:pStyle w:val="BodyText"/>
      </w:pPr>
      <w:r>
        <w:t xml:space="preserve">We adopted the consensus SNV calling method described in OpenPBTA manuscript with adjustment</w:t>
      </w:r>
      <w:r>
        <w:t xml:space="preserve"> </w:t>
      </w:r>
      <w:r>
        <w:t xml:space="preserve">[</w:t>
      </w:r>
      <w:hyperlink w:anchor="ref-5VXMHJ7N">
        <w:r>
          <w:rPr>
            <w:rStyle w:val="Hyperlink"/>
          </w:rPr>
          <w:t xml:space="preserve">1</w:t>
        </w:r>
      </w:hyperlink>
      <w:r>
        <w:t xml:space="preserve">]</w:t>
      </w:r>
      <w:r>
        <w:t xml:space="preserve">.</w:t>
      </w:r>
      <w:r>
        <w:t xml:space="preserve"> </w:t>
      </w:r>
      <w:r>
        <w:t xml:space="preserve">For SNV calling, we combined four consensus SNV calling algorithms: Strelka2</w:t>
      </w:r>
      <w:r>
        <w:t xml:space="preserve">[</w:t>
      </w:r>
      <w:hyperlink w:anchor="ref-REfkDUtE">
        <w:r>
          <w:rPr>
            <w:rStyle w:val="Hyperlink"/>
          </w:rPr>
          <w:t xml:space="preserve">7</w:t>
        </w:r>
      </w:hyperlink>
      <w:r>
        <w:t xml:space="preserve">]</w:t>
      </w:r>
      <w:r>
        <w:t xml:space="preserve">, Mutect2</w:t>
      </w:r>
      <w:r>
        <w:t xml:space="preserve">[</w:t>
      </w:r>
      <w:hyperlink w:anchor="ref-149BEKISi">
        <w:r>
          <w:rPr>
            <w:rStyle w:val="Hyperlink"/>
          </w:rPr>
          <w:t xml:space="preserve">8</w:t>
        </w:r>
      </w:hyperlink>
      <w:r>
        <w:t xml:space="preserve">]</w:t>
      </w:r>
      <w:r>
        <w:t xml:space="preserve">, Lancet</w:t>
      </w:r>
      <w:r>
        <w:t xml:space="preserve">[</w:t>
      </w:r>
      <w:hyperlink w:anchor="ref-V6KdWVYi">
        <w:r>
          <w:rPr>
            <w:rStyle w:val="Hyperlink"/>
          </w:rPr>
          <w:t xml:space="preserve">9</w:t>
        </w:r>
      </w:hyperlink>
      <w:r>
        <w:t xml:space="preserve">]</w:t>
      </w:r>
      <w:r>
        <w:t xml:space="preserve">, and VarDict</w:t>
      </w:r>
      <w:r>
        <w:t xml:space="preserve">[</w:t>
      </w:r>
      <w:hyperlink w:anchor="ref-trQRR8fs">
        <w:r>
          <w:rPr>
            <w:rStyle w:val="Hyperlink"/>
          </w:rPr>
          <w:t xml:space="preserve">10</w:t>
        </w:r>
      </w:hyperlink>
      <w:r>
        <w:t xml:space="preserve">]</w:t>
      </w:r>
      <w:r>
        <w:t xml:space="preserve">.</w:t>
      </w:r>
    </w:p>
    <w:p>
      <w:pPr>
        <w:pStyle w:val="BodyText"/>
      </w:pPr>
      <w:r>
        <w:t xml:space="preserve">Strelka2 outputs multi-nucleotide polymorphisms (MNPs) as consecutive single-nucleotide polymorphisms.</w:t>
      </w:r>
      <w:r>
        <w:t xml:space="preserve"> </w:t>
      </w:r>
      <w:r>
        <w:t xml:space="preserve">In order preserve MNPs, we gather MNP calls from the other caller inputs, and search for evidence supporting these consecutive SNP calls as MNP candidates.</w:t>
      </w:r>
      <w:r>
        <w:t xml:space="preserve"> </w:t>
      </w:r>
      <w:r>
        <w:t xml:space="preserve">Once found, the Strelka2 SNP calls supporting a MNP are converted to a single MNP call.</w:t>
      </w:r>
      <w:r>
        <w:t xml:space="preserve"> </w:t>
      </w:r>
      <w:r>
        <w:t xml:space="preserve">This is done to preserve the predicted gene model as accurately as possible in our consensus calls.</w:t>
      </w:r>
      <w:r>
        <w:t xml:space="preserve"> </w:t>
      </w:r>
      <w:r>
        <w:t xml:space="preserve">Consensus SNV from all four callers were collected and by default, calls that were detected in at least two calling algorithms or marked with</w:t>
      </w:r>
      <w:r>
        <w:t xml:space="preserve"> </w:t>
      </w:r>
      <w:r>
        <w:t xml:space="preserve">“</w:t>
      </w:r>
      <w:r>
        <w:t xml:space="preserve">HotSpotAllele</w:t>
      </w:r>
      <w:r>
        <w:t xml:space="preserve">”</w:t>
      </w:r>
      <w:r>
        <w:t xml:space="preserve"> </w:t>
      </w:r>
      <w:r>
        <w:t xml:space="preserve">were retained.</w:t>
      </w:r>
    </w:p>
    <w:p>
      <w:pPr>
        <w:pStyle w:val="BodyText"/>
      </w:pPr>
      <w:r>
        <w:t xml:space="preserve">For all SNVs, potential non-hotspot germline variants were removed if they had a normal depth &lt;= 7 and gnomAD allele frequency &gt; 0.001.</w:t>
      </w:r>
      <w:r>
        <w:t xml:space="preserve"> </w:t>
      </w:r>
      <w:r>
        <w:t xml:space="preserve">Final results were saved in MAF format.</w:t>
      </w:r>
    </w:p>
    <w:bookmarkEnd w:id="260"/>
    <w:bookmarkStart w:id="265" w:name="somatic-copy-number-variant-cnv-calling"/>
    <w:p>
      <w:pPr>
        <w:pStyle w:val="Heading4"/>
      </w:pPr>
      <w:r>
        <w:t xml:space="preserve">Somatic Copy Number Variant (CNV) Calling</w:t>
      </w:r>
    </w:p>
    <w:p>
      <w:pPr>
        <w:pStyle w:val="FirstParagraph"/>
      </w:pPr>
      <w:r>
        <w:t xml:space="preserve">We called copy number variants for tumor/normal samples using Control-FREEC</w:t>
      </w:r>
      <w:r>
        <w:t xml:space="preserve"> </w:t>
      </w:r>
      <w:r>
        <w:t xml:space="preserve">[</w:t>
      </w:r>
      <w:hyperlink w:anchor="ref-ZQ0L3o1q">
        <w:r>
          <w:rPr>
            <w:rStyle w:val="Hyperlink"/>
          </w:rPr>
          <w:t xml:space="preserve">11</w:t>
        </w:r>
      </w:hyperlink>
      <w:r>
        <w:t xml:space="preserve">,</w:t>
      </w:r>
      <w:hyperlink w:anchor="ref-1F3i4BvCt">
        <w:r>
          <w:rPr>
            <w:rStyle w:val="Hyperlink"/>
          </w:rPr>
          <w:t xml:space="preserve">12</w:t>
        </w:r>
      </w:hyperlink>
      <w:r>
        <w:t xml:space="preserve">]</w:t>
      </w:r>
      <w:r>
        <w:t xml:space="preserve"> </w:t>
      </w:r>
      <w:r>
        <w:t xml:space="preserve">and CNVkit</w:t>
      </w:r>
      <w:r>
        <w:t xml:space="preserve"> </w:t>
      </w:r>
      <w:r>
        <w:t xml:space="preserve">[</w:t>
      </w:r>
      <w:hyperlink w:anchor="ref-UTxRcYIQ">
        <w:r>
          <w:rPr>
            <w:rStyle w:val="Hyperlink"/>
          </w:rPr>
          <w:t xml:space="preserve">13</w:t>
        </w:r>
      </w:hyperlink>
      <w:r>
        <w:t xml:space="preserve">]</w:t>
      </w:r>
      <w:r>
        <w:t xml:space="preserve"> </w:t>
      </w:r>
      <w:r>
        <w:t xml:space="preserve">as described in the OpenPBTA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We used GATK</w:t>
      </w:r>
      <w:r>
        <w:t xml:space="preserve"> </w:t>
      </w:r>
      <w:r>
        <w:t xml:space="preserve">[</w:t>
      </w:r>
      <w:hyperlink w:anchor="ref-14nSa8zB9">
        <w:r>
          <w:rPr>
            <w:rStyle w:val="Hyperlink"/>
          </w:rPr>
          <w:t xml:space="preserve">14</w:t>
        </w:r>
      </w:hyperlink>
      <w:r>
        <w:t xml:space="preserve">]</w:t>
      </w:r>
      <w:r>
        <w:t xml:space="preserve"> </w:t>
      </w:r>
      <w:r>
        <w:t xml:space="preserve">to call CNVs for matched tumor/normal WGS samples when there were at least 30 male and 30 female normals from the same sequencing platform available for panel of normal creation.</w:t>
      </w:r>
      <w:r>
        <w:t xml:space="preserve"> </w:t>
      </w:r>
      <w:r>
        <w:t xml:space="preserve">For tumor only samples, we used Control-FREEC with the following modifications.</w:t>
      </w:r>
      <w:r>
        <w:t xml:space="preserve"> </w:t>
      </w:r>
      <w:r>
        <w:t xml:space="preserve">Instead of the b-allele frequency germline input file, we used the</w:t>
      </w:r>
      <w:r>
        <w:t xml:space="preserve"> </w:t>
      </w:r>
      <w:r>
        <w:rPr>
          <w:rStyle w:val="VerbatimChar"/>
        </w:rPr>
        <w:t xml:space="preserve">dbSNP_v153_ucsc-compatible.converted.vt.decomp.norm.common_snps.vcf.gz</w:t>
      </w:r>
      <w:r>
        <w:t xml:space="preserve"> </w:t>
      </w:r>
      <w:hyperlink r:id="rId261">
        <w:r>
          <w:rPr>
            <w:rStyle w:val="Hyperlink"/>
          </w:rPr>
          <w:t xml:space="preserve">dbSNP common snps file</w:t>
        </w:r>
      </w:hyperlink>
      <w:r>
        <w:t xml:space="preserve"> </w:t>
      </w:r>
      <w:r>
        <w:t xml:space="preserve">and to avoid hard-to-call regions, utilized the</w:t>
      </w:r>
      <w:r>
        <w:t xml:space="preserve"> </w:t>
      </w:r>
      <w:r>
        <w:rPr>
          <w:rStyle w:val="VerbatimChar"/>
        </w:rPr>
        <w:t xml:space="preserve">hg38_canonical_150.mappability</w:t>
      </w:r>
      <w:r>
        <w:t xml:space="preserve"> </w:t>
      </w:r>
      <w:hyperlink r:id="rId262">
        <w:r>
          <w:rPr>
            <w:rStyle w:val="Hyperlink"/>
          </w:rPr>
          <w:t xml:space="preserve">mappability file</w:t>
        </w:r>
      </w:hyperlink>
      <w:r>
        <w:t xml:space="preserve">.</w:t>
      </w:r>
      <w:r>
        <w:t xml:space="preserve"> </w:t>
      </w:r>
      <w:r>
        <w:t xml:space="preserve">Both are also linked in the public</w:t>
      </w:r>
      <w:r>
        <w:t xml:space="preserve"> </w:t>
      </w:r>
      <w:hyperlink r:id="rId263">
        <w:r>
          <w:rPr>
            <w:rStyle w:val="Hyperlink"/>
          </w:rPr>
          <w:t xml:space="preserve">Kids First references CAVATICA project</w:t>
        </w:r>
      </w:hyperlink>
      <w:r>
        <w:t xml:space="preserve">.</w:t>
      </w:r>
      <w:r>
        <w:t xml:space="preserve"> </w:t>
      </w:r>
      <w:r>
        <w:t xml:space="preserve">The Control-FREEC tumor only workflow can be found</w:t>
      </w:r>
      <w:r>
        <w:t xml:space="preserve"> </w:t>
      </w:r>
      <w:hyperlink r:id="rId264">
        <w:r>
          <w:rPr>
            <w:rStyle w:val="Hyperlink"/>
          </w:rPr>
          <w:t xml:space="preserve">here</w:t>
        </w:r>
      </w:hyperlink>
      <w:r>
        <w:t xml:space="preserve">.</w:t>
      </w:r>
    </w:p>
    <w:bookmarkEnd w:id="265"/>
    <w:bookmarkStart w:id="266" w:name="X55c575a2cc2756c85126bff18bca733e923f07c"/>
    <w:p>
      <w:pPr>
        <w:pStyle w:val="Heading4"/>
      </w:pPr>
      <w:r>
        <w:t xml:space="preserve">Somatic Structural Variant Calling (WGS samples only)</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66"/>
    <w:bookmarkStart w:id="269" w:name="methylation-analysis"/>
    <w:p>
      <w:pPr>
        <w:pStyle w:val="Heading4"/>
      </w:pPr>
      <w:r>
        <w:t xml:space="preserve">Methylation Analysis</w:t>
      </w:r>
    </w:p>
    <w:p>
      <w:pPr>
        <w:pStyle w:val="FirstParagraph"/>
      </w:pPr>
      <w:r>
        <w:rPr>
          <w:bCs/>
          <w:b/>
        </w:rPr>
        <w:t xml:space="preserve">Methylation array preprocessing</w:t>
      </w:r>
    </w:p>
    <w:p>
      <w:pPr>
        <w:pStyle w:val="BodyText"/>
      </w:pPr>
      <w:r>
        <w:t xml:space="preserve">We preprocessed raw Illumina 450K and EPIC 850K Infinium Human Methylation Bead Array intensities using the array preprocessing methods implemented in the</w:t>
      </w:r>
      <w:r>
        <w:t xml:space="preserve"> </w:t>
      </w:r>
      <w:r>
        <w:rPr>
          <w:rStyle w:val="VerbatimChar"/>
        </w:rPr>
        <w:t xml:space="preserve">minfi Bioconductor package</w:t>
      </w:r>
      <w:r>
        <w:t xml:space="preserve"> </w:t>
      </w:r>
      <w:r>
        <w:t xml:space="preserve">[</w:t>
      </w:r>
      <w:hyperlink w:anchor="ref-dxeON3tz">
        <w:r>
          <w:rPr>
            <w:rStyle w:val="Hyperlink"/>
          </w:rPr>
          <w:t xml:space="preserve">15</w:t>
        </w:r>
      </w:hyperlink>
      <w:r>
        <w:t xml:space="preserve">]</w:t>
      </w:r>
      <w:r>
        <w:t xml:space="preserve">.</w:t>
      </w:r>
      <w:r>
        <w:t xml:space="preserve"> </w:t>
      </w:r>
      <w:r>
        <w:t xml:space="preserve">We utilized either</w:t>
      </w:r>
      <w:r>
        <w:t xml:space="preserve"> </w:t>
      </w:r>
      <w:r>
        <w:rPr>
          <w:rStyle w:val="VerbatimChar"/>
        </w:rPr>
        <w:t xml:space="preserve">preprocessFunnorm</w:t>
      </w:r>
      <w:r>
        <w:t xml:space="preserve"> </w:t>
      </w:r>
      <w:r>
        <w:t xml:space="preserve">when an array dataset had both tumor and normal samples or multiple OpenPedcan-defined</w:t>
      </w:r>
      <w:r>
        <w:t xml:space="preserve"> </w:t>
      </w:r>
      <w:r>
        <w:rPr>
          <w:rStyle w:val="VerbatimChar"/>
        </w:rPr>
        <w:t xml:space="preserve">cancer_groups</w:t>
      </w:r>
      <w:r>
        <w:t xml:space="preserve"> </w:t>
      </w:r>
      <w:r>
        <w:t xml:space="preserve">and</w:t>
      </w:r>
      <w:r>
        <w:t xml:space="preserve"> </w:t>
      </w:r>
      <w:r>
        <w:rPr>
          <w:rStyle w:val="VerbatimChar"/>
        </w:rPr>
        <w:t xml:space="preserve">preprocessQuantile</w:t>
      </w:r>
      <w:r>
        <w:t xml:space="preserve"> </w:t>
      </w:r>
      <w:r>
        <w:t xml:space="preserve">when an array dataset had only tumor samples from a single OpenPedcan-defined</w:t>
      </w:r>
      <w:r>
        <w:t xml:space="preserve"> </w:t>
      </w:r>
      <w:r>
        <w:rPr>
          <w:rStyle w:val="VerbatimChar"/>
        </w:rPr>
        <w:t xml:space="preserve">cancer_group</w:t>
      </w:r>
      <w:r>
        <w:t xml:space="preserve"> </w:t>
      </w:r>
      <w:r>
        <w:t xml:space="preserve">to estimate usable methylation measurements (</w:t>
      </w:r>
      <w:r>
        <w:rPr>
          <w:rStyle w:val="VerbatimChar"/>
        </w:rPr>
        <w:t xml:space="preserve">beta-values</w:t>
      </w:r>
      <w:r>
        <w:t xml:space="preserve"> </w:t>
      </w:r>
      <w:r>
        <w:t xml:space="preserve">and</w:t>
      </w:r>
      <w:r>
        <w:t xml:space="preserve"> </w:t>
      </w:r>
      <w:r>
        <w:rPr>
          <w:rStyle w:val="VerbatimChar"/>
        </w:rPr>
        <w:t xml:space="preserve">m-values</w:t>
      </w:r>
      <w:r>
        <w:t xml:space="preserve">) and copy number (</w:t>
      </w:r>
      <w:r>
        <w:rPr>
          <w:rStyle w:val="VerbatimChar"/>
        </w:rPr>
        <w:t xml:space="preserve">cn-values</w:t>
      </w:r>
      <w:r>
        <w:t xml:space="preserve">).</w:t>
      </w:r>
      <w:r>
        <w:t xml:space="preserve"> </w:t>
      </w:r>
      <w:r>
        <w:t xml:space="preserve">Some Illumina Infinium array probes targeting CpG loci contain single-nucleotide polymorphisms (SNPs) near or within the probe</w:t>
      </w:r>
      <w:r>
        <w:t xml:space="preserve"> </w:t>
      </w:r>
      <w:r>
        <w:t xml:space="preserve">[</w:t>
      </w:r>
      <w:hyperlink w:anchor="ref-15Yz3j9AA">
        <w:r>
          <w:rPr>
            <w:rStyle w:val="Hyperlink"/>
          </w:rPr>
          <w:t xml:space="preserve">16</w:t>
        </w:r>
      </w:hyperlink>
      <w:r>
        <w:t xml:space="preserve">]</w:t>
      </w:r>
      <w:r>
        <w:t xml:space="preserve">, which could affect DNA methylation measurements</w:t>
      </w:r>
      <w:r>
        <w:t xml:space="preserve"> </w:t>
      </w:r>
      <w:r>
        <w:t xml:space="preserve">[</w:t>
      </w:r>
      <w:hyperlink w:anchor="ref-HOfcb651">
        <w:r>
          <w:rPr>
            <w:rStyle w:val="Hyperlink"/>
          </w:rPr>
          <w:t xml:space="preserve">17</w:t>
        </w:r>
      </w:hyperlink>
      <w:r>
        <w:t xml:space="preserve">]</w:t>
      </w:r>
      <w:r>
        <w:t xml:space="preserve">.</w:t>
      </w:r>
      <w:r>
        <w:t xml:space="preserve"> </w:t>
      </w:r>
      <w:r>
        <w:t xml:space="preserve">As the minfi preprocessing workflow recommends, we dropped probes containing common SNPs in dbSNP (minor allele frequency &gt; 1%) at the CpG interrogation or the single nucleotide extensions.</w:t>
      </w:r>
    </w:p>
    <w:p>
      <w:pPr>
        <w:pStyle w:val="BodyText"/>
      </w:pPr>
      <w:r>
        <w:t xml:space="preserve">Details of methylation array preprocessing are available in the</w:t>
      </w:r>
      <w:r>
        <w:t xml:space="preserve"> </w:t>
      </w:r>
      <w:hyperlink r:id="rId267">
        <w:r>
          <w:rPr>
            <w:rStyle w:val="Hyperlink"/>
          </w:rPr>
          <w:t xml:space="preserve">OpenPedCan methylation-preprocessing module</w:t>
        </w:r>
      </w:hyperlink>
      <w:r>
        <w:t xml:space="preserve">.</w:t>
      </w:r>
    </w:p>
    <w:p>
      <w:pPr>
        <w:pStyle w:val="BodyText"/>
      </w:pPr>
      <w:r>
        <w:rPr>
          <w:bCs/>
          <w:b/>
        </w:rPr>
        <w:t xml:space="preserve">Methylation classification of brain tumor molecular subtypes</w:t>
      </w:r>
    </w:p>
    <w:p>
      <w:pPr>
        <w:pStyle w:val="BodyText"/>
      </w:pPr>
      <w:r>
        <w:t xml:space="preserve">The Clinical Methylation Unit Laboratory of Pathology at the National Cancer Institute Center for Cancer Research ran the</w:t>
      </w:r>
      <w:r>
        <w:t xml:space="preserve"> </w:t>
      </w:r>
      <w:hyperlink r:id="rId268">
        <w:r>
          <w:rPr>
            <w:rStyle w:val="Hyperlink"/>
          </w:rPr>
          <w:t xml:space="preserve">DKFZ brain classifier version 12.6</w:t>
        </w:r>
      </w:hyperlink>
      <w:r>
        <w:t xml:space="preserve">, a comprehensive DNA methylation-based classification of CNS tumors across all entities and age groups</w:t>
      </w:r>
      <w:r>
        <w:t xml:space="preserve"> </w:t>
      </w:r>
      <w:r>
        <w:t xml:space="preserve">[</w:t>
      </w:r>
      <w:hyperlink w:anchor="ref-19a3Xf4h3">
        <w:r>
          <w:rPr>
            <w:rStyle w:val="Hyperlink"/>
          </w:rPr>
          <w:t xml:space="preserve">18</w:t>
        </w:r>
      </w:hyperlink>
      <w:r>
        <w:t xml:space="preserve">]</w:t>
      </w:r>
      <w:r>
        <w:t xml:space="preserve"> </w:t>
      </w:r>
      <w:r>
        <w:t xml:space="preserve">and/or the Bethesda Brain tumor classifier v2.0 (NIH_v2) and the combo reporter pipeline v2.0 on docker container trust1/bethesda:latest.</w:t>
      </w:r>
      <w:r>
        <w:t xml:space="preserve"> </w:t>
      </w:r>
      <w:r>
        <w:t xml:space="preserve">Unprocessed IDAT-files from the</w:t>
      </w:r>
      <w:r>
        <w:t xml:space="preserve"> </w:t>
      </w:r>
      <w:hyperlink r:id="rId233">
        <w:r>
          <w:rPr>
            <w:rStyle w:val="Hyperlink"/>
          </w:rPr>
          <w:t xml:space="preserve">Children’s Brain Tumor Network (CBTN)</w:t>
        </w:r>
      </w:hyperlink>
      <w:r>
        <w:t xml:space="preserve"> </w:t>
      </w:r>
      <w:r>
        <w:rPr>
          <w:rStyle w:val="VerbatimChar"/>
        </w:rPr>
        <w:t xml:space="preserve">Infinium Human Methylation EPIC (850k) BeadChip arrays</w:t>
      </w:r>
      <w:r>
        <w:t xml:space="preserve"> </w:t>
      </w:r>
      <w:r>
        <w:t xml:space="preserve">were used as input and the following information was compiled into the</w:t>
      </w:r>
      <w:r>
        <w:t xml:space="preserve"> </w:t>
      </w:r>
      <w:r>
        <w:rPr>
          <w:rStyle w:val="VerbatimChar"/>
        </w:rPr>
        <w:t xml:space="preserve">histologies.tsv</w:t>
      </w:r>
      <w:r>
        <w:t xml:space="preserve"> </w:t>
      </w:r>
      <w:r>
        <w:t xml:space="preserve">file:</w:t>
      </w:r>
      <w:r>
        <w:t xml:space="preserve"> </w:t>
      </w:r>
      <w:r>
        <w:rPr>
          <w:rStyle w:val="VerbatimChar"/>
        </w:rPr>
        <w:t xml:space="preserve">dkfz_v12_methylation_subclass</w:t>
      </w:r>
      <w:r>
        <w:t xml:space="preserve"> </w:t>
      </w:r>
      <w:r>
        <w:t xml:space="preserve">(predicted methylation subtype),</w:t>
      </w:r>
      <w:r>
        <w:t xml:space="preserve"> </w:t>
      </w:r>
      <w:r>
        <w:rPr>
          <w:rStyle w:val="VerbatimChar"/>
        </w:rPr>
        <w:t xml:space="preserve">dkfz_v12_methylation_subclass_score</w:t>
      </w:r>
      <w:r>
        <w:t xml:space="preserve"> </w:t>
      </w:r>
      <w:r>
        <w:t xml:space="preserve">(classification score),</w:t>
      </w:r>
      <w:r>
        <w:t xml:space="preserve"> </w:t>
      </w:r>
      <w:r>
        <w:rPr>
          <w:rStyle w:val="VerbatimChar"/>
        </w:rPr>
        <w:t xml:space="preserve">dkfz_v12_methylation_mgmt_status</w:t>
      </w:r>
      <w:r>
        <w:t xml:space="preserve"> </w:t>
      </w:r>
      <w:r>
        <w:t xml:space="preserve">(</w:t>
      </w:r>
      <w:r>
        <w:rPr>
          <w:iCs/>
          <w:i/>
        </w:rPr>
        <w:t xml:space="preserve">MGMT</w:t>
      </w:r>
      <w:r>
        <w:t xml:space="preserve"> </w:t>
      </w:r>
      <w:r>
        <w:t xml:space="preserve">methylation status),</w:t>
      </w:r>
      <w:r>
        <w:t xml:space="preserve"> </w:t>
      </w:r>
      <w:r>
        <w:rPr>
          <w:rStyle w:val="VerbatimChar"/>
        </w:rPr>
        <w:t xml:space="preserve">dkfz_v12_methylation_mgmt_estimated</w:t>
      </w:r>
      <w:r>
        <w:t xml:space="preserve"> </w:t>
      </w:r>
      <w:r>
        <w:t xml:space="preserve">(estimated</w:t>
      </w:r>
      <w:r>
        <w:t xml:space="preserve"> </w:t>
      </w:r>
      <w:r>
        <w:rPr>
          <w:iCs/>
          <w:i/>
        </w:rPr>
        <w:t xml:space="preserve">MGMT</w:t>
      </w:r>
      <w:r>
        <w:t xml:space="preserve"> </w:t>
      </w:r>
      <w:r>
        <w:t xml:space="preserve">methylation fraction),</w:t>
      </w:r>
      <w:r>
        <w:t xml:space="preserve"> </w:t>
      </w:r>
      <w:r>
        <w:rPr>
          <w:rStyle w:val="VerbatimChar"/>
        </w:rPr>
        <w:t xml:space="preserve">NIH_v2_methylation_Superfamily</w:t>
      </w:r>
      <w:r>
        <w:t xml:space="preserve">,</w:t>
      </w:r>
      <w:r>
        <w:t xml:space="preserve"> </w:t>
      </w:r>
      <w:r>
        <w:rPr>
          <w:rStyle w:val="VerbatimChar"/>
        </w:rPr>
        <w:t xml:space="preserve">NIH_v2_methylation_Superfamily_mean_score</w:t>
      </w:r>
      <w:r>
        <w:t xml:space="preserve">,</w:t>
      </w:r>
      <w:r>
        <w:t xml:space="preserve"> </w:t>
      </w:r>
      <w:r>
        <w:rPr>
          <w:rStyle w:val="VerbatimChar"/>
        </w:rPr>
        <w:t xml:space="preserve">NIH_v2_methylation_Superfamily_Consistency_score</w:t>
      </w:r>
      <w:r>
        <w:t xml:space="preserve">,</w:t>
      </w:r>
      <w:r>
        <w:t xml:space="preserve"> </w:t>
      </w:r>
      <w:r>
        <w:rPr>
          <w:rStyle w:val="VerbatimChar"/>
        </w:rPr>
        <w:t xml:space="preserve">NIH_v2_methylation_Class</w:t>
      </w:r>
      <w:r>
        <w:t xml:space="preserve">,</w:t>
      </w:r>
      <w:r>
        <w:t xml:space="preserve"> </w:t>
      </w:r>
      <w:r>
        <w:rPr>
          <w:rStyle w:val="VerbatimChar"/>
        </w:rPr>
        <w:t xml:space="preserve">NIH_v2_methylation_Class_mean_score</w:t>
      </w:r>
      <w:r>
        <w:t xml:space="preserve">,</w:t>
      </w:r>
      <w:r>
        <w:t xml:space="preserve"> </w:t>
      </w:r>
      <w:r>
        <w:rPr>
          <w:rStyle w:val="VerbatimChar"/>
        </w:rPr>
        <w:t xml:space="preserve">NIH_v2_methylation_Class_consistency_score</w:t>
      </w:r>
      <w:r>
        <w:t xml:space="preserve">,</w:t>
      </w:r>
      <w:r>
        <w:t xml:space="preserve"> </w:t>
      </w:r>
      <w:r>
        <w:rPr>
          <w:rStyle w:val="VerbatimChar"/>
        </w:rPr>
        <w:t xml:space="preserve">NIH_v2_methylation_Superfamily_match</w:t>
      </w:r>
      <w:r>
        <w:t xml:space="preserve">, and</w:t>
      </w:r>
      <w:r>
        <w:t xml:space="preserve"> </w:t>
      </w:r>
      <w:r>
        <w:rPr>
          <w:rStyle w:val="VerbatimChar"/>
        </w:rPr>
        <w:t xml:space="preserve">NIH_v2_methylation_Class_match</w:t>
      </w:r>
      <w:r>
        <w:t xml:space="preserve">.</w:t>
      </w:r>
    </w:p>
    <w:bookmarkEnd w:id="269"/>
    <w:bookmarkStart w:id="278" w:name="gene-expression"/>
    <w:p>
      <w:pPr>
        <w:pStyle w:val="Heading4"/>
      </w:pPr>
      <w:r>
        <w:t xml:space="preserve">Gene Expression</w:t>
      </w:r>
    </w:p>
    <w:p>
      <w:pPr>
        <w:pStyle w:val="FirstParagraph"/>
      </w:pPr>
      <w:r>
        <w:t xml:space="preserve">The</w:t>
      </w:r>
      <w:r>
        <w:t xml:space="preserve"> </w:t>
      </w:r>
      <w:hyperlink r:id="rId270">
        <w:r>
          <w:rPr>
            <w:rStyle w:val="VerbatimChar"/>
          </w:rPr>
          <w:t xml:space="preserve">tumor-normal-differential-expression</w:t>
        </w:r>
      </w:hyperlink>
      <w:r>
        <w:t xml:space="preserve"> </w:t>
      </w:r>
      <w:r>
        <w:t xml:space="preserve">module performs differential expression analyses for all sets of Disease (</w:t>
      </w:r>
      <w:r>
        <w:rPr>
          <w:rStyle w:val="VerbatimChar"/>
        </w:rPr>
        <w:t xml:space="preserve">cancer_group</w:t>
      </w:r>
      <w:r>
        <w:t xml:space="preserve">) and Dataset (</w:t>
      </w:r>
      <w:r>
        <w:rPr>
          <w:rStyle w:val="VerbatimChar"/>
        </w:rPr>
        <w:t xml:space="preserve">cohort</w:t>
      </w:r>
      <w:r>
        <w:t xml:space="preserve">) across all genes found in the</w:t>
      </w:r>
      <w:r>
        <w:t xml:space="preserve"> </w:t>
      </w:r>
      <w:r>
        <w:rPr>
          <w:rStyle w:val="VerbatimChar"/>
        </w:rPr>
        <w:t xml:space="preserve">gene-expression-rsem-tpm-collapsed.rds</w:t>
      </w:r>
      <w:r>
        <w:t xml:space="preserve"> </w:t>
      </w:r>
      <w:r>
        <w:t xml:space="preserve">table.</w:t>
      </w:r>
      <w:r>
        <w:t xml:space="preserve"> </w:t>
      </w:r>
      <w:r>
        <w:t xml:space="preserve">The purpose of this analysis is to highlight the correlation and understand the variability in gene expression in different cancer conditions across different histological tissues.</w:t>
      </w:r>
      <w:r>
        <w:t xml:space="preserve"> </w:t>
      </w:r>
      <w:r>
        <w:t xml:space="preserve">For OpenPedCan v12 data release, this module performs expression analysis over 102 cancer groups across 52 histological tissues for all 54,346 genes found in the dataset.</w:t>
      </w:r>
      <w:r>
        <w:t xml:space="preserve"> </w:t>
      </w:r>
      <w:r>
        <w:t xml:space="preserve">This analysis was performed on the Children’s Hospital of Philadelphia HPC and was configured to use 96G of RAM per CPU, with one task (one iteration of expression analysis for each set of tissue and cancer group) per CPU (total 102x52=5304 CPUs) using the</w:t>
      </w:r>
      <w:r>
        <w:t xml:space="preserve"> </w:t>
      </w:r>
      <w:hyperlink r:id="rId271">
        <w:r>
          <w:rPr>
            <w:rStyle w:val="Hyperlink"/>
          </w:rPr>
          <w:t xml:space="preserve">R/DESeq2</w:t>
        </w:r>
      </w:hyperlink>
      <w:r>
        <w:t xml:space="preserve"> </w:t>
      </w:r>
      <w:r>
        <w:t xml:space="preserve">package.</w:t>
      </w:r>
      <w:r>
        <w:t xml:space="preserve"> </w:t>
      </w:r>
      <w:r>
        <w:t xml:space="preserve">Please refer to script</w:t>
      </w:r>
      <w:r>
        <w:t xml:space="preserve"> </w:t>
      </w:r>
      <w:r>
        <w:rPr>
          <w:rStyle w:val="VerbatimChar"/>
        </w:rPr>
        <w:t xml:space="preserve">run-tumor-normal-differential-expression.sh</w:t>
      </w:r>
      <w:r>
        <w:t xml:space="preserve"> </w:t>
      </w:r>
      <w:r>
        <w:t xml:space="preserve">in the module for additional details on Slurm processing configuration.</w:t>
      </w:r>
      <w:r>
        <w:t xml:space="preserve"> </w:t>
      </w:r>
      <w:r>
        <w:t xml:space="preserve">The same analysis can also be performed on CAVATICA, but requires further optimization.</w:t>
      </w:r>
      <w:r>
        <w:t xml:space="preserve"> </w:t>
      </w:r>
      <w:r>
        <w:t xml:space="preserve">The module describes the steps for CAVATICA set up, and scripts to publish an application on the portal.</w:t>
      </w:r>
      <w:r>
        <w:t xml:space="preserve"> </w:t>
      </w:r>
      <w:r>
        <w:t xml:space="preserve">The required data files are also available publicly on CAVATICA under the</w:t>
      </w:r>
      <w:r>
        <w:t xml:space="preserve"> </w:t>
      </w:r>
      <w:hyperlink r:id="rId272">
        <w:r>
          <w:rPr>
            <w:rStyle w:val="Hyperlink"/>
          </w:rPr>
          <w:t xml:space="preserve">Open Pediatric Cancer (OpenPedCan) Open Access</w:t>
        </w:r>
      </w:hyperlink>
      <w:r>
        <w:t xml:space="preserve">.</w:t>
      </w:r>
      <w:r>
        <w:t xml:space="preserve"> </w:t>
      </w:r>
      <w:r>
        <w:t xml:space="preserve">Refer to the module for detailed description and scripts.</w:t>
      </w:r>
    </w:p>
    <w:p>
      <w:pPr>
        <w:pStyle w:val="BodyText"/>
      </w:pPr>
      <w:r>
        <w:rPr>
          <w:bCs/>
          <w:b/>
        </w:rPr>
        <w:t xml:space="preserve">Abundance Estimation</w:t>
      </w:r>
    </w:p>
    <w:p>
      <w:pPr>
        <w:pStyle w:val="BodyText"/>
      </w:pPr>
      <w:r>
        <w:t xml:space="preserve">Among the data sources used for OpenPedCan, GTEx and TCGA used GENCODE v26 and v36, respectively.</w:t>
      </w:r>
      <w:r>
        <w:t xml:space="preserve"> </w:t>
      </w:r>
      <w:r>
        <w:t xml:space="preserve">Therefore, the gene symbols had to be harmonized to GENCODE v39 for compatibility with the rest of the dataset.</w:t>
      </w:r>
      <w:r>
        <w:t xml:space="preserve"> </w:t>
      </w:r>
      <w:r>
        <w:t xml:space="preserve">The liftover process was done via a</w:t>
      </w:r>
      <w:r>
        <w:t xml:space="preserve"> </w:t>
      </w:r>
      <w:hyperlink r:id="rId273">
        <w:r>
          <w:rPr>
            <w:rStyle w:val="Hyperlink"/>
          </w:rPr>
          <w:t xml:space="preserve">custom script</w:t>
        </w:r>
      </w:hyperlink>
      <w:r>
        <w:t xml:space="preserve">.</w:t>
      </w:r>
      <w:r>
        <w:t xml:space="preserve"> </w:t>
      </w:r>
      <w:r>
        <w:t xml:space="preserve">The script first constructs an object detailing the gene symbol changes from the</w:t>
      </w:r>
      <w:r>
        <w:t xml:space="preserve"> </w:t>
      </w:r>
      <w:hyperlink r:id="rId274">
        <w:r>
          <w:rPr>
            <w:rStyle w:val="Hyperlink"/>
          </w:rPr>
          <w:t xml:space="preserve">HGNC symbol database</w:t>
        </w:r>
      </w:hyperlink>
      <w:r>
        <w:t xml:space="preserve">.</w:t>
      </w:r>
      <w:r>
        <w:t xml:space="preserve"> </w:t>
      </w:r>
      <w:r>
        <w:t xml:space="preserve">Using the symbol-change object, the script updates any columns containing gene symbols.</w:t>
      </w:r>
      <w:r>
        <w:t xml:space="preserve"> </w:t>
      </w:r>
      <w:r>
        <w:t xml:space="preserve">This liftover process was used on GTEx RNA-Seq, TCGA RNA-Seq, DGD fusions, and DNA hotspot files.</w:t>
      </w:r>
    </w:p>
    <w:p>
      <w:pPr>
        <w:pStyle w:val="BodyText"/>
      </w:pPr>
      <w:r>
        <w:t xml:space="preserve">Additionally, the gene expression matrices had some instances where multiple Ensembl gene identifiers mapped to the same gene symbol.</w:t>
      </w:r>
      <w:r>
        <w:t xml:space="preserve"> </w:t>
      </w:r>
      <w:r>
        <w:t xml:space="preserve">This was dealt with by filtering the expression matrix to only genes with [FPKM/TPM] &gt; 0 and then selecting the instance of the gene symbol with the maximum mean [FPKM/TPM/Expected_count] value across samples.</w:t>
      </w:r>
      <w:r>
        <w:t xml:space="preserve"> </w:t>
      </w:r>
      <w:r>
        <w:t xml:space="preserve">This enabled many downstream modules that require RNA-seq data have gene symbols as unique gene identifiers.</w:t>
      </w:r>
      <w:r>
        <w:t xml:space="preserve"> </w:t>
      </w:r>
      <w:r>
        <w:t xml:space="preserve">Refer to</w:t>
      </w:r>
      <w:r>
        <w:t xml:space="preserve"> </w:t>
      </w:r>
      <w:hyperlink r:id="rId275">
        <w:r>
          <w:rPr>
            <w:rStyle w:val="Hyperlink"/>
          </w:rPr>
          <w:t xml:space="preserve">collapse-rnaseq</w:t>
        </w:r>
      </w:hyperlink>
      <w:r>
        <w:t xml:space="preserve"> </w:t>
      </w:r>
      <w:r>
        <w:t xml:space="preserve">module for scripts and details.</w:t>
      </w:r>
    </w:p>
    <w:p>
      <w:pPr>
        <w:pStyle w:val="BodyText"/>
      </w:pPr>
      <w:r>
        <w:rPr>
          <w:bCs/>
          <w:b/>
        </w:rPr>
        <w:t xml:space="preserve">Gene fusion detection from RNA-Seq</w:t>
      </w:r>
    </w:p>
    <w:p>
      <w:pPr>
        <w:pStyle w:val="BodyText"/>
      </w:pPr>
      <w:r>
        <w:t xml:space="preserve">Gene fusions were called using Arriba</w:t>
      </w:r>
      <w:r>
        <w:t xml:space="preserve"> </w:t>
      </w:r>
      <w:r>
        <w:t xml:space="preserve">[</w:t>
      </w:r>
      <w:hyperlink w:anchor="ref-DuQpY5dg">
        <w:r>
          <w:rPr>
            <w:rStyle w:val="Hyperlink"/>
          </w:rPr>
          <w:t xml:space="preserve">19</w:t>
        </w:r>
      </w:hyperlink>
      <w:r>
        <w:t xml:space="preserve">]</w:t>
      </w:r>
      <w:r>
        <w:t xml:space="preserve"> </w:t>
      </w:r>
      <w:r>
        <w:t xml:space="preserve">and STAR-Fusion</w:t>
      </w:r>
      <w:r>
        <w:t xml:space="preserve"> </w:t>
      </w:r>
      <w:r>
        <w:t xml:space="preserve">[</w:t>
      </w:r>
      <w:hyperlink w:anchor="ref-rqYlIiAi">
        <w:r>
          <w:rPr>
            <w:rStyle w:val="Hyperlink"/>
          </w:rPr>
          <w:t xml:space="preserve">20</w:t>
        </w:r>
      </w:hyperlink>
      <w:r>
        <w:t xml:space="preserve">]</w:t>
      </w:r>
      <w:r>
        <w:t xml:space="preserve"> </w:t>
      </w:r>
      <w:r>
        <w:t xml:space="preserve">as previously reported in OpenPBTA</w:t>
      </w:r>
      <w:r>
        <w:t xml:space="preserve"> </w:t>
      </w:r>
      <w:r>
        <w:t xml:space="preserve">[</w:t>
      </w:r>
      <w:hyperlink w:anchor="ref-5VXMHJ7N">
        <w:r>
          <w:rPr>
            <w:rStyle w:val="Hyperlink"/>
          </w:rPr>
          <w:t xml:space="preserve">1</w:t>
        </w:r>
      </w:hyperlink>
      <w:r>
        <w:t xml:space="preserve">]</w:t>
      </w:r>
      <w:r>
        <w:t xml:space="preserve">.</w:t>
      </w:r>
      <w:r>
        <w:t xml:space="preserve"> </w:t>
      </w:r>
      <w:r>
        <w:t xml:space="preserve">We updated the</w:t>
      </w:r>
      <w:r>
        <w:t xml:space="preserve"> </w:t>
      </w:r>
      <w:hyperlink r:id="rId276">
        <w:r>
          <w:rPr>
            <w:rStyle w:val="VerbatimChar"/>
          </w:rPr>
          <w:t xml:space="preserve">annoFuseData</w:t>
        </w:r>
        <w:r>
          <w:rPr>
            <w:rStyle w:val="Hyperlink"/>
          </w:rPr>
          <w:t xml:space="preserve"> </w:t>
        </w:r>
        <w:r>
          <w:rPr>
            <w:rStyle w:val="Hyperlink"/>
          </w:rPr>
          <w:t xml:space="preserve">R package</w:t>
        </w:r>
      </w:hyperlink>
      <w:r>
        <w:t xml:space="preserve"> </w:t>
      </w:r>
      <w:r>
        <w:t xml:space="preserve">to liftover gene symbols to be concordant with VEP v. 105.</w:t>
      </w:r>
      <w:r>
        <w:t xml:space="preserve"> </w:t>
      </w:r>
      <w:r>
        <w:t xml:space="preserve">Fusions are now filtered with annoFuse</w:t>
      </w:r>
      <w:r>
        <w:t xml:space="preserve"> </w:t>
      </w:r>
      <w:r>
        <w:t xml:space="preserve">[</w:t>
      </w:r>
      <w:hyperlink w:anchor="ref-10LfPTs0c">
        <w:r>
          <w:rPr>
            <w:rStyle w:val="Hyperlink"/>
          </w:rPr>
          <w:t xml:space="preserve">21</w:t>
        </w:r>
      </w:hyperlink>
      <w:r>
        <w:t xml:space="preserve">]</w:t>
      </w:r>
      <w:r>
        <w:t xml:space="preserve"> </w:t>
      </w:r>
      <w:r>
        <w:t xml:space="preserve">upstream and released in</w:t>
      </w:r>
      <w:r>
        <w:t xml:space="preserve"> </w:t>
      </w:r>
      <w:r>
        <w:rPr>
          <w:rStyle w:val="VerbatimChar"/>
        </w:rPr>
        <w:t xml:space="preserve">fusion-annoFuse.tsv.gz</w:t>
      </w:r>
      <w:r>
        <w:t xml:space="preserve">.</w:t>
      </w:r>
    </w:p>
    <w:p>
      <w:pPr>
        <w:pStyle w:val="BodyText"/>
      </w:pPr>
      <w:r>
        <w:rPr>
          <w:bCs/>
          <w:b/>
        </w:rPr>
        <w:t xml:space="preserve">Gene fusion detection from fusion panels (DGD only)</w:t>
      </w:r>
    </w:p>
    <w:p>
      <w:pPr>
        <w:pStyle w:val="BodyText"/>
      </w:pPr>
      <w:r>
        <w:t xml:space="preserve">Clinical RNA fusion calls from the</w:t>
      </w:r>
      <w:r>
        <w:t xml:space="preserve"> </w:t>
      </w:r>
      <w:hyperlink r:id="rId277">
        <w:r>
          <w:rPr>
            <w:rStyle w:val="Hyperlink"/>
          </w:rPr>
          <w:t xml:space="preserve">CHOP DGD fusion panel</w:t>
        </w:r>
      </w:hyperlink>
      <w:r>
        <w:t xml:space="preserve"> </w:t>
      </w:r>
      <w:r>
        <w:t xml:space="preserve">are included in the data release in the</w:t>
      </w:r>
      <w:r>
        <w:t xml:space="preserve"> </w:t>
      </w:r>
      <w:r>
        <w:rPr>
          <w:rStyle w:val="VerbatimChar"/>
        </w:rPr>
        <w:t xml:space="preserve">fusion-dgd.tsv.gz</w:t>
      </w:r>
      <w:r>
        <w:t xml:space="preserve"> </w:t>
      </w:r>
      <w:r>
        <w:t xml:space="preserve">file.</w:t>
      </w:r>
    </w:p>
    <w:bookmarkEnd w:id="278"/>
    <w:bookmarkStart w:id="280" w:name="splicing-quantification"/>
    <w:p>
      <w:pPr>
        <w:pStyle w:val="Heading4"/>
      </w:pPr>
      <w:r>
        <w:t xml:space="preserve">Splicing quantification</w:t>
      </w:r>
    </w:p>
    <w:p>
      <w:pPr>
        <w:pStyle w:val="FirstParagraph"/>
      </w:pPr>
      <w:r>
        <w:t xml:space="preserve">To detect alternative splicing events, we utilized rMATS turbo (v. 4.1.0) with Ensembl/GENCODE v39 GFF annotations using the</w:t>
      </w:r>
      <w:r>
        <w:t xml:space="preserve"> </w:t>
      </w:r>
      <w:hyperlink r:id="rId279">
        <w:r>
          <w:rPr>
            <w:rStyle w:val="Hyperlink"/>
          </w:rPr>
          <w:t xml:space="preserve">Kids First RNA-Seq workflow</w:t>
        </w:r>
      </w:hyperlink>
      <w:r>
        <w:t xml:space="preserve">.</w:t>
      </w:r>
      <w:r>
        <w:t xml:space="preserve"> </w:t>
      </w:r>
      <w:r>
        <w:t xml:space="preserve">We used</w:t>
      </w:r>
      <w:r>
        <w:t xml:space="preserve"> </w:t>
      </w:r>
      <w:r>
        <w:rPr>
          <w:rStyle w:val="VerbatimChar"/>
        </w:rPr>
        <w:t xml:space="preserve">--variable-read-length</w:t>
      </w:r>
      <w:r>
        <w:t xml:space="preserve"> </w:t>
      </w:r>
      <w:r>
        <w:t xml:space="preserve">and</w:t>
      </w:r>
      <w:r>
        <w:t xml:space="preserve"> </w:t>
      </w:r>
      <w:r>
        <w:rPr>
          <w:rStyle w:val="VerbatimChar"/>
        </w:rPr>
        <w:t xml:space="preserve">-t paired</w:t>
      </w:r>
      <w:r>
        <w:t xml:space="preserve"> </w:t>
      </w:r>
      <w:r>
        <w:t xml:space="preserve">options and applied an additional filter to include only splicing events with total junction read counts greater than 10.</w:t>
      </w:r>
    </w:p>
    <w:bookmarkEnd w:id="280"/>
    <w:bookmarkStart w:id="281" w:name="X002861f1d17d24aaba55d148778cbe068d86ce3"/>
    <w:p>
      <w:pPr>
        <w:pStyle w:val="Heading4"/>
      </w:pPr>
      <w:r>
        <w:t xml:space="preserve">CPTAC PBTA, CPTAC GBM, and HOPE proteogenomics</w:t>
      </w:r>
    </w:p>
    <w:p>
      <w:pPr>
        <w:pStyle w:val="FirstParagraph"/>
      </w:pPr>
      <w:r>
        <w:t xml:space="preserve">The following methods are the general proteomics approaches used for the CPTAC PBTA</w:t>
      </w:r>
      <w:r>
        <w:t xml:space="preserve"> </w:t>
      </w:r>
      <w:r>
        <w:t xml:space="preserve">[</w:t>
      </w:r>
      <w:hyperlink w:anchor="ref-meH98mKZ">
        <w:r>
          <w:rPr>
            <w:rStyle w:val="Hyperlink"/>
          </w:rPr>
          <w:t xml:space="preserve">4</w:t>
        </w:r>
      </w:hyperlink>
      <w:r>
        <w:t xml:space="preserve">]</w:t>
      </w:r>
      <w:r>
        <w:t xml:space="preserve">, CPTAC GBM</w:t>
      </w:r>
      <w:r>
        <w:t xml:space="preserve"> </w:t>
      </w:r>
      <w:r>
        <w:t xml:space="preserve">[</w:t>
      </w:r>
      <w:hyperlink w:anchor="ref-XOVss5Jf">
        <w:r>
          <w:rPr>
            <w:rStyle w:val="Hyperlink"/>
          </w:rPr>
          <w:t xml:space="preserve">5</w:t>
        </w:r>
      </w:hyperlink>
      <w:r>
        <w:t xml:space="preserve">]</w:t>
      </w:r>
      <w:r>
        <w:t xml:space="preserve">, and HOPE (pre-publication, correspondence with Dr. Pei Wang) studies.</w:t>
      </w:r>
      <w:r>
        <w:t xml:space="preserve"> </w:t>
      </w:r>
      <w:r>
        <w:t xml:space="preserve">For specific descriptions of sample preparation, mass spectrometry instrumentation and approaches, and data generation, processing, or analysis please refer to the relevant publications.</w:t>
      </w:r>
    </w:p>
    <w:p>
      <w:pPr>
        <w:pStyle w:val="BodyText"/>
      </w:pPr>
      <w:r>
        <w:rPr>
          <w:bCs/>
          <w:b/>
        </w:rPr>
        <w:t xml:space="preserve">TMT-11 Labeling and Phosphopeptide Enrichment</w:t>
      </w:r>
    </w:p>
    <w:p>
      <w:pPr>
        <w:pStyle w:val="BodyText"/>
      </w:pPr>
      <w:r>
        <w:t xml:space="preserve">Proteome and phosphoproteome analysis of brain cancer samples in the CPTAC PBTA (pediatric), CPTAC GBM (adult), and HOPE (adolescent and young adult, AYA) cohort studies were structured as TMT11-plex experiments.</w:t>
      </w:r>
      <w:r>
        <w:t xml:space="preserve"> </w:t>
      </w:r>
      <w:r>
        <w:t xml:space="preserve">Tumor samples were digested with LysC and trypsin.</w:t>
      </w:r>
      <w:r>
        <w:t xml:space="preserve"> </w:t>
      </w:r>
      <w:r>
        <w:t xml:space="preserve">Digested peptides were labeled with TMT11-plex reagent and prepared for phosphopeptide enrichment.</w:t>
      </w:r>
      <w:r>
        <w:t xml:space="preserve"> </w:t>
      </w:r>
      <w:r>
        <w:t xml:space="preserve">For each dataset, a common reference sample was compiled from representative samples within the cohort.</w:t>
      </w:r>
      <w:r>
        <w:t xml:space="preserve"> </w:t>
      </w:r>
      <w:r>
        <w:t xml:space="preserve">Phosphopeptides were enriched using Immobilized Metal Affinity Chromatography (IMAC) with Fe3+-NTA-agarose bead kits.</w:t>
      </w:r>
    </w:p>
    <w:p>
      <w:pPr>
        <w:pStyle w:val="BodyText"/>
      </w:pPr>
      <w:r>
        <w:rPr>
          <w:bCs/>
          <w:b/>
        </w:rPr>
        <w:t xml:space="preserve">Liquid Chromatography with Tandem Mass Spectrometry (LC-MS/MS) Analysis</w:t>
      </w:r>
    </w:p>
    <w:p>
      <w:pPr>
        <w:pStyle w:val="BodyText"/>
      </w:pPr>
      <w:r>
        <w:t xml:space="preserve">To reduce sample complexity, peptide samples were separated by high pH reversed phase HPLC fractionation.</w:t>
      </w:r>
      <w:r>
        <w:t xml:space="preserve"> </w:t>
      </w:r>
      <w:r>
        <w:t xml:space="preserve">For CPTAC PBTA a total of 96 fractions were consolidated into 12 final fractions for LC-MS/MS analysis.</w:t>
      </w:r>
      <w:r>
        <w:t xml:space="preserve"> </w:t>
      </w:r>
      <w:r>
        <w:t xml:space="preserve">For CPTAC GBM and HOPE cohorts a total of 96 fractions were consolidated into 24 fractions.</w:t>
      </w:r>
      <w:r>
        <w:t xml:space="preserve"> </w:t>
      </w:r>
      <w:r>
        <w:t xml:space="preserve">For CPTAC PBTA, global proteome mass spectrometry analyses were performed on an Orbitrap Fusion Tribrid Mass Spectrometer and phosphoproteome analyses were performed on an Orbitrap Fusion Lumos Tribrid Mass Spectrometer.</w:t>
      </w:r>
      <w:r>
        <w:t xml:space="preserve"> </w:t>
      </w:r>
      <w:r>
        <w:t xml:space="preserve">For CPTAC GBM and HOPE studies, mass spectrometry analysis was performed using an Orbitrap Fusion Lumos Mass Spectrometer.</w:t>
      </w:r>
    </w:p>
    <w:p>
      <w:pPr>
        <w:pStyle w:val="BodyText"/>
      </w:pPr>
      <w:r>
        <w:rPr>
          <w:bCs/>
          <w:b/>
        </w:rPr>
        <w:t xml:space="preserve">Protein Identification</w:t>
      </w:r>
    </w:p>
    <w:p>
      <w:pPr>
        <w:pStyle w:val="BodyText"/>
      </w:pPr>
      <w:r>
        <w:t xml:space="preserve">The CPTAC PBTA spectra data were analyzed with MSFragger version 20190628</w:t>
      </w:r>
      <w:r>
        <w:t xml:space="preserve"> </w:t>
      </w:r>
      <w:r>
        <w:t xml:space="preserve">[</w:t>
      </w:r>
      <w:hyperlink w:anchor="ref-bKpYR6PB">
        <w:r>
          <w:rPr>
            <w:rStyle w:val="Hyperlink"/>
          </w:rPr>
          <w:t xml:space="preserve">22</w:t>
        </w:r>
      </w:hyperlink>
      <w:r>
        <w:t xml:space="preserve">]</w:t>
      </w:r>
      <w:r>
        <w:t xml:space="preserve"> </w:t>
      </w:r>
      <w:r>
        <w:t xml:space="preserve">searching against a CPTAC harmonized RefSeq-based sequence database containing 41,457 proteins mapped to the human reference genome (GRCh38/hg38) obtained via the UCSC Table Browser on June 29, 2018, with the addition of 13 proteins encoded in the human mitochondrial genome, 264 common laboratory contaminant proteins, and an equal number of decoy sequences.</w:t>
      </w:r>
      <w:r>
        <w:t xml:space="preserve"> </w:t>
      </w:r>
      <w:r>
        <w:t xml:space="preserve">The CPTAC GBM and HOPE spectra data were analyzed with MS-GF+ v9881</w:t>
      </w:r>
      <w:r>
        <w:t xml:space="preserve"> </w:t>
      </w:r>
      <w:r>
        <w:t xml:space="preserve">[</w:t>
      </w:r>
      <w:hyperlink w:anchor="ref-2rzcFP4J">
        <w:r>
          <w:rPr>
            <w:rStyle w:val="Hyperlink"/>
          </w:rPr>
          <w:t xml:space="preserve">23</w:t>
        </w:r>
      </w:hyperlink>
      <w:r>
        <w:t xml:space="preserve">,</w:t>
      </w:r>
      <w:hyperlink w:anchor="ref-1B2RVFOKK">
        <w:r>
          <w:rPr>
            <w:rStyle w:val="Hyperlink"/>
          </w:rPr>
          <w:t xml:space="preserve">24</w:t>
        </w:r>
      </w:hyperlink>
      <w:r>
        <w:t xml:space="preserve">,</w:t>
      </w:r>
      <w:hyperlink w:anchor="ref-G4kbj7VC">
        <w:r>
          <w:rPr>
            <w:rStyle w:val="Hyperlink"/>
          </w:rPr>
          <w:t xml:space="preserve">25</w:t>
        </w:r>
      </w:hyperlink>
      <w:r>
        <w:t xml:space="preserve">]</w:t>
      </w:r>
      <w:r>
        <w:t xml:space="preserve"> </w:t>
      </w:r>
      <w:r>
        <w:t xml:space="preserve">searching against the RefSeq human protein sequence database downloaded on June 29, 2018 (hg38; 41,734 proteins), combined with 264 contaminants, and a decoy database composed of the forward and reversed protein sequences.</w:t>
      </w:r>
    </w:p>
    <w:p>
      <w:pPr>
        <w:pStyle w:val="BodyText"/>
      </w:pPr>
      <w:r>
        <w:rPr>
          <w:bCs/>
          <w:b/>
        </w:rPr>
        <w:t xml:space="preserve">Protein Quantification and Data Analysis</w:t>
      </w:r>
    </w:p>
    <w:p>
      <w:pPr>
        <w:pStyle w:val="BodyText"/>
      </w:pPr>
      <w:r>
        <w:t xml:space="preserve">Relative protein (gene) abundance was calculated as the ratio of sample abundance to reference abundance using the summed reporter ion intensities from peptides mapped to the respective gene.</w:t>
      </w:r>
      <w:r>
        <w:t xml:space="preserve"> </w:t>
      </w:r>
      <w:r>
        <w:t xml:space="preserve">For phosphoproteomic datasets, data were not summarized by protein but left at the phosphopeptide level.</w:t>
      </w:r>
      <w:r>
        <w:t xml:space="preserve"> </w:t>
      </w:r>
      <w:r>
        <w:t xml:space="preserve">Global normalization was performed on the gene-level abundance matrix (log2 ratio) for global proteomic and on the site-level abundance matrix (log2 ratio) for phosphoproteomic data.</w:t>
      </w:r>
      <w:r>
        <w:t xml:space="preserve"> </w:t>
      </w:r>
      <w:r>
        <w:t xml:space="preserve">The median, log2 relative protein or peptide abundance for each sample was calculated and used to normalize each sample to achieve a common median of 0.</w:t>
      </w:r>
      <w:r>
        <w:t xml:space="preserve"> </w:t>
      </w:r>
      <w:r>
        <w:t xml:space="preserve">To identify TMT outliers, inter-TMT t-tests were performed for each individual protein or phosphopeptide.</w:t>
      </w:r>
      <w:r>
        <w:t xml:space="preserve"> </w:t>
      </w:r>
      <w:r>
        <w:t xml:space="preserve">Batch effects were checked using the log2 relative protein or phosphopeptide abundance and corrected using the Combat algorithm</w:t>
      </w:r>
      <w:r>
        <w:t xml:space="preserve"> </w:t>
      </w:r>
      <w:r>
        <w:t xml:space="preserve">[</w:t>
      </w:r>
      <w:hyperlink w:anchor="ref-VLwxfMaF">
        <w:r>
          <w:rPr>
            <w:rStyle w:val="Hyperlink"/>
          </w:rPr>
          <w:t xml:space="preserve">26</w:t>
        </w:r>
      </w:hyperlink>
      <w:r>
        <w:t xml:space="preserve">]</w:t>
      </w:r>
      <w:r>
        <w:t xml:space="preserve">.</w:t>
      </w:r>
      <w:r>
        <w:t xml:space="preserve"> </w:t>
      </w:r>
      <w:r>
        <w:t xml:space="preserve">Imputation was performed after batch effect correction for proteins or phosphopeptides with a missing rate &lt; 50%.</w:t>
      </w:r>
      <w:r>
        <w:t xml:space="preserve"> </w:t>
      </w:r>
      <w:r>
        <w:t xml:space="preserve">For the phosphopeptide datasets, 440 markers associated with cold-regulated ischemia genes were filtered and removed.</w:t>
      </w:r>
    </w:p>
    <w:bookmarkEnd w:id="281"/>
    <w:bookmarkEnd w:id="282"/>
    <w:bookmarkStart w:id="304" w:name="creation-of-openpedcan-analysis-modules"/>
    <w:p>
      <w:pPr>
        <w:pStyle w:val="Heading3"/>
      </w:pPr>
      <w:r>
        <w:t xml:space="preserve">Creation of OpenPedCan Analysis modules</w:t>
      </w:r>
    </w:p>
    <w:bookmarkStart w:id="283" w:name="Xc100016fe5ca649048648aa0848fc772e76806c"/>
    <w:p>
      <w:pPr>
        <w:pStyle w:val="Heading4"/>
      </w:pPr>
      <w:r>
        <w:t xml:space="preserve">Gene Set Variation Analysis (</w:t>
      </w:r>
      <w:r>
        <w:rPr>
          <w:rStyle w:val="VerbatimChar"/>
        </w:rPr>
        <w:t xml:space="preserve">gene-set-enrichment-analysis</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83"/>
    <w:bookmarkStart w:id="285" w:name="X29c65fcf469276050b3a2ce67ea7b6113b9c866"/>
    <w:p>
      <w:pPr>
        <w:pStyle w:val="Heading4"/>
      </w:pPr>
      <w:r>
        <w:t xml:space="preserve">Fusion prioritization (</w:t>
      </w:r>
      <w:r>
        <w:rPr>
          <w:rStyle w:val="VerbatimChar"/>
        </w:rPr>
        <w:t xml:space="preserve">fusion_filtering</w:t>
      </w:r>
      <w:r>
        <w:t xml:space="preserve"> </w:t>
      </w:r>
      <w:r>
        <w:t xml:space="preserve">analysis module)</w:t>
      </w:r>
    </w:p>
    <w:p>
      <w:pPr>
        <w:pStyle w:val="FirstParagraph"/>
      </w:pPr>
      <w:r>
        <w:t xml:space="preserve">The</w:t>
      </w:r>
      <w:r>
        <w:t xml:space="preserve"> </w:t>
      </w:r>
      <w:hyperlink r:id="rId284">
        <w:r>
          <w:rPr>
            <w:rStyle w:val="VerbatimChar"/>
          </w:rPr>
          <w:t xml:space="preserve">fusion_filtering</w:t>
        </w:r>
      </w:hyperlink>
      <w:r>
        <w:t xml:space="preserve"> </w:t>
      </w:r>
      <w:r>
        <w:t xml:space="preserve">module filters artifacts and annotates fusion calls, with prioritization for oncogenic fusions, for the fusion calls from STAR-Fusion and Arriba.</w:t>
      </w:r>
      <w:r>
        <w:t xml:space="preserve"> </w:t>
      </w:r>
      <w:r>
        <w:t xml:space="preserve">After artifact filtering, fusions were prioritized and annotated as</w:t>
      </w:r>
      <w:r>
        <w:t xml:space="preserve"> </w:t>
      </w:r>
      <w:r>
        <w:t xml:space="preserve">“</w:t>
      </w:r>
      <w:r>
        <w:t xml:space="preserve">putative oncogenic fusions</w:t>
      </w:r>
      <w:r>
        <w:t xml:space="preserve">”</w:t>
      </w:r>
      <w:r>
        <w:t xml:space="preserve"> </w:t>
      </w:r>
      <w:r>
        <w:t xml:space="preserve">when at least one gene was a known kinase, oncogene, tumor suppressor, curated transcription factor, on the COSMIC Cancer Gene Census List, or observed in TCGA.</w:t>
      </w:r>
      <w:r>
        <w:t xml:space="preserve"> </w:t>
      </w:r>
      <w:r>
        <w:t xml:space="preserve">Fusions were retained in this module if they were called by both callers, recurrent or specific to a cancer group, or annotated as a putative oncogenic fusion.</w:t>
      </w:r>
      <w:r>
        <w:t xml:space="preserve"> </w:t>
      </w:r>
      <w:r>
        <w:t xml:space="preserve">Please refer to the module linked above for more detailed documentation and scripts.</w:t>
      </w:r>
    </w:p>
    <w:bookmarkEnd w:id="285"/>
    <w:bookmarkStart w:id="286" w:name="Xca960b4455f90d57b5b300a5e796a13a1ad8ea3"/>
    <w:p>
      <w:pPr>
        <w:pStyle w:val="Heading4"/>
      </w:pPr>
      <w:r>
        <w:t xml:space="preserve">Consensus CNV Calling (WGS samples only) (</w:t>
      </w:r>
      <w:r>
        <w:rPr>
          <w:rStyle w:val="VerbatimChar"/>
        </w:rPr>
        <w:t xml:space="preserve">copy_number_consensus_call*</w:t>
      </w:r>
      <w:r>
        <w:t xml:space="preserve"> </w:t>
      </w:r>
      <w:r>
        <w:t xml:space="preserve">analysis modules)</w:t>
      </w:r>
    </w:p>
    <w:p>
      <w:pPr>
        <w:pStyle w:val="FirstParagraph"/>
      </w:pPr>
      <w:r>
        <w:t xml:space="preserve">We adopted the consensus CNV calling described in OpenPBTA manuscript</w:t>
      </w:r>
      <w:r>
        <w:t xml:space="preserve"> </w:t>
      </w:r>
      <w:r>
        <w:t xml:space="preserve">[</w:t>
      </w:r>
      <w:hyperlink w:anchor="ref-5VXMHJ7N">
        <w:r>
          <w:rPr>
            <w:rStyle w:val="Hyperlink"/>
          </w:rPr>
          <w:t xml:space="preserve">1</w:t>
        </w:r>
      </w:hyperlink>
      <w:r>
        <w:t xml:space="preserve">]</w:t>
      </w:r>
      <w:r>
        <w:t xml:space="preserve"> </w:t>
      </w:r>
      <w:r>
        <w:t xml:space="preserve">with minor adjustments.</w:t>
      </w:r>
      <w:r>
        <w:t xml:space="preserve"> </w:t>
      </w:r>
      <w:r>
        <w:t xml:space="preserve">For each caller and sample with WGS performed, we called CNVs based on consensus among Control-FREEC</w:t>
      </w:r>
      <w:r>
        <w:t xml:space="preserve"> </w:t>
      </w:r>
      <w:r>
        <w:t xml:space="preserve">[</w:t>
      </w:r>
      <w:hyperlink w:anchor="ref-ZQ0L3o1q">
        <w:r>
          <w:rPr>
            <w:rStyle w:val="Hyperlink"/>
          </w:rPr>
          <w:t xml:space="preserve">11</w:t>
        </w:r>
      </w:hyperlink>
      <w:r>
        <w:t xml:space="preserve">,</w:t>
      </w:r>
      <w:hyperlink w:anchor="ref-1F3i4BvCt">
        <w:r>
          <w:rPr>
            <w:rStyle w:val="Hyperlink"/>
          </w:rPr>
          <w:t xml:space="preserve">12</w:t>
        </w:r>
      </w:hyperlink>
      <w:r>
        <w:t xml:space="preserve">]</w:t>
      </w:r>
      <w:r>
        <w:t xml:space="preserve">, CNVkit</w:t>
      </w:r>
      <w:r>
        <w:t xml:space="preserve"> </w:t>
      </w:r>
      <w:r>
        <w:t xml:space="preserve">[</w:t>
      </w:r>
      <w:hyperlink w:anchor="ref-UTxRcYIQ">
        <w:r>
          <w:rPr>
            <w:rStyle w:val="Hyperlink"/>
          </w:rPr>
          <w:t xml:space="preserve">13</w:t>
        </w:r>
      </w:hyperlink>
      <w:r>
        <w:t xml:space="preserve">]</w:t>
      </w:r>
      <w:r>
        <w:t xml:space="preserve">, and GATK</w:t>
      </w:r>
      <w:r>
        <w:t xml:space="preserve"> </w:t>
      </w:r>
      <w:r>
        <w:t xml:space="preserve">[</w:t>
      </w:r>
      <w:hyperlink w:anchor="ref-14nSa8zB9">
        <w:r>
          <w:rPr>
            <w:rStyle w:val="Hyperlink"/>
          </w:rPr>
          <w:t xml:space="preserve">14</w:t>
        </w:r>
      </w:hyperlink>
      <w:r>
        <w:t xml:space="preserve">]</w:t>
      </w:r>
      <w:r>
        <w:t xml:space="preserve">.</w:t>
      </w:r>
      <w:r>
        <w:t xml:space="preserve"> </w:t>
      </w:r>
      <w:r>
        <w:t xml:space="preserve">Sample and consensus caller files with more than 2,500 CNVs were removed to de-noise and increase data quality, based on cutoffs used in GISTIC</w:t>
      </w:r>
      <w:r>
        <w:t xml:space="preserve"> </w:t>
      </w:r>
      <w:r>
        <w:t xml:space="preserve">[</w:t>
      </w:r>
      <w:hyperlink w:anchor="ref-Z38xUgBW">
        <w:r>
          <w:rPr>
            <w:rStyle w:val="Hyperlink"/>
          </w:rPr>
          <w:t xml:space="preserve">27</w:t>
        </w:r>
      </w:hyperlink>
      <w:r>
        <w:t xml:space="preserve">]</w:t>
      </w:r>
      <w:r>
        <w:t xml:space="preserve">.</w:t>
      </w:r>
      <w:r>
        <w:t xml:space="preserve"> </w:t>
      </w:r>
      <w:r>
        <w:t xml:space="preserve">For each sample, we included the following regions in the final consensus set: 1) regions with reciprocal overlap of 50% or more between at least two of the callers; 2) smaller CNV regions in which more than 90% of regions were covered by another caller.</w:t>
      </w:r>
      <w:r>
        <w:t xml:space="preserve"> </w:t>
      </w:r>
      <w:r>
        <w:t xml:space="preserve">For GATK, if a panel of normal was not able to be created (required 30 male and 30 female with the same sequencing platform), consensus was run for that tumor using Control-FREEC, CNVkit, and MantaSV.</w:t>
      </w:r>
      <w:r>
        <w:t xml:space="preserve"> </w:t>
      </w:r>
      <w:r>
        <w:t xml:space="preserve">We defined copy number as NA for any regions that had a neutral call for the samples included in the consensus file.</w:t>
      </w:r>
      <w:r>
        <w:t xml:space="preserve"> </w:t>
      </w:r>
      <w:r>
        <w:t xml:space="preserve">We merged CNV regions within 10,000 bp of each other with the same direction of gain or loss into single region.</w:t>
      </w:r>
    </w:p>
    <w:p>
      <w:pPr>
        <w:pStyle w:val="BodyText"/>
      </w:pPr>
      <w:r>
        <w:t xml:space="preserve">Any CNVs that overlapped 50% or more with immunoglobulin, telomeric, centromeric, segment duplicated regions, or that were shorter than 3000 bp were filtered out.</w:t>
      </w:r>
      <w:r>
        <w:t xml:space="preserve"> </w:t>
      </w:r>
      <w:r>
        <w:t xml:space="preserve">The CNVKit calls for WXS samples were appended to the consensus CNV file.</w:t>
      </w:r>
    </w:p>
    <w:bookmarkEnd w:id="286"/>
    <w:bookmarkStart w:id="288" w:name="Xf92e5c6e4c8b4b4c2a1a15961f2a513d59942be"/>
    <w:p>
      <w:pPr>
        <w:pStyle w:val="Heading4"/>
      </w:pPr>
      <w:r>
        <w:t xml:space="preserve">Focal Copy Number Calling (</w:t>
      </w:r>
      <w:r>
        <w:rPr>
          <w:rStyle w:val="VerbatimChar"/>
        </w:rPr>
        <w:t xml:space="preserve">focal-cn-file-preparation</w:t>
      </w:r>
      <w:r>
        <w:t xml:space="preserve"> </w:t>
      </w:r>
      <w:r>
        <w:t xml:space="preserve">analysis module)</w:t>
      </w:r>
    </w:p>
    <w:p>
      <w:pPr>
        <w:pStyle w:val="FirstParagraph"/>
      </w:pPr>
      <w:r>
        <w:t xml:space="preserve">Please refer to the OpenPBTA manuscript for details on assignment of copy number status values to CNV segments, cytobands, and genes</w:t>
      </w:r>
      <w:r>
        <w:t xml:space="preserve"> </w:t>
      </w:r>
      <w:r>
        <w:t xml:space="preserve">[</w:t>
      </w:r>
      <w:hyperlink w:anchor="ref-5VXMHJ7N">
        <w:r>
          <w:rPr>
            <w:rStyle w:val="Hyperlink"/>
          </w:rPr>
          <w:t xml:space="preserve">1</w:t>
        </w:r>
      </w:hyperlink>
      <w:r>
        <w:t xml:space="preserve">]</w:t>
      </w:r>
      <w:r>
        <w:t xml:space="preserve">.</w:t>
      </w:r>
      <w:r>
        <w:t xml:space="preserve"> </w:t>
      </w:r>
      <w:r>
        <w:t xml:space="preserve">We applied criteria to resolve instances of multiple conflicting status calls for the same gene and sample, which are described in detail in the</w:t>
      </w:r>
      <w:r>
        <w:t xml:space="preserve"> </w:t>
      </w:r>
      <w:hyperlink r:id="rId287">
        <w:r>
          <w:rPr>
            <w:rStyle w:val="Hyperlink"/>
          </w:rPr>
          <w:t xml:space="preserve">focal-cn-file-preparation</w:t>
        </w:r>
      </w:hyperlink>
      <w:r>
        <w:t xml:space="preserve"> </w:t>
      </w:r>
      <w:r>
        <w:t xml:space="preserve">module.</w:t>
      </w:r>
      <w:r>
        <w:t xml:space="preserve"> </w:t>
      </w:r>
      <w:r>
        <w:t xml:space="preserve">Briefly, we prioritized 1) non-neutral status calls, 2) calls made from dominant segments with respect to gene overlap, and 3) amplification and deep deletion status calls over gain and loss calls, respectively, when selecting a dominant status call per gene and sample.</w:t>
      </w:r>
      <w:r>
        <w:t xml:space="preserve"> </w:t>
      </w:r>
      <w:r>
        <w:t xml:space="preserve">These methods resolved &gt;99% of duplicated gene-level status calls.</w:t>
      </w:r>
    </w:p>
    <w:bookmarkEnd w:id="288"/>
    <w:bookmarkStart w:id="289" w:name="X559763d0bcd154628ca238438cccc0e2bab162c"/>
    <w:p>
      <w:pPr>
        <w:pStyle w:val="Heading4"/>
      </w:pPr>
      <w:r>
        <w:t xml:space="preserve">Mutational Signatures (</w:t>
      </w:r>
      <w:r>
        <w:rPr>
          <w:rStyle w:val="VerbatimChar"/>
        </w:rPr>
        <w:t xml:space="preserve">mutational-signatures</w:t>
      </w:r>
      <w:r>
        <w:t xml:space="preserve"> </w:t>
      </w:r>
      <w:r>
        <w:t xml:space="preserve">analysis module)</w:t>
      </w:r>
    </w:p>
    <w:p>
      <w:pPr>
        <w:pStyle w:val="FirstParagraph"/>
      </w:pPr>
      <w:r>
        <w:t xml:space="preserve">We obtained mutational signature weights (i.e., exposures) from consensus SNVs using the deconstructSigs R package</w:t>
      </w:r>
      <w:r>
        <w:t xml:space="preserve"> </w:t>
      </w:r>
      <w:r>
        <w:t xml:space="preserve">[</w:t>
      </w:r>
      <w:hyperlink w:anchor="ref-KhxTOfIb">
        <w:r>
          <w:rPr>
            <w:rStyle w:val="Hyperlink"/>
          </w:rPr>
          <w:t xml:space="preserve">28</w:t>
        </w:r>
      </w:hyperlink>
      <w:r>
        <w:t xml:space="preserve">]</w:t>
      </w:r>
      <w:r>
        <w:t xml:space="preserve">.</w:t>
      </w:r>
      <w:r>
        <w:t xml:space="preserve"> </w:t>
      </w:r>
      <w:r>
        <w:t xml:space="preserve">We estimated weights for single- and double-base substitution (SBS and DBS, respectively) signatures from the Catalogue of Somatic Mutations in Cancer (COSMIC) database versions 2 and 3.3, as well as SBS signatures from Alexandrov et al. 2013</w:t>
      </w:r>
      <w:r>
        <w:t xml:space="preserve"> </w:t>
      </w:r>
      <w:r>
        <w:t xml:space="preserve">[</w:t>
      </w:r>
      <w:hyperlink w:anchor="ref-kG8qNLrs">
        <w:r>
          <w:rPr>
            <w:rStyle w:val="Hyperlink"/>
          </w:rPr>
          <w:t xml:space="preserve">29</w:t>
        </w:r>
      </w:hyperlink>
      <w:r>
        <w:t xml:space="preserve">]</w:t>
      </w:r>
      <w:r>
        <w:t xml:space="preserve">.</w:t>
      </w:r>
      <w:r>
        <w:t xml:space="preserve"> </w:t>
      </w:r>
      <w:r>
        <w:t xml:space="preserve">The following COSMIC SBS signatures were excluded from weight estimation in all tumors: 1) sequencing artifact signatures, 2) signatures associated with environmental exposure, and 3) signatures with an unknown etiology.</w:t>
      </w:r>
      <w:r>
        <w:t xml:space="preserve"> </w:t>
      </w:r>
      <w:r>
        <w:t xml:space="preserve">Additionally, we excluded therapy-associated signatures from mutational signature weight estimation in tumors collected prior to treatment (i.e. </w:t>
      </w:r>
      <w:r>
        <w:t xml:space="preserve">“</w:t>
      </w:r>
      <w:r>
        <w:t xml:space="preserve">Initial CNS Tumor</w:t>
      </w:r>
      <w:r>
        <w:t xml:space="preserve">”</w:t>
      </w:r>
      <w:r>
        <w:t xml:space="preserve"> </w:t>
      </w:r>
      <w:r>
        <w:t xml:space="preserve">or</w:t>
      </w:r>
      <w:r>
        <w:t xml:space="preserve"> </w:t>
      </w:r>
      <w:r>
        <w:t xml:space="preserve">“</w:t>
      </w:r>
      <w:r>
        <w:t xml:space="preserve">Primary Tumor</w:t>
      </w:r>
      <w:r>
        <w:t xml:space="preserve">”</w:t>
      </w:r>
      <w:r>
        <w:t xml:space="preserve">).</w:t>
      </w:r>
    </w:p>
    <w:bookmarkEnd w:id="289"/>
    <w:bookmarkStart w:id="294" w:name="X64f26fdb1f5c5cf72dcec70b59c95886e3b8304"/>
    <w:p>
      <w:pPr>
        <w:pStyle w:val="Heading4"/>
      </w:pPr>
      <w:r>
        <w:t xml:space="preserve">Tumor Mutation Burden [TMB] (</w:t>
      </w:r>
      <w:r>
        <w:rPr>
          <w:rStyle w:val="VerbatimChar"/>
        </w:rPr>
        <w:t xml:space="preserve">tmb-calculation</w:t>
      </w:r>
      <w:r>
        <w:t xml:space="preserve"> </w:t>
      </w:r>
      <w:r>
        <w:t xml:space="preserve">analysis module)</w:t>
      </w:r>
    </w:p>
    <w:p>
      <w:pPr>
        <w:pStyle w:val="FirstParagraph"/>
      </w:pPr>
      <w:r>
        <w:t xml:space="preserve">Recent clinical studies have associated high TMB with improved patient response rates and survival benefit from immune checkpoint inhibitors</w:t>
      </w:r>
      <w:r>
        <w:t xml:space="preserve"> </w:t>
      </w:r>
      <w:r>
        <w:t xml:space="preserve">[</w:t>
      </w:r>
      <w:hyperlink w:anchor="ref-1EbWJlH4p">
        <w:r>
          <w:rPr>
            <w:rStyle w:val="Hyperlink"/>
          </w:rPr>
          <w:t xml:space="preserve">30</w:t>
        </w:r>
      </w:hyperlink>
      <w:r>
        <w:t xml:space="preserve">]</w:t>
      </w:r>
      <w:r>
        <w:t xml:space="preserve">.</w:t>
      </w:r>
    </w:p>
    <w:p>
      <w:pPr>
        <w:pStyle w:val="BodyText"/>
      </w:pPr>
      <w:r>
        <w:t xml:space="preserve">The</w:t>
      </w:r>
      <w:r>
        <w:t xml:space="preserve"> </w:t>
      </w:r>
      <w:hyperlink r:id="rId290">
        <w:r>
          <w:rPr>
            <w:rStyle w:val="Hyperlink"/>
          </w:rPr>
          <w:t xml:space="preserve">Tumor Mutation Burden (TMB)</w:t>
        </w:r>
        <w:r>
          <w:rPr>
            <w:rStyle w:val="Hyperlink"/>
          </w:rPr>
          <w:t xml:space="preserve"> </w:t>
        </w:r>
        <w:r>
          <w:rPr>
            <w:rStyle w:val="VerbatimChar"/>
          </w:rPr>
          <w:t xml:space="preserve">tmb-calculation</w:t>
        </w:r>
      </w:hyperlink>
      <w:r>
        <w:t xml:space="preserve"> </w:t>
      </w:r>
      <w:r>
        <w:t xml:space="preserve">module was adapted from the</w:t>
      </w:r>
      <w:r>
        <w:t xml:space="preserve"> </w:t>
      </w:r>
      <w:hyperlink r:id="rId291">
        <w:r>
          <w:rPr>
            <w:rStyle w:val="VerbatimChar"/>
          </w:rPr>
          <w:t xml:space="preserve">snv-callers</w:t>
        </w:r>
        <w:r>
          <w:rPr>
            <w:rStyle w:val="Hyperlink"/>
          </w:rPr>
          <w:t xml:space="preserve"> </w:t>
        </w:r>
        <w:r>
          <w:rPr>
            <w:rStyle w:val="Hyperlink"/>
          </w:rPr>
          <w:t xml:space="preserve">module</w:t>
        </w:r>
      </w:hyperlink>
      <w:r>
        <w:t xml:space="preserve"> </w:t>
      </w:r>
      <w:r>
        <w:t xml:space="preserve">of the OpenPBTA project</w:t>
      </w:r>
      <w:r>
        <w:t xml:space="preserve"> </w:t>
      </w:r>
      <w:r>
        <w:t xml:space="preserve">[</w:t>
      </w:r>
      <w:hyperlink w:anchor="ref-5VXMHJ7N">
        <w:r>
          <w:rPr>
            <w:rStyle w:val="Hyperlink"/>
          </w:rPr>
          <w:t xml:space="preserve">1</w:t>
        </w:r>
      </w:hyperlink>
      <w:r>
        <w:t xml:space="preserve">]</w:t>
      </w:r>
      <w:r>
        <w:t xml:space="preserve">.</w:t>
      </w:r>
      <w:r>
        <w:t xml:space="preserve"> </w:t>
      </w:r>
      <w:r>
        <w:t xml:space="preserve">Here, we use mutations in the</w:t>
      </w:r>
      <w:r>
        <w:t xml:space="preserve"> </w:t>
      </w:r>
      <w:r>
        <w:rPr>
          <w:rStyle w:val="VerbatimChar"/>
        </w:rPr>
        <w:t xml:space="preserve">snv-consensus-plus-hotspots.maf.tsv.gz</w:t>
      </w:r>
      <w:r>
        <w:t xml:space="preserve"> </w:t>
      </w:r>
      <w:r>
        <w:t xml:space="preserve">file which is generated using</w:t>
      </w:r>
      <w:r>
        <w:t xml:space="preserve"> </w:t>
      </w:r>
      <w:hyperlink r:id="rId292">
        <w:r>
          <w:rPr>
            <w:rStyle w:val="Hyperlink"/>
          </w:rPr>
          <w:t xml:space="preserve">Kids First DRC Consensus Calling Workflow</w:t>
        </w:r>
      </w:hyperlink>
      <w:r>
        <w:t xml:space="preserve"> </w:t>
      </w:r>
      <w:r>
        <w:t xml:space="preserve">and is included in the OpenPedCan data download.</w:t>
      </w:r>
      <w:r>
        <w:t xml:space="preserve"> </w:t>
      </w:r>
      <w:r>
        <w:t xml:space="preserve">The consensus MAF contains SNVs or MNVs called in at least 2 of the 4 callers (Mutect2, Strelka2, Lancet, and Vardict) plus hotspot mutations if called in 1 of the 4 callers.</w:t>
      </w:r>
      <w:r>
        <w:t xml:space="preserve"> </w:t>
      </w:r>
      <w:r>
        <w:t xml:space="preserve">We calculated TMB for tumor samples sequenced with either WGS or WXS.</w:t>
      </w:r>
      <w:r>
        <w:t xml:space="preserve"> </w:t>
      </w:r>
      <w:r>
        <w:t xml:space="preserve">Briefly, we split the SNV consensus MAF into SNVs and multinucleotide variants (MNVs).</w:t>
      </w:r>
      <w:r>
        <w:t xml:space="preserve"> </w:t>
      </w:r>
      <w:r>
        <w:t xml:space="preserve">We split the MNV subset into SNV calls, merged those back with the SNVs subset, and then removed sample-specific redundant calls.</w:t>
      </w:r>
      <w:r>
        <w:t xml:space="preserve"> </w:t>
      </w:r>
      <w:r>
        <w:t xml:space="preserve">The resulting merged and non-redundant SNV consensus calls were used as input for the TMB calculation.</w:t>
      </w:r>
      <w:r>
        <w:t xml:space="preserve"> </w:t>
      </w:r>
      <w:r>
        <w:t xml:space="preserve">We tallied only nonsynonymous variants with classifications of high/moderate consequence (</w:t>
      </w:r>
      <w:r>
        <w:t xml:space="preserve">“</w:t>
      </w:r>
      <w:r>
        <w:t xml:space="preserve">Missense_Mutation</w:t>
      </w:r>
      <w:r>
        <w:t xml:space="preserve">”</w:t>
      </w:r>
      <w:r>
        <w:t xml:space="preserve">,</w:t>
      </w:r>
      <w:r>
        <w:t xml:space="preserve"> </w:t>
      </w:r>
      <w:r>
        <w:t xml:space="preserve">“</w:t>
      </w:r>
      <w:r>
        <w:t xml:space="preserve">Frame_Shift_Del</w:t>
      </w:r>
      <w:r>
        <w:t xml:space="preserve">”</w:t>
      </w:r>
      <w:r>
        <w:t xml:space="preserve">,</w:t>
      </w:r>
      <w:r>
        <w:t xml:space="preserve"> </w:t>
      </w:r>
      <w:r>
        <w:t xml:space="preserve">“</w:t>
      </w:r>
      <w:r>
        <w:t xml:space="preserve">In_Frame_Ins</w:t>
      </w:r>
      <w:r>
        <w:t xml:space="preserve">”</w:t>
      </w:r>
      <w:r>
        <w:t xml:space="preserve">,</w:t>
      </w:r>
      <w:r>
        <w:t xml:space="preserve"> </w:t>
      </w:r>
      <w:r>
        <w:t xml:space="preserve">“</w:t>
      </w:r>
      <w:r>
        <w:t xml:space="preserve">Frame_Shift_Ins</w:t>
      </w:r>
      <w:r>
        <w:t xml:space="preserve">”</w:t>
      </w:r>
      <w:r>
        <w:t xml:space="preserve">,</w:t>
      </w:r>
      <w:r>
        <w:t xml:space="preserve"> </w:t>
      </w:r>
      <w:r>
        <w:t xml:space="preserve">“</w:t>
      </w:r>
      <w:r>
        <w:t xml:space="preserve">Splice_Site</w:t>
      </w:r>
      <w:r>
        <w:t xml:space="preserve">”</w:t>
      </w:r>
      <w:r>
        <w:t xml:space="preserve">,</w:t>
      </w:r>
      <w:r>
        <w:t xml:space="preserve"> </w:t>
      </w:r>
      <w:r>
        <w:t xml:space="preserve">“</w:t>
      </w:r>
      <w:r>
        <w:t xml:space="preserve">Nonsense_Mutation</w:t>
      </w:r>
      <w:r>
        <w:t xml:space="preserve">”</w:t>
      </w:r>
      <w:r>
        <w:t xml:space="preserve">,</w:t>
      </w:r>
      <w:r>
        <w:t xml:space="preserve"> </w:t>
      </w:r>
      <w:r>
        <w:t xml:space="preserve">“</w:t>
      </w:r>
      <w:r>
        <w:t xml:space="preserve">In_Frame_Del</w:t>
      </w:r>
      <w:r>
        <w:t xml:space="preserve">”</w:t>
      </w:r>
      <w:r>
        <w:t xml:space="preserve">,</w:t>
      </w:r>
      <w:r>
        <w:t xml:space="preserve"> </w:t>
      </w:r>
      <w:r>
        <w:t xml:space="preserve">“</w:t>
      </w:r>
      <w:r>
        <w:t xml:space="preserve">Nonstop_Mutation</w:t>
      </w:r>
      <w:r>
        <w:t xml:space="preserve">”</w:t>
      </w:r>
      <w:r>
        <w:t xml:space="preserve">, and</w:t>
      </w:r>
      <w:r>
        <w:t xml:space="preserve"> </w:t>
      </w:r>
      <w:r>
        <w:t xml:space="preserve">“</w:t>
      </w:r>
      <w:r>
        <w:t xml:space="preserve">Translation_Start_Site</w:t>
      </w:r>
      <w:r>
        <w:t xml:space="preserve">”</w:t>
      </w:r>
      <w:r>
        <w:t xml:space="preserve">) for the numerator.</w:t>
      </w:r>
      <w:r>
        <w:t xml:space="preserve"> </w:t>
      </w:r>
      <w:r>
        <w:t xml:space="preserve">All BED files are provided in the data release.</w:t>
      </w:r>
    </w:p>
    <w:p>
      <w:pPr>
        <w:pStyle w:val="BodyText"/>
      </w:pPr>
      <w:r>
        <w:rPr>
          <w:bCs/>
          <w:b/>
        </w:rPr>
        <w:t xml:space="preserve">All mutation TMB</w:t>
      </w:r>
    </w:p>
    <w:p>
      <w:pPr>
        <w:pStyle w:val="BodyText"/>
      </w:pPr>
      <w:r>
        <w:t xml:space="preserve">For WGS samples, we calculated the size of the genome covered as the intersection of Strelka2 and Mutect2’s effectively surveyed areas, regions common to all variant callers, and used this as the denominator.</w:t>
      </w:r>
      <w:r>
        <w:t xml:space="preserve"> </w:t>
      </w:r>
      <w:r>
        <w:rPr>
          <w:rStyle w:val="VerbatimChar"/>
        </w:rPr>
        <w:t xml:space="preserve">WGS_all_mutations_TMB = (total # mutations in consensus MAF) / intersection_strelka_mutect_vardict_genome_size</w:t>
      </w:r>
      <w:r>
        <w:t xml:space="preserve"> </w:t>
      </w:r>
      <w:r>
        <w:t xml:space="preserve">For WXS samples, we used the size of the WXS bed region file as the denominator.</w:t>
      </w:r>
      <w:r>
        <w:t xml:space="preserve"> </w:t>
      </w:r>
      <w:r>
        <w:rPr>
          <w:rStyle w:val="VerbatimChar"/>
        </w:rPr>
        <w:t xml:space="preserve">WXS_all_mutations_TMB = (total # mutations in consensus MAF)) / wxs_genome_size</w:t>
      </w:r>
    </w:p>
    <w:p>
      <w:pPr>
        <w:pStyle w:val="BodyText"/>
      </w:pPr>
      <w:r>
        <w:rPr>
          <w:bCs/>
          <w:b/>
        </w:rPr>
        <w:t xml:space="preserve">Coding only TMB</w:t>
      </w:r>
    </w:p>
    <w:p>
      <w:pPr>
        <w:pStyle w:val="BodyText"/>
      </w:pPr>
      <w:r>
        <w:t xml:space="preserve">We generated coding only TMB from the consensus MAF as well.</w:t>
      </w:r>
      <w:r>
        <w:t xml:space="preserve"> </w:t>
      </w:r>
      <w:r>
        <w:t xml:space="preserve">We calculated the intersection for Strelka2 and Mutect2 surveyed regions using the coding sequence ranges in the GENCODE v39 gtf supplied in the OpenPedCan data download.</w:t>
      </w:r>
      <w:r>
        <w:t xml:space="preserve"> </w:t>
      </w:r>
      <w:r>
        <w:t xml:space="preserve">We removed SNVs outside of these coding sequences prior to implementing the TMB calculation below:</w:t>
      </w:r>
      <w:r>
        <w:t xml:space="preserve"> </w:t>
      </w:r>
      <w:r>
        <w:rPr>
          <w:rStyle w:val="VerbatimChar"/>
        </w:rPr>
        <w:t xml:space="preserve">WGS_coding_only_TMB = (total # coding mutations in consensus MAF) / intersection_wgs_strelka_mutect_vardict_CDS_genome_size</w:t>
      </w:r>
      <w:r>
        <w:t xml:space="preserve"> </w:t>
      </w:r>
      <w:r>
        <w:t xml:space="preserve">For WXS samples, we intersected each WXS bed region file with the GENCODE v39 coding sequence, sum only variants within this region for the numerator, and calculate the size of this region as the denominator.</w:t>
      </w:r>
      <w:r>
        <w:t xml:space="preserve"> </w:t>
      </w:r>
      <w:r>
        <w:rPr>
          <w:rStyle w:val="VerbatimChar"/>
        </w:rPr>
        <w:t xml:space="preserve">WXS_coding_only_TMB = (total # coding mutations in consensus MAF) / intersection_wxs_CDS_genome_size</w:t>
      </w:r>
    </w:p>
    <w:p>
      <w:pPr>
        <w:pStyle w:val="BodyText"/>
      </w:pPr>
      <w:r>
        <w:t xml:space="preserve">Finally, we include an option (</w:t>
      </w:r>
      <w:r>
        <w:rPr>
          <w:rStyle w:val="VerbatimChar"/>
        </w:rPr>
        <w:t xml:space="preserve">nonsynfilter_focr</w:t>
      </w:r>
      <w:r>
        <w:t xml:space="preserve">) to use specific nonsynonymous mutation variant classifications recommended from the</w:t>
      </w:r>
      <w:r>
        <w:t xml:space="preserve"> </w:t>
      </w:r>
      <w:hyperlink r:id="rId293">
        <w:r>
          <w:rPr>
            <w:rStyle w:val="Hyperlink"/>
          </w:rPr>
          <w:t xml:space="preserve">TMB Harmonization Project</w:t>
        </w:r>
      </w:hyperlink>
      <w:r>
        <w:t xml:space="preserve">.</w:t>
      </w:r>
    </w:p>
    <w:bookmarkEnd w:id="294"/>
    <w:bookmarkStart w:id="300" w:name="molecular-subtyping"/>
    <w:p>
      <w:pPr>
        <w:pStyle w:val="Heading4"/>
      </w:pPr>
      <w:r>
        <w:t xml:space="preserve">Molecular Subtyping</w:t>
      </w:r>
    </w:p>
    <w:p>
      <w:pPr>
        <w:pStyle w:val="FirstParagraph"/>
      </w:pPr>
      <w:r>
        <w:t xml:space="preserve">Here, we build upon the molecular subtyping performed in OpenPBTA</w:t>
      </w:r>
      <w:r>
        <w:t xml:space="preserve"> </w:t>
      </w:r>
      <w:r>
        <w:t xml:space="preserve">[</w:t>
      </w:r>
      <w:hyperlink w:anchor="ref-5VXMHJ7N">
        <w:r>
          <w:rPr>
            <w:rStyle w:val="Hyperlink"/>
          </w:rPr>
          <w:t xml:space="preserve">1</w:t>
        </w:r>
      </w:hyperlink>
      <w:r>
        <w:t xml:space="preserve">]</w:t>
      </w:r>
      <w:r>
        <w:t xml:space="preserve"> </w:t>
      </w:r>
      <w:r>
        <w:t xml:space="preserve">to align with WHO 2021 subtypes</w:t>
      </w:r>
      <w:r>
        <w:t xml:space="preserve"> </w:t>
      </w:r>
      <w:r>
        <w:t xml:space="preserve">[</w:t>
      </w:r>
      <w:hyperlink w:anchor="ref-6F5vK3sT">
        <w:r>
          <w:rPr>
            <w:rStyle w:val="Hyperlink"/>
          </w:rPr>
          <w:t xml:space="preserve">31</w:t>
        </w:r>
      </w:hyperlink>
      <w:r>
        <w:t xml:space="preserve">]</w:t>
      </w:r>
      <w:r>
        <w:t xml:space="preserve">.</w:t>
      </w:r>
      <w:r>
        <w:t xml:space="preserve"> </w:t>
      </w:r>
      <w:r>
        <w:t xml:space="preserve">Molecular subtypes were generated per tumor event and are listed for each biospecimen in</w:t>
      </w:r>
      <w:r>
        <w:t xml:space="preserve"> </w:t>
      </w:r>
      <w:hyperlink r:id="rId228">
        <w:r>
          <w:rPr>
            <w:rStyle w:val="Hyperlink"/>
            <w:bCs/>
            <w:b/>
          </w:rPr>
          <w:t xml:space="preserve">Supplemental Table S1</w:t>
        </w:r>
      </w:hyperlink>
      <w:r>
        <w:t xml:space="preserve">, with the number of tumors grouped by broad histology and molecular subtype in</w:t>
      </w:r>
      <w:r>
        <w:t xml:space="preserve"> </w:t>
      </w:r>
      <w:hyperlink r:id="rId295">
        <w:r>
          <w:rPr>
            <w:rStyle w:val="Hyperlink"/>
            <w:bCs/>
            <w:b/>
          </w:rPr>
          <w:t xml:space="preserve">Supplemental Table S2</w:t>
        </w:r>
      </w:hyperlink>
      <w:r>
        <w:t xml:space="preserve">.</w:t>
      </w:r>
    </w:p>
    <w:p>
      <w:pPr>
        <w:pStyle w:val="BodyText"/>
      </w:pPr>
      <w:r>
        <w:rPr>
          <w:bCs/>
          <w:b/>
        </w:rPr>
        <w:t xml:space="preserve">High-grade gliomas</w:t>
      </w:r>
    </w:p>
    <w:p>
      <w:pPr>
        <w:pStyle w:val="BodyText"/>
      </w:pPr>
      <w:r>
        <w:t xml:space="preserve">High-grade gliomas (HGG) were categorized based on a combination of clinical information, molecular features, and DNA methylation data.</w:t>
      </w:r>
      <w:r>
        <w:t xml:space="preserve"> </w:t>
      </w:r>
      <w:r>
        <w:t xml:space="preserve">H3 K28-altered diffuse midline gliomas (DMG) were classified based on the presence of a p.K28M or p.K28I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a high-confidence DKFZ methylation score (&gt;=0.8) in the appropriate subclass.</w:t>
      </w:r>
      <w:r>
        <w:t xml:space="preserve"> </w:t>
      </w:r>
      <w:r>
        <w:t xml:space="preserve">Oligodendroglioma, IDH-mutant tumors were classified based on high-confidence</w:t>
      </w:r>
      <w:r>
        <w:t xml:space="preserve"> </w:t>
      </w:r>
      <w:r>
        <w:t xml:space="preserve">“</w:t>
      </w:r>
      <w:r>
        <w:t xml:space="preserve">O_IDH</w:t>
      </w:r>
      <w:r>
        <w:t xml:space="preserve">”</w:t>
      </w:r>
      <w:r>
        <w:t xml:space="preserve"> </w:t>
      </w:r>
      <w:r>
        <w:t xml:space="preserve">methylation classifications, and oligosarcoma, IDH-mutant tumors were defined as those with high-confidence</w:t>
      </w:r>
      <w:r>
        <w:t xml:space="preserve"> </w:t>
      </w:r>
      <w:r>
        <w:t xml:space="preserve">“</w:t>
      </w:r>
      <w:r>
        <w:t xml:space="preserve">OLIGOSARC_IDH</w:t>
      </w:r>
      <w:r>
        <w:t xml:space="preserve">”</w:t>
      </w:r>
      <w:r>
        <w:t xml:space="preserve"> </w:t>
      </w:r>
      <w:r>
        <w:t xml:space="preserve">methylation classifications.</w:t>
      </w:r>
      <w:r>
        <w:t xml:space="preserve"> </w:t>
      </w:r>
      <w:r>
        <w:t xml:space="preserve">Pleomorphic xanthoastrocytomas (PXA) were classified using the following criteria: 1) methylation subtype is high-confidence</w:t>
      </w:r>
      <w:r>
        <w:t xml:space="preserve"> </w:t>
      </w:r>
      <w:r>
        <w:t xml:space="preserve">“</w:t>
      </w:r>
      <w:r>
        <w:t xml:space="preserve">PXA</w:t>
      </w:r>
      <w:r>
        <w:t xml:space="preserve">”</w:t>
      </w:r>
      <w:r>
        <w:t xml:space="preserve"> </w:t>
      </w:r>
      <w:r>
        <w:t xml:space="preserve">or</w:t>
      </w:r>
      <w:r>
        <w:t xml:space="preserve"> </w:t>
      </w:r>
      <w:r>
        <w:rPr>
          <w:rStyle w:val="VerbatimChar"/>
        </w:rPr>
        <w:t xml:space="preserve">pathology_free_text_diagnosis</w:t>
      </w:r>
      <w:r>
        <w:t xml:space="preserve"> </w:t>
      </w:r>
      <w:r>
        <w:t xml:space="preserve">contains</w:t>
      </w:r>
      <w:r>
        <w:t xml:space="preserve"> </w:t>
      </w:r>
      <w:r>
        <w:t xml:space="preserve">“</w:t>
      </w:r>
      <w:r>
        <w:t xml:space="preserve">pleomorphic xanthoastrocytoma</w:t>
      </w:r>
      <w:r>
        <w:t xml:space="preserve">”</w:t>
      </w:r>
      <w:r>
        <w:t xml:space="preserve"> </w:t>
      </w:r>
      <w:r>
        <w:t xml:space="preserve">or</w:t>
      </w:r>
      <w:r>
        <w:t xml:space="preserve"> </w:t>
      </w:r>
      <w:r>
        <w:t xml:space="preserve">“</w:t>
      </w:r>
      <w:r>
        <w:t xml:space="preserve">pxa</w:t>
      </w:r>
      <w:r>
        <w:t xml:space="preserve">”</w:t>
      </w:r>
      <w:r>
        <w:t xml:space="preserve">, and 2) tumor contains a BRAF V600E mutation and a</w:t>
      </w:r>
      <w:r>
        <w:t xml:space="preserve"> </w:t>
      </w:r>
      <w:r>
        <w:rPr>
          <w:iCs/>
          <w:i/>
        </w:rPr>
        <w:t xml:space="preserve">CDKN2A</w:t>
      </w:r>
      <w:r>
        <w:t xml:space="preserve"> </w:t>
      </w:r>
      <w:r>
        <w:t xml:space="preserve">or</w:t>
      </w:r>
      <w:r>
        <w:t xml:space="preserve"> </w:t>
      </w:r>
      <w:r>
        <w:rPr>
          <w:iCs/>
          <w:i/>
        </w:rPr>
        <w:t xml:space="preserve">CDKN2B</w:t>
      </w:r>
      <w:r>
        <w:t xml:space="preserve"> </w:t>
      </w:r>
      <w:r>
        <w:t xml:space="preserve">homozygous deletion.</w:t>
      </w:r>
      <w:r>
        <w:t xml:space="preserve"> </w:t>
      </w:r>
      <w:r>
        <w:t xml:space="preserve">Methylation classifications were used in classifying the following subtypes:</w:t>
      </w:r>
    </w:p>
    <w:p>
      <w:pPr>
        <w:numPr>
          <w:ilvl w:val="0"/>
          <w:numId w:val="1003"/>
        </w:numPr>
        <w:pStyle w:val="Compact"/>
      </w:pPr>
      <w:r>
        <w:t xml:space="preserve">DHG, H3 G35 (</w:t>
      </w:r>
      <w:r>
        <w:t xml:space="preserve">“</w:t>
      </w:r>
      <w:r>
        <w:t xml:space="preserve">DHG_G34</w:t>
      </w:r>
      <w:r>
        <w:t xml:space="preserve">”</w:t>
      </w:r>
      <w:r>
        <w:t xml:space="preserve"> </w:t>
      </w:r>
      <w:r>
        <w:t xml:space="preserve">and</w:t>
      </w:r>
      <w:r>
        <w:t xml:space="preserve"> </w:t>
      </w:r>
      <w:r>
        <w:t xml:space="preserve">“</w:t>
      </w:r>
      <w:r>
        <w:t xml:space="preserve">GBM_G34</w:t>
      </w:r>
      <w:r>
        <w:t xml:space="preserve">”</w:t>
      </w:r>
      <w:r>
        <w:t xml:space="preserve"> </w:t>
      </w:r>
      <w:r>
        <w:t xml:space="preserve">classifications)</w:t>
      </w:r>
    </w:p>
    <w:p>
      <w:pPr>
        <w:numPr>
          <w:ilvl w:val="0"/>
          <w:numId w:val="1003"/>
        </w:numPr>
        <w:pStyle w:val="Compact"/>
      </w:pPr>
      <w:r>
        <w:t xml:space="preserve">HGG, IDH (</w:t>
      </w:r>
      <w:r>
        <w:t xml:space="preserve">“</w:t>
      </w:r>
      <w:r>
        <w:t xml:space="preserve">A_IDH_HG</w:t>
      </w:r>
      <w:r>
        <w:t xml:space="preserve">”</w:t>
      </w:r>
      <w:r>
        <w:t xml:space="preserve"> </w:t>
      </w:r>
      <w:r>
        <w:t xml:space="preserve">and</w:t>
      </w:r>
      <w:r>
        <w:t xml:space="preserve"> </w:t>
      </w:r>
      <w:r>
        <w:t xml:space="preserve">“</w:t>
      </w:r>
      <w:r>
        <w:t xml:space="preserve">GBM_IDH</w:t>
      </w:r>
      <w:r>
        <w:t xml:space="preserve">”</w:t>
      </w:r>
      <w:r>
        <w:t xml:space="preserve"> </w:t>
      </w:r>
      <w:r>
        <w:t xml:space="preserve">classifications)</w:t>
      </w:r>
    </w:p>
    <w:p>
      <w:pPr>
        <w:numPr>
          <w:ilvl w:val="0"/>
          <w:numId w:val="1003"/>
        </w:numPr>
        <w:pStyle w:val="Compact"/>
      </w:pPr>
      <w:r>
        <w:t xml:space="preserve">HGG, H3 wild type (methylation classification contains</w:t>
      </w:r>
      <w:r>
        <w:t xml:space="preserve"> </w:t>
      </w:r>
      <w:r>
        <w:t xml:space="preserve">“</w:t>
      </w:r>
      <w:r>
        <w:t xml:space="preserve">GBM_MES</w:t>
      </w:r>
      <w:r>
        <w:t xml:space="preserve">”</w:t>
      </w:r>
      <w:r>
        <w:t xml:space="preserve">,</w:t>
      </w:r>
      <w:r>
        <w:t xml:space="preserve"> </w:t>
      </w:r>
      <w:r>
        <w:t xml:space="preserve">“</w:t>
      </w:r>
      <w:r>
        <w:t xml:space="preserve">GBM_RTK</w:t>
      </w:r>
      <w:r>
        <w:t xml:space="preserve">”</w:t>
      </w:r>
      <w:r>
        <w:t xml:space="preserve">,</w:t>
      </w:r>
      <w:r>
        <w:t xml:space="preserve"> </w:t>
      </w:r>
      <w:r>
        <w:t xml:space="preserve">“</w:t>
      </w:r>
      <w:r>
        <w:t xml:space="preserve">HGG_</w:t>
      </w:r>
      <w:r>
        <w:t xml:space="preserve">”</w:t>
      </w:r>
      <w:r>
        <w:t xml:space="preserve">,</w:t>
      </w:r>
      <w:r>
        <w:t xml:space="preserve"> </w:t>
      </w:r>
      <w:r>
        <w:t xml:space="preserve">“</w:t>
      </w:r>
      <w:r>
        <w:t xml:space="preserve">HGAP</w:t>
      </w:r>
      <w:r>
        <w:t xml:space="preserve">”</w:t>
      </w:r>
      <w:r>
        <w:t xml:space="preserve">,</w:t>
      </w:r>
      <w:r>
        <w:t xml:space="preserve"> </w:t>
      </w:r>
      <w:r>
        <w:t xml:space="preserve">“</w:t>
      </w:r>
      <w:r>
        <w:t xml:space="preserve">AAP</w:t>
      </w:r>
      <w:r>
        <w:t xml:space="preserve">”</w:t>
      </w:r>
      <w:r>
        <w:t xml:space="preserve">, or</w:t>
      </w:r>
      <w:r>
        <w:t xml:space="preserve"> </w:t>
      </w:r>
      <w:r>
        <w:t xml:space="preserve">“</w:t>
      </w:r>
      <w:r>
        <w:t xml:space="preserve">ped_</w:t>
      </w:r>
      <w:r>
        <w:t xml:space="preserve">”</w:t>
      </w:r>
      <w:r>
        <w:t xml:space="preserve">)</w:t>
      </w:r>
    </w:p>
    <w:p>
      <w:pPr>
        <w:pStyle w:val="FirstParagraph"/>
      </w:pPr>
      <w:r>
        <w:t xml:space="preserve">A new high-grade glioma entity called infant-type hemispheric gliomas (IHGs), characterized by distinct gene fusions enriched in receptor tyrosine kinase (RTK) genes including</w:t>
      </w:r>
      <w:r>
        <w:t xml:space="preserve"> </w:t>
      </w:r>
      <w:r>
        <w:rPr>
          <w:iCs/>
          <w:i/>
        </w:rPr>
        <w:t xml:space="preserve">ALK</w:t>
      </w:r>
      <w:r>
        <w:t xml:space="preserve">,</w:t>
      </w:r>
      <w:r>
        <w:t xml:space="preserve"> </w:t>
      </w:r>
      <w:r>
        <w:rPr>
          <w:iCs/>
          <w:i/>
        </w:rPr>
        <w:t xml:space="preserve">NTRK1/2/3</w:t>
      </w:r>
      <w:r>
        <w:t xml:space="preserve">,</w:t>
      </w:r>
      <w:r>
        <w:t xml:space="preserve"> </w:t>
      </w:r>
      <w:r>
        <w:rPr>
          <w:iCs/>
          <w:i/>
        </w:rPr>
        <w:t xml:space="preserve">ROS1</w:t>
      </w:r>
      <w:r>
        <w:t xml:space="preserve"> </w:t>
      </w:r>
      <w:r>
        <w:t xml:space="preserve">or</w:t>
      </w:r>
      <w:r>
        <w:t xml:space="preserve"> </w:t>
      </w:r>
      <w:r>
        <w:rPr>
          <w:iCs/>
          <w:i/>
        </w:rPr>
        <w:t xml:space="preserve">MET</w:t>
      </w:r>
      <w:r>
        <w:t xml:space="preserve">, was identified in 2021</w:t>
      </w:r>
      <w:r>
        <w:t xml:space="preserve"> </w:t>
      </w:r>
      <w:r>
        <w:t xml:space="preserve">[</w:t>
      </w:r>
      <w:hyperlink w:anchor="ref-gaCrHroW">
        <w:r>
          <w:rPr>
            <w:rStyle w:val="Hyperlink"/>
          </w:rPr>
          <w:t xml:space="preserve">32</w:t>
        </w:r>
      </w:hyperlink>
      <w:r>
        <w:t xml:space="preserve">]</w:t>
      </w:r>
      <w:r>
        <w:t xml:space="preserve">.</w:t>
      </w:r>
      <w:r>
        <w:t xml:space="preserve"> </w:t>
      </w:r>
      <w:r>
        <w:t xml:space="preserve">To identify IHG tumors, first, tumors which were classified as</w:t>
      </w:r>
      <w:r>
        <w:t xml:space="preserve"> </w:t>
      </w:r>
      <w:r>
        <w:t xml:space="preserve">“</w:t>
      </w:r>
      <w:r>
        <w:t xml:space="preserve">IHG</w:t>
      </w:r>
      <w:r>
        <w:t xml:space="preserve">”</w:t>
      </w:r>
      <w:r>
        <w:t xml:space="preserve"> </w:t>
      </w:r>
      <w:r>
        <w:t xml:space="preserve">by the DKFZ methylation classifier or diagnosed as</w:t>
      </w:r>
      <w:r>
        <w:t xml:space="preserve"> </w:t>
      </w:r>
      <w:r>
        <w:t xml:space="preserve">“</w:t>
      </w:r>
      <w:r>
        <w:t xml:space="preserve">infant type hemispheric glioma</w:t>
      </w:r>
      <w:r>
        <w:t xml:space="preserve">”</w:t>
      </w:r>
      <w:r>
        <w:t xml:space="preserve"> </w:t>
      </w:r>
      <w:r>
        <w:t xml:space="preserve">from</w:t>
      </w:r>
      <w:r>
        <w:t xml:space="preserve"> </w:t>
      </w:r>
      <w:r>
        <w:rPr>
          <w:rStyle w:val="VerbatimChar"/>
        </w:rPr>
        <w:t xml:space="preserve">pathology_free_text_diagnosis</w:t>
      </w:r>
      <w:r>
        <w:t xml:space="preserve"> </w:t>
      </w:r>
      <w:r>
        <w:t xml:space="preserve">were selected</w:t>
      </w:r>
      <w:r>
        <w:t xml:space="preserve"> </w:t>
      </w:r>
      <w:r>
        <w:t xml:space="preserve">[</w:t>
      </w:r>
      <w:hyperlink w:anchor="ref-19a3Xf4h3">
        <w:r>
          <w:rPr>
            <w:rStyle w:val="Hyperlink"/>
          </w:rPr>
          <w:t xml:space="preserve">18</w:t>
        </w:r>
      </w:hyperlink>
      <w:r>
        <w:t xml:space="preserve">]</w:t>
      </w:r>
      <w:r>
        <w:t xml:space="preserve">.</w:t>
      </w:r>
      <w:r>
        <w:t xml:space="preserve"> </w:t>
      </w:r>
      <w:r>
        <w:t xml:space="preserve">Then, the corresponding tumor RNA-seq data were utilized to seek the evidence for RTK gene fusion.</w:t>
      </w:r>
      <w:r>
        <w:t xml:space="preserve"> </w:t>
      </w:r>
      <w:r>
        <w:t xml:space="preserve">Based on the specific RTK gene fusion present in the samples, IHGs were further classified as</w:t>
      </w:r>
      <w:r>
        <w:t xml:space="preserve"> </w:t>
      </w:r>
      <w:r>
        <w:t xml:space="preserve">“</w:t>
      </w:r>
      <w:r>
        <w:t xml:space="preserve">IHG, ALK-altered</w:t>
      </w:r>
      <w:r>
        <w:t xml:space="preserve">”</w:t>
      </w:r>
      <w:r>
        <w:t xml:space="preserve">,</w:t>
      </w:r>
      <w:r>
        <w:t xml:space="preserve"> </w:t>
      </w:r>
      <w:r>
        <w:t xml:space="preserve">“</w:t>
      </w:r>
      <w:r>
        <w:t xml:space="preserve">IHG, NTRK-altered</w:t>
      </w:r>
      <w:r>
        <w:t xml:space="preserve">”</w:t>
      </w:r>
      <w:r>
        <w:t xml:space="preserve">,</w:t>
      </w:r>
      <w:r>
        <w:t xml:space="preserve"> </w:t>
      </w:r>
      <w:r>
        <w:t xml:space="preserve">“</w:t>
      </w:r>
      <w:r>
        <w:t xml:space="preserve">IHG, ROS1-altered</w:t>
      </w:r>
      <w:r>
        <w:t xml:space="preserve">”</w:t>
      </w:r>
      <w:r>
        <w:t xml:space="preserve">, or</w:t>
      </w:r>
      <w:r>
        <w:t xml:space="preserve"> </w:t>
      </w:r>
      <w:r>
        <w:t xml:space="preserve">“</w:t>
      </w:r>
      <w:r>
        <w:t xml:space="preserve">IHG, MET-altered</w:t>
      </w:r>
      <w:r>
        <w:t xml:space="preserve">”</w:t>
      </w:r>
      <w:r>
        <w:t xml:space="preserve">.</w:t>
      </w:r>
      <w:r>
        <w:t xml:space="preserve"> </w:t>
      </w:r>
      <w:r>
        <w:t xml:space="preserve">If no fusion was observed, the samples were identified as</w:t>
      </w:r>
      <w:r>
        <w:t xml:space="preserve"> </w:t>
      </w:r>
      <w:r>
        <w:t xml:space="preserve">“</w:t>
      </w:r>
      <w:r>
        <w:t xml:space="preserve">IHG, To be classified</w:t>
      </w:r>
      <w:r>
        <w:t xml:space="preserve">”</w:t>
      </w:r>
      <w:r>
        <w:t xml:space="preserve">.</w:t>
      </w:r>
    </w:p>
    <w:p>
      <w:pPr>
        <w:pStyle w:val="BodyText"/>
      </w:pPr>
      <w:r>
        <w:rPr>
          <w:bCs/>
          <w:b/>
        </w:rPr>
        <w:t xml:space="preserve">Atypical teratoid rhabdoid tumors</w:t>
      </w:r>
    </w:p>
    <w:p>
      <w:pPr>
        <w:pStyle w:val="BodyText"/>
      </w:pPr>
      <w:r>
        <w:t xml:space="preserve">Atypical teratoid rhabdoid tumors (ATRT) tumors were categorized into three subtypes:</w:t>
      </w:r>
      <w:r>
        <w:t xml:space="preserve"> </w:t>
      </w:r>
      <w:r>
        <w:t xml:space="preserve">“</w:t>
      </w:r>
      <w:r>
        <w:t xml:space="preserve">ATRT, MYC</w:t>
      </w:r>
      <w:r>
        <w:t xml:space="preserve">”</w:t>
      </w:r>
      <w:r>
        <w:t xml:space="preserve">,</w:t>
      </w:r>
      <w:r>
        <w:t xml:space="preserve"> </w:t>
      </w:r>
      <w:r>
        <w:t xml:space="preserve">“</w:t>
      </w:r>
      <w:r>
        <w:t xml:space="preserve">ATRT, SHH</w:t>
      </w:r>
      <w:r>
        <w:t xml:space="preserve">”</w:t>
      </w:r>
      <w:r>
        <w:t xml:space="preserve">, and</w:t>
      </w:r>
      <w:r>
        <w:t xml:space="preserve"> </w:t>
      </w:r>
      <w:r>
        <w:t xml:space="preserve">“</w:t>
      </w:r>
      <w:r>
        <w:t xml:space="preserve">ATRT, TYR</w:t>
      </w:r>
      <w:r>
        <w:t xml:space="preserve">”</w:t>
      </w:r>
      <w:r>
        <w:t xml:space="preserve"> </w:t>
      </w:r>
      <w:r>
        <w:t xml:space="preserve">[</w:t>
      </w:r>
      <w:hyperlink w:anchor="ref-5NHLHVO3">
        <w:r>
          <w:rPr>
            <w:rStyle w:val="Hyperlink"/>
          </w:rPr>
          <w:t xml:space="preserve">33</w:t>
        </w:r>
      </w:hyperlink>
      <w:r>
        <w:t xml:space="preserve">]</w:t>
      </w:r>
      <w:r>
        <w:t xml:space="preserve">.</w:t>
      </w:r>
      <w:r>
        <w:t xml:space="preserve"> </w:t>
      </w:r>
      <w:r>
        <w:t xml:space="preserve">In OpenPedCan, the molecular subtyping of ATRT was based solely on the DNA methylation data.</w:t>
      </w:r>
      <w:r>
        <w:t xml:space="preserve"> </w:t>
      </w:r>
      <w:r>
        <w:t xml:space="preserve">Briefly, ATRT samples with a high confidence DKFZ methylation subclass score (&gt;= 0.8) were selected and subtypes were assigned based on the DKFZ methylation subclass</w:t>
      </w:r>
      <w:r>
        <w:t xml:space="preserve"> </w:t>
      </w:r>
      <w:r>
        <w:t xml:space="preserve">[</w:t>
      </w:r>
      <w:hyperlink w:anchor="ref-19a3Xf4h3">
        <w:r>
          <w:rPr>
            <w:rStyle w:val="Hyperlink"/>
          </w:rPr>
          <w:t xml:space="preserve">18</w:t>
        </w:r>
      </w:hyperlink>
      <w:r>
        <w:t xml:space="preserve">]</w:t>
      </w:r>
      <w:r>
        <w:t xml:space="preserve">.</w:t>
      </w:r>
      <w:r>
        <w:t xml:space="preserve"> </w:t>
      </w:r>
      <w:r>
        <w:t xml:space="preserve">Samples with low confidence DKFZ methylation subclass scores (&lt; 0.8) were identified as</w:t>
      </w:r>
      <w:r>
        <w:t xml:space="preserve"> </w:t>
      </w:r>
      <w:r>
        <w:t xml:space="preserve">“</w:t>
      </w:r>
      <w:r>
        <w:t xml:space="preserve">ATRT, To be classified</w:t>
      </w:r>
      <w:r>
        <w:t xml:space="preserve">”</w:t>
      </w:r>
      <w:r>
        <w:t xml:space="preserve">.</w:t>
      </w:r>
    </w:p>
    <w:p>
      <w:pPr>
        <w:pStyle w:val="BodyText"/>
      </w:pPr>
      <w:r>
        <w:rPr>
          <w:bCs/>
          <w:b/>
        </w:rPr>
        <w:t xml:space="preserve">Neuroblastoma tumors</w:t>
      </w:r>
    </w:p>
    <w:p>
      <w:pPr>
        <w:pStyle w:val="BodyText"/>
      </w:pPr>
      <w:r>
        <w:t xml:space="preserve">Neuroblastoma (NBL) tumors with a pathology diagnosis of neuroblastoma, ganglioneuroblastoma, or ganglioneuroma were subtyped based on their MYCN copy number status as either</w:t>
      </w:r>
      <w:r>
        <w:t xml:space="preserve"> </w:t>
      </w:r>
      <w:r>
        <w:t xml:space="preserve">“</w:t>
      </w:r>
      <w:r>
        <w:t xml:space="preserve">NBL, MYCN amplified</w:t>
      </w:r>
      <w:r>
        <w:t xml:space="preserve">”</w:t>
      </w:r>
      <w:r>
        <w:t xml:space="preserve"> </w:t>
      </w:r>
      <w:r>
        <w:t xml:space="preserve">or</w:t>
      </w:r>
      <w:r>
        <w:t xml:space="preserve"> </w:t>
      </w:r>
      <w:r>
        <w:t xml:space="preserve">“</w:t>
      </w:r>
      <w:r>
        <w:t xml:space="preserve">NBL, MYCN non-amplified</w:t>
      </w:r>
      <w:r>
        <w:t xml:space="preserve">”</w:t>
      </w:r>
      <w:r>
        <w:t xml:space="preserve">.</w:t>
      </w:r>
      <w:r>
        <w:t xml:space="preserve"> </w:t>
      </w:r>
      <w:r>
        <w:t xml:space="preserve">If</w:t>
      </w:r>
      <w:r>
        <w:t xml:space="preserve"> </w:t>
      </w:r>
      <w:r>
        <w:rPr>
          <w:rStyle w:val="VerbatimChar"/>
        </w:rPr>
        <w:t xml:space="preserve">pathology_free_text_diagnosis</w:t>
      </w:r>
      <w:r>
        <w:t xml:space="preserve"> </w:t>
      </w:r>
      <w:r>
        <w:t xml:space="preserve">was</w:t>
      </w:r>
      <w:r>
        <w:t xml:space="preserve"> </w:t>
      </w:r>
      <w:r>
        <w:t xml:space="preserve">“</w:t>
      </w:r>
      <w:r>
        <w:t xml:space="preserve">NBL, MYCN non-amplified</w:t>
      </w:r>
      <w:r>
        <w:t xml:space="preserve">”</w:t>
      </w:r>
      <w:r>
        <w:t xml:space="preserve"> </w:t>
      </w:r>
      <w:r>
        <w:t xml:space="preserve">and the genetic data suggested MYCN amplification, the samples were subtyped as</w:t>
      </w:r>
      <w:r>
        <w:t xml:space="preserve"> </w:t>
      </w:r>
      <w:r>
        <w:t xml:space="preserve">“</w:t>
      </w:r>
      <w:r>
        <w:t xml:space="preserve">NBL, MYCN amplified</w:t>
      </w:r>
      <w:r>
        <w:t xml:space="preserve">”</w:t>
      </w:r>
      <w:r>
        <w:t xml:space="preserve">.</w:t>
      </w:r>
      <w:r>
        <w:t xml:space="preserve"> </w:t>
      </w:r>
      <w:r>
        <w:t xml:space="preserve">On the other hand, if</w:t>
      </w:r>
      <w:r>
        <w:t xml:space="preserve"> </w:t>
      </w:r>
      <w:r>
        <w:rPr>
          <w:rStyle w:val="VerbatimChar"/>
        </w:rPr>
        <w:t xml:space="preserve">pathology_free_text_diagnosis</w:t>
      </w:r>
      <w:r>
        <w:t xml:space="preserve"> </w:t>
      </w:r>
      <w:r>
        <w:t xml:space="preserve">was</w:t>
      </w:r>
      <w:r>
        <w:t xml:space="preserve"> </w:t>
      </w:r>
      <w:r>
        <w:t xml:space="preserve">“</w:t>
      </w:r>
      <w:r>
        <w:t xml:space="preserve">NBL, MYCN amplified</w:t>
      </w:r>
      <w:r>
        <w:t xml:space="preserve">”</w:t>
      </w:r>
      <w:r>
        <w:t xml:space="preserve"> </w:t>
      </w:r>
      <w:r>
        <w:t xml:space="preserve">and the genetic data suggested MYCN non-amplification, the RNA-Seq gene expression level of</w:t>
      </w:r>
      <w:r>
        <w:t xml:space="preserve"> </w:t>
      </w:r>
      <w:r>
        <w:rPr>
          <w:iCs/>
          <w:i/>
        </w:rPr>
        <w:t xml:space="preserve">MYCN</w:t>
      </w:r>
      <w:r>
        <w:t xml:space="preserve"> </w:t>
      </w:r>
      <w:r>
        <w:t xml:space="preserve">was used as a prediction indicator.</w:t>
      </w:r>
      <w:r>
        <w:t xml:space="preserve"> </w:t>
      </w:r>
      <w:r>
        <w:t xml:space="preserve">In those cases, samples with</w:t>
      </w:r>
      <w:r>
        <w:t xml:space="preserve"> </w:t>
      </w:r>
      <w:r>
        <w:rPr>
          <w:iCs/>
          <w:i/>
        </w:rPr>
        <w:t xml:space="preserve">MYCN</w:t>
      </w:r>
      <w:r>
        <w:t xml:space="preserve"> </w:t>
      </w:r>
      <w:r>
        <w:t xml:space="preserve">gene expression above or below the cutoff (TPM &gt;= 140.83 based on visual inspection of MYCN CNV status) were subtyped as</w:t>
      </w:r>
      <w:r>
        <w:t xml:space="preserve"> </w:t>
      </w:r>
      <w:r>
        <w:t xml:space="preserve">“</w:t>
      </w:r>
      <w:r>
        <w:t xml:space="preserve">NBL, MYCN amplified</w:t>
      </w:r>
      <w:r>
        <w:t xml:space="preserve">”</w:t>
      </w:r>
      <w:r>
        <w:t xml:space="preserve"> </w:t>
      </w:r>
      <w:r>
        <w:t xml:space="preserve">and</w:t>
      </w:r>
      <w:r>
        <w:t xml:space="preserve"> </w:t>
      </w:r>
      <w:r>
        <w:t xml:space="preserve">“</w:t>
      </w:r>
      <w:r>
        <w:t xml:space="preserve">NBL, MYCN non-amplified</w:t>
      </w:r>
      <w:r>
        <w:t xml:space="preserve">”</w:t>
      </w:r>
      <w:r>
        <w:t xml:space="preserve">, respectively.</w:t>
      </w:r>
      <w:r>
        <w:t xml:space="preserve"> </w:t>
      </w:r>
      <w:r>
        <w:rPr>
          <w:iCs/>
          <w:i/>
        </w:rPr>
        <w:t xml:space="preserve">MYCN</w:t>
      </w:r>
      <w:r>
        <w:t xml:space="preserve"> </w:t>
      </w:r>
      <w:r>
        <w:t xml:space="preserve">gene expression was also used to subtype samples without DNA sequencing data.</w:t>
      </w:r>
      <w:r>
        <w:t xml:space="preserve"> </w:t>
      </w:r>
      <w:r>
        <w:t xml:space="preserve">If a sample did not fit none of these situations, it was denoted as</w:t>
      </w:r>
      <w:r>
        <w:t xml:space="preserve"> </w:t>
      </w:r>
      <w:r>
        <w:t xml:space="preserve">“</w:t>
      </w:r>
      <w:r>
        <w:t xml:space="preserve">NBL, To be classified</w:t>
      </w:r>
      <w:r>
        <w:t xml:space="preserve">”</w:t>
      </w:r>
      <w:r>
        <w:t xml:space="preserve">.</w:t>
      </w:r>
    </w:p>
    <w:p>
      <w:pPr>
        <w:pStyle w:val="BodyText"/>
      </w:pPr>
      <w:r>
        <w:rPr>
          <w:bCs/>
          <w:b/>
        </w:rPr>
        <w:t xml:space="preserve">Craniopharyngiomas</w:t>
      </w:r>
    </w:p>
    <w:p>
      <w:pPr>
        <w:pStyle w:val="BodyText"/>
      </w:pPr>
      <w:r>
        <w:t xml:space="preserve">In addition to molecular criteria established in OpenPBTA</w:t>
      </w:r>
      <w:r>
        <w:t xml:space="preserve"> </w:t>
      </w:r>
      <w:r>
        <w:t xml:space="preserve">[</w:t>
      </w:r>
      <w:hyperlink w:anchor="ref-5VXMHJ7N">
        <w:r>
          <w:rPr>
            <w:rStyle w:val="Hyperlink"/>
          </w:rPr>
          <w:t xml:space="preserve">1</w:t>
        </w:r>
      </w:hyperlink>
      <w:r>
        <w:t xml:space="preserve">]</w:t>
      </w:r>
      <w:r>
        <w:t xml:space="preserve">, craniopharyngiomas (CRANIO) are now subtyped using DNA methylation classifiers.</w:t>
      </w:r>
      <w:r>
        <w:t xml:space="preserve"> </w:t>
      </w:r>
      <w:r>
        <w:t xml:space="preserve">Craniopharyngiomas with a high-confidence methylation subclass containing</w:t>
      </w:r>
      <w:r>
        <w:t xml:space="preserve"> </w:t>
      </w:r>
      <w:r>
        <w:t xml:space="preserve">“</w:t>
      </w:r>
      <w:r>
        <w:t xml:space="preserve">CPH_PAP</w:t>
      </w:r>
      <w:r>
        <w:t xml:space="preserve">”</w:t>
      </w:r>
      <w:r>
        <w:t xml:space="preserve"> </w:t>
      </w:r>
      <w:r>
        <w:t xml:space="preserve">were classified as papillary (CRANIO, PAP), and those with high-confidence methylation subclass containing</w:t>
      </w:r>
      <w:r>
        <w:t xml:space="preserve"> </w:t>
      </w:r>
      <w:r>
        <w:t xml:space="preserve">“</w:t>
      </w:r>
      <w:r>
        <w:t xml:space="preserve">CPH_ADM</w:t>
      </w:r>
      <w:r>
        <w:t xml:space="preserve">”</w:t>
      </w:r>
      <w:r>
        <w:t xml:space="preserve"> </w:t>
      </w:r>
      <w:r>
        <w:t xml:space="preserve">were classified as adamantinomatous (CRANIO, ADAM), respectively.</w:t>
      </w:r>
    </w:p>
    <w:p>
      <w:pPr>
        <w:pStyle w:val="BodyText"/>
      </w:pPr>
      <w:r>
        <w:rPr>
          <w:bCs/>
          <w:b/>
        </w:rPr>
        <w:t xml:space="preserve">Ependymomas</w:t>
      </w:r>
    </w:p>
    <w:p>
      <w:pPr>
        <w:pStyle w:val="BodyText"/>
      </w:pPr>
      <w:r>
        <w:t xml:space="preserve">Ependymomas (EPN) are subtyped using the following criteria:</w:t>
      </w:r>
    </w:p>
    <w:p>
      <w:pPr>
        <w:numPr>
          <w:ilvl w:val="0"/>
          <w:numId w:val="1004"/>
        </w:numPr>
        <w:pStyle w:val="Compact"/>
      </w:pPr>
      <w:r>
        <w:t xml:space="preserve">Any spinal tumor with</w:t>
      </w:r>
      <w:r>
        <w:t xml:space="preserve"> </w:t>
      </w:r>
      <w:r>
        <w:rPr>
          <w:iCs/>
          <w:i/>
        </w:rPr>
        <w:t xml:space="preserve">MYCN</w:t>
      </w:r>
      <w:r>
        <w:t xml:space="preserve"> </w:t>
      </w:r>
      <w:r>
        <w:t xml:space="preserve">amplification or with a high-confidence</w:t>
      </w:r>
      <w:r>
        <w:t xml:space="preserve"> </w:t>
      </w:r>
      <w:r>
        <w:t xml:space="preserve">“</w:t>
      </w:r>
      <w:r>
        <w:t xml:space="preserve">EPN, SP-MYCN</w:t>
      </w:r>
      <w:r>
        <w:t xml:space="preserve">”</w:t>
      </w:r>
      <w:r>
        <w:t xml:space="preserve"> </w:t>
      </w:r>
      <w:r>
        <w:t xml:space="preserve">methylation classification was subtyped as EPN, spinal and MYCN-amplified (SP-MYCN).</w:t>
      </w:r>
    </w:p>
    <w:p>
      <w:pPr>
        <w:numPr>
          <w:ilvl w:val="0"/>
          <w:numId w:val="1004"/>
        </w:numPr>
        <w:pStyle w:val="Compact"/>
      </w:pPr>
      <w:r>
        <w:t xml:space="preserve">EPN tumors containing one or more gene fusions of</w:t>
      </w:r>
      <w:r>
        <w:t xml:space="preserve"> </w:t>
      </w:r>
      <w:r>
        <w:rPr>
          <w:iCs/>
          <w:i/>
        </w:rPr>
        <w:t xml:space="preserve">YAP1::MAMLD1</w:t>
      </w:r>
      <w:r>
        <w:t xml:space="preserve">,</w:t>
      </w:r>
      <w:r>
        <w:t xml:space="preserve"> </w:t>
      </w:r>
      <w:r>
        <w:rPr>
          <w:iCs/>
          <w:i/>
        </w:rPr>
        <w:t xml:space="preserve">YAP1::MAML2</w:t>
      </w:r>
      <w:r>
        <w:t xml:space="preserve">, or</w:t>
      </w:r>
      <w:r>
        <w:t xml:space="preserve"> </w:t>
      </w:r>
      <w:r>
        <w:rPr>
          <w:iCs/>
          <w:i/>
        </w:rPr>
        <w:t xml:space="preserve">YAP1::FAM118B</w:t>
      </w:r>
      <w:r>
        <w:t xml:space="preserve">, or else had a high-confidence</w:t>
      </w:r>
      <w:r>
        <w:t xml:space="preserve"> </w:t>
      </w:r>
      <w:r>
        <w:t xml:space="preserve">“</w:t>
      </w:r>
      <w:r>
        <w:t xml:space="preserve">EPN, ST YAP1</w:t>
      </w:r>
      <w:r>
        <w:t xml:space="preserve">”</w:t>
      </w:r>
      <w:r>
        <w:t xml:space="preserve"> </w:t>
      </w:r>
      <w:r>
        <w:t xml:space="preserve">methylation classification were subtyped as EPN, ST YAP1.</w:t>
      </w:r>
    </w:p>
    <w:p>
      <w:pPr>
        <w:numPr>
          <w:ilvl w:val="0"/>
          <w:numId w:val="1004"/>
        </w:numPr>
        <w:pStyle w:val="Compact"/>
      </w:pPr>
      <w:r>
        <w:t xml:space="preserve">EPN tumors containing one or more gene fusions of</w:t>
      </w:r>
      <w:r>
        <w:t xml:space="preserve"> </w:t>
      </w:r>
      <w:r>
        <w:rPr>
          <w:iCs/>
          <w:i/>
        </w:rPr>
        <w:t xml:space="preserve">ZFTA::RELA</w:t>
      </w:r>
      <w:r>
        <w:t xml:space="preserve"> </w:t>
      </w:r>
      <w:r>
        <w:t xml:space="preserve">or</w:t>
      </w:r>
      <w:r>
        <w:t xml:space="preserve"> </w:t>
      </w:r>
      <w:r>
        <w:rPr>
          <w:iCs/>
          <w:i/>
        </w:rPr>
        <w:t xml:space="preserve">ZFTA::MAML2</w:t>
      </w:r>
      <w:r>
        <w:t xml:space="preserve">, or else had a high-confidence</w:t>
      </w:r>
      <w:r>
        <w:t xml:space="preserve"> </w:t>
      </w:r>
      <w:r>
        <w:t xml:space="preserve">“</w:t>
      </w:r>
      <w:r>
        <w:t xml:space="preserve">EPN, ST ZFTA</w:t>
      </w:r>
      <w:r>
        <w:t xml:space="preserve">”</w:t>
      </w:r>
      <w:r>
        <w:t xml:space="preserve"> </w:t>
      </w:r>
      <w:r>
        <w:t xml:space="preserve">methylation classification were subtyped as EPN, ST ZFTA.</w:t>
      </w:r>
      <w:r>
        <w:t xml:space="preserve"> </w:t>
      </w:r>
      <w:r>
        <w:t xml:space="preserve">This reflects an update to WHO classifications that now characterizes this subtype based on</w:t>
      </w:r>
      <w:r>
        <w:t xml:space="preserve"> </w:t>
      </w:r>
      <w:r>
        <w:rPr>
          <w:iCs/>
          <w:i/>
        </w:rPr>
        <w:t xml:space="preserve">ZFTA</w:t>
      </w:r>
      <w:r>
        <w:t xml:space="preserve"> </w:t>
      </w:r>
      <w:r>
        <w:t xml:space="preserve">fusions rather than</w:t>
      </w:r>
      <w:r>
        <w:t xml:space="preserve"> </w:t>
      </w:r>
      <w:r>
        <w:rPr>
          <w:iCs/>
          <w:i/>
        </w:rPr>
        <w:t xml:space="preserve">RELA</w:t>
      </w:r>
      <w:r>
        <w:t xml:space="preserve"> </w:t>
      </w:r>
      <w:r>
        <w:t xml:space="preserve">fusions.</w:t>
      </w:r>
    </w:p>
    <w:p>
      <w:pPr>
        <w:numPr>
          <w:ilvl w:val="0"/>
          <w:numId w:val="1004"/>
        </w:numPr>
        <w:pStyle w:val="Compact"/>
      </w:pPr>
      <w:r>
        <w:t xml:space="preserve">EPN tumors with 1) chromosome 1q gain and</w:t>
      </w:r>
      <w:r>
        <w:t xml:space="preserve"> </w:t>
      </w:r>
      <w:r>
        <w:rPr>
          <w:iCs/>
          <w:i/>
        </w:rPr>
        <w:t xml:space="preserve">TKTL1</w:t>
      </w:r>
      <w:r>
        <w:t xml:space="preserve"> </w:t>
      </w:r>
      <w:r>
        <w:t xml:space="preserve">over-expression, or 2)</w:t>
      </w:r>
      <w:r>
        <w:t xml:space="preserve"> </w:t>
      </w:r>
      <w:r>
        <w:rPr>
          <w:iCs/>
          <w:i/>
        </w:rPr>
        <w:t xml:space="preserve">EZHIP</w:t>
      </w:r>
      <w:r>
        <w:t xml:space="preserve"> </w:t>
      </w:r>
      <w:r>
        <w:t xml:space="preserve">over-expression, or 3) posterior fossa anatomical location and a histone H3 K28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4) a high-confidence</w:t>
      </w:r>
      <w:r>
        <w:t xml:space="preserve"> </w:t>
      </w:r>
      <w:r>
        <w:t xml:space="preserve">“</w:t>
      </w:r>
      <w:r>
        <w:t xml:space="preserve">EPN, PF A</w:t>
      </w:r>
      <w:r>
        <w:t xml:space="preserve">”</w:t>
      </w:r>
      <w:r>
        <w:t xml:space="preserve"> </w:t>
      </w:r>
      <w:r>
        <w:t xml:space="preserve">methylation classification were subtyped as posterior fossa group A ependymomas (EPN, PF A).</w:t>
      </w:r>
    </w:p>
    <w:p>
      <w:pPr>
        <w:numPr>
          <w:ilvl w:val="0"/>
          <w:numId w:val="1004"/>
        </w:numPr>
        <w:pStyle w:val="Compact"/>
      </w:pPr>
      <w:r>
        <w:t xml:space="preserve">Tumors with 1) chr 6p or 6q loss and</w:t>
      </w:r>
      <w:r>
        <w:t xml:space="preserve"> </w:t>
      </w:r>
      <w:r>
        <w:rPr>
          <w:iCs/>
          <w:i/>
        </w:rPr>
        <w:t xml:space="preserve">GPBP1</w:t>
      </w:r>
      <w:r>
        <w:t xml:space="preserve"> </w:t>
      </w:r>
      <w:r>
        <w:t xml:space="preserve">or</w:t>
      </w:r>
      <w:r>
        <w:t xml:space="preserve"> </w:t>
      </w:r>
      <w:r>
        <w:rPr>
          <w:iCs/>
          <w:i/>
        </w:rPr>
        <w:t xml:space="preserve">IFT46</w:t>
      </w:r>
      <w:r>
        <w:t xml:space="preserve"> </w:t>
      </w:r>
      <w:r>
        <w:t xml:space="preserve">over-expression, or 2) a high-confidence</w:t>
      </w:r>
      <w:r>
        <w:t xml:space="preserve"> </w:t>
      </w:r>
      <w:r>
        <w:t xml:space="preserve">“</w:t>
      </w:r>
      <w:r>
        <w:t xml:space="preserve">EPN, PF B</w:t>
      </w:r>
      <w:r>
        <w:t xml:space="preserve">”</w:t>
      </w:r>
      <w:r>
        <w:t xml:space="preserve"> </w:t>
      </w:r>
      <w:r>
        <w:t xml:space="preserve">methylation classification were subtyped as posterior fossa group B ependymomas (EPN, PF B).</w:t>
      </w:r>
    </w:p>
    <w:p>
      <w:pPr>
        <w:numPr>
          <w:ilvl w:val="0"/>
          <w:numId w:val="1004"/>
        </w:numPr>
        <w:pStyle w:val="Compact"/>
      </w:pPr>
      <w:r>
        <w:t xml:space="preserve">EPN tumors with a high-confidence</w:t>
      </w:r>
      <w:r>
        <w:t xml:space="preserve"> </w:t>
      </w:r>
      <w:r>
        <w:t xml:space="preserve">“</w:t>
      </w:r>
      <w:r>
        <w:t xml:space="preserve">EPN, MPE</w:t>
      </w:r>
      <w:r>
        <w:t xml:space="preserve">”</w:t>
      </w:r>
      <w:r>
        <w:t xml:space="preserve"> </w:t>
      </w:r>
      <w:r>
        <w:t xml:space="preserve">methylation classification were subtyped as myxopapillary ependymomas (EPN, MPE).</w:t>
      </w:r>
    </w:p>
    <w:p>
      <w:pPr>
        <w:numPr>
          <w:ilvl w:val="0"/>
          <w:numId w:val="1004"/>
        </w:numPr>
        <w:pStyle w:val="Compact"/>
      </w:pPr>
      <w:r>
        <w:t xml:space="preserve">EPN tumors with a high-confidence</w:t>
      </w:r>
      <w:r>
        <w:t xml:space="preserve"> </w:t>
      </w:r>
      <w:r>
        <w:t xml:space="preserve">“</w:t>
      </w:r>
      <w:r>
        <w:t xml:space="preserve">EPN, PF SE</w:t>
      </w:r>
      <w:r>
        <w:t xml:space="preserve">”</w:t>
      </w:r>
      <w:r>
        <w:t xml:space="preserve"> </w:t>
      </w:r>
      <w:r>
        <w:t xml:space="preserve">methylation classification were subtyped as posterior fossa subependymomas (EPN, PF SE).</w:t>
      </w:r>
    </w:p>
    <w:p>
      <w:pPr>
        <w:numPr>
          <w:ilvl w:val="0"/>
          <w:numId w:val="1004"/>
        </w:numPr>
        <w:pStyle w:val="Compact"/>
      </w:pPr>
      <w:r>
        <w:t xml:space="preserve">EPN tumors with a high-confidence</w:t>
      </w:r>
      <w:r>
        <w:t xml:space="preserve"> </w:t>
      </w:r>
      <w:r>
        <w:t xml:space="preserve">“</w:t>
      </w:r>
      <w:r>
        <w:t xml:space="preserve">EPN, SP SE</w:t>
      </w:r>
      <w:r>
        <w:t xml:space="preserve">”</w:t>
      </w:r>
      <w:r>
        <w:t xml:space="preserve"> </w:t>
      </w:r>
      <w:r>
        <w:t xml:space="preserve">methylation classification were subtyped as spinal subependymomas (EPN, SP SE).</w:t>
      </w:r>
    </w:p>
    <w:p>
      <w:pPr>
        <w:numPr>
          <w:ilvl w:val="0"/>
          <w:numId w:val="1004"/>
        </w:numPr>
        <w:pStyle w:val="Compact"/>
      </w:pPr>
      <w:r>
        <w:t xml:space="preserve">EPN tumors with a high-confidence</w:t>
      </w:r>
      <w:r>
        <w:t xml:space="preserve"> </w:t>
      </w:r>
      <w:r>
        <w:t xml:space="preserve">“</w:t>
      </w:r>
      <w:r>
        <w:t xml:space="preserve">EPN, SP</w:t>
      </w:r>
      <w:r>
        <w:t xml:space="preserve">”</w:t>
      </w:r>
      <w:r>
        <w:t xml:space="preserve"> </w:t>
      </w:r>
      <w:r>
        <w:t xml:space="preserve">methylation classification were subtyped as spinal ependymomas (EPN, SP).</w:t>
      </w:r>
    </w:p>
    <w:p>
      <w:pPr>
        <w:numPr>
          <w:ilvl w:val="0"/>
          <w:numId w:val="1004"/>
        </w:numPr>
        <w:pStyle w:val="Compact"/>
      </w:pPr>
      <w:r>
        <w:t xml:space="preserve">All other EPN tumors were classified as</w:t>
      </w:r>
      <w:r>
        <w:t xml:space="preserve"> </w:t>
      </w:r>
      <w:r>
        <w:t xml:space="preserve">“</w:t>
      </w:r>
      <w:r>
        <w:t xml:space="preserve">EPN, To be classified</w:t>
      </w:r>
      <w:r>
        <w:t xml:space="preserve">”</w:t>
      </w:r>
      <w:r>
        <w:t xml:space="preserve">.</w:t>
      </w:r>
    </w:p>
    <w:p>
      <w:pPr>
        <w:pStyle w:val="FirstParagraph"/>
      </w:pPr>
      <w:r>
        <w:rPr>
          <w:bCs/>
          <w:b/>
        </w:rPr>
        <w:t xml:space="preserve">Low-grade gliomas</w:t>
      </w:r>
    </w:p>
    <w:p>
      <w:pPr>
        <w:pStyle w:val="BodyText"/>
      </w:pPr>
      <w:r>
        <w:t xml:space="preserve">In addition to subtyping methods described in OpenPBTA</w:t>
      </w:r>
      <w:r>
        <w:t xml:space="preserve"> </w:t>
      </w:r>
      <w:r>
        <w:t xml:space="preserve">[</w:t>
      </w:r>
      <w:hyperlink w:anchor="ref-5VXMHJ7N">
        <w:r>
          <w:rPr>
            <w:rStyle w:val="Hyperlink"/>
          </w:rPr>
          <w:t xml:space="preserve">1</w:t>
        </w:r>
      </w:hyperlink>
      <w:r>
        <w:t xml:space="preserve">]</w:t>
      </w:r>
      <w:r>
        <w:t xml:space="preserve">, high-confidence methylation classifications are now used in classifying the following low-grade glioma (LGG) subtypes:</w:t>
      </w:r>
    </w:p>
    <w:p>
      <w:pPr>
        <w:numPr>
          <w:ilvl w:val="0"/>
          <w:numId w:val="1005"/>
        </w:numPr>
        <w:pStyle w:val="Compact"/>
      </w:pPr>
      <w:r>
        <w:t xml:space="preserve">LGG, other MAPK-altered (methylation subclass</w:t>
      </w:r>
      <w:r>
        <w:t xml:space="preserve"> </w:t>
      </w:r>
      <w:r>
        <w:t xml:space="preserve">“</w:t>
      </w:r>
      <w:r>
        <w:t xml:space="preserve">PA_MID</w:t>
      </w:r>
      <w:r>
        <w:t xml:space="preserve">”</w:t>
      </w:r>
      <w:r>
        <w:t xml:space="preserve"> </w:t>
      </w:r>
      <w:r>
        <w:t xml:space="preserve">or</w:t>
      </w:r>
      <w:r>
        <w:t xml:space="preserve"> </w:t>
      </w:r>
      <w:r>
        <w:t xml:space="preserve">“</w:t>
      </w:r>
      <w:r>
        <w:t xml:space="preserve">PLNTY</w:t>
      </w:r>
      <w:r>
        <w:t xml:space="preserve">”</w:t>
      </w:r>
      <w:r>
        <w:t xml:space="preserve">)</w:t>
      </w:r>
    </w:p>
    <w:p>
      <w:pPr>
        <w:numPr>
          <w:ilvl w:val="0"/>
          <w:numId w:val="1005"/>
        </w:numPr>
        <w:pStyle w:val="Compact"/>
      </w:pPr>
      <w:r>
        <w:t xml:space="preserve">LGG, FGFR-altered (methylation subclass</w:t>
      </w:r>
      <w:r>
        <w:t xml:space="preserve"> </w:t>
      </w:r>
      <w:r>
        <w:t xml:space="preserve">“</w:t>
      </w:r>
      <w:r>
        <w:t xml:space="preserve">PA_INF_FGFR</w:t>
      </w:r>
      <w:r>
        <w:t xml:space="preserve">”</w:t>
      </w:r>
      <w:r>
        <w:t xml:space="preserve">)</w:t>
      </w:r>
    </w:p>
    <w:p>
      <w:pPr>
        <w:numPr>
          <w:ilvl w:val="0"/>
          <w:numId w:val="1005"/>
        </w:numPr>
        <w:pStyle w:val="Compact"/>
      </w:pPr>
      <w:r>
        <w:t xml:space="preserve">LGG, IDH-altered (methylation subclass</w:t>
      </w:r>
      <w:r>
        <w:t xml:space="preserve"> </w:t>
      </w:r>
      <w:r>
        <w:t xml:space="preserve">“</w:t>
      </w:r>
      <w:r>
        <w:t xml:space="preserve">A_IDH_LG</w:t>
      </w:r>
      <w:r>
        <w:t xml:space="preserve">”</w:t>
      </w:r>
      <w:r>
        <w:t xml:space="preserve">)</w:t>
      </w:r>
    </w:p>
    <w:p>
      <w:pPr>
        <w:numPr>
          <w:ilvl w:val="0"/>
          <w:numId w:val="1005"/>
        </w:numPr>
        <w:pStyle w:val="Compact"/>
      </w:pPr>
      <w:r>
        <w:t xml:space="preserve">LGG, MYB/MYBL1 fusion (methylation subclass</w:t>
      </w:r>
      <w:r>
        <w:t xml:space="preserve"> </w:t>
      </w:r>
      <w:r>
        <w:t xml:space="preserve">“</w:t>
      </w:r>
      <w:r>
        <w:t xml:space="preserve">AG_MYB</w:t>
      </w:r>
      <w:r>
        <w:t xml:space="preserve">”</w:t>
      </w:r>
      <w:r>
        <w:t xml:space="preserve"> </w:t>
      </w:r>
      <w:r>
        <w:t xml:space="preserve">or</w:t>
      </w:r>
      <w:r>
        <w:t xml:space="preserve"> </w:t>
      </w:r>
      <w:r>
        <w:t xml:space="preserve">“</w:t>
      </w:r>
      <w:r>
        <w:t xml:space="preserve">LGG_MYB</w:t>
      </w:r>
      <w:r>
        <w:t xml:space="preserve">”</w:t>
      </w:r>
      <w:r>
        <w:t xml:space="preserve">)</w:t>
      </w:r>
    </w:p>
    <w:p>
      <w:pPr>
        <w:numPr>
          <w:ilvl w:val="0"/>
          <w:numId w:val="1005"/>
        </w:numPr>
        <w:pStyle w:val="Compact"/>
      </w:pPr>
      <w:r>
        <w:t xml:space="preserve">LGG, MAPK-altered (methylation subclass</w:t>
      </w:r>
      <w:r>
        <w:t xml:space="preserve"> </w:t>
      </w:r>
      <w:r>
        <w:t xml:space="preserve">“</w:t>
      </w:r>
      <w:r>
        <w:t xml:space="preserve">LGG, MAPK</w:t>
      </w:r>
      <w:r>
        <w:t xml:space="preserve">”</w:t>
      </w:r>
      <w:r>
        <w:t xml:space="preserve">)</w:t>
      </w:r>
    </w:p>
    <w:p>
      <w:pPr>
        <w:numPr>
          <w:ilvl w:val="0"/>
          <w:numId w:val="1005"/>
        </w:numPr>
        <w:pStyle w:val="Compact"/>
      </w:pPr>
      <w:r>
        <w:t xml:space="preserve">LGG, BRAF- and MAPK-altered (methylation subclass</w:t>
      </w:r>
      <w:r>
        <w:t xml:space="preserve"> </w:t>
      </w:r>
      <w:r>
        <w:t xml:space="preserve">“</w:t>
      </w:r>
      <w:r>
        <w:t xml:space="preserve">LGG, BRAF/MAPK</w:t>
      </w:r>
      <w:r>
        <w:t xml:space="preserve">”</w:t>
      </w:r>
      <w:r>
        <w:t xml:space="preserve">)</w:t>
      </w:r>
    </w:p>
    <w:p>
      <w:pPr>
        <w:numPr>
          <w:ilvl w:val="0"/>
          <w:numId w:val="1005"/>
        </w:numPr>
        <w:pStyle w:val="Compact"/>
      </w:pPr>
      <w:r>
        <w:t xml:space="preserve">SEGA, to be classified (methylation subclass</w:t>
      </w:r>
      <w:r>
        <w:t xml:space="preserve"> </w:t>
      </w:r>
      <w:r>
        <w:t xml:space="preserve">“</w:t>
      </w:r>
      <w:r>
        <w:t xml:space="preserve">SEGA, To be classified</w:t>
      </w:r>
      <w:r>
        <w:t xml:space="preserve">”</w:t>
      </w:r>
      <w:r>
        <w:t xml:space="preserve">)</w:t>
      </w:r>
    </w:p>
    <w:p>
      <w:pPr>
        <w:pStyle w:val="FirstParagraph"/>
      </w:pPr>
      <w:r>
        <w:rPr>
          <w:bCs/>
          <w:b/>
        </w:rPr>
        <w:t xml:space="preserve">Medulloblastomas (MBs)</w:t>
      </w:r>
      <w:r>
        <w:t xml:space="preserve"> </w:t>
      </w:r>
      <w:r>
        <w:t xml:space="preserve">In addition to our previous work classifying MB tumors into the four major subtypes (WNT, SHH, Group 3, and Group 4) using the transcriptomic MedulloClassifier</w:t>
      </w:r>
      <w:r>
        <w:t xml:space="preserve"> </w:t>
      </w:r>
      <w:r>
        <w:t xml:space="preserve">[</w:t>
      </w:r>
      <w:hyperlink w:anchor="ref-12DKhuCiy">
        <w:r>
          <w:rPr>
            <w:rStyle w:val="Hyperlink"/>
          </w:rPr>
          <w:t xml:space="preserve">34</w:t>
        </w:r>
      </w:hyperlink>
      <w:r>
        <w:t xml:space="preserve">]</w:t>
      </w:r>
      <w:r>
        <w:t xml:space="preserve">, we integrated high-confidence methylation classification, demographic, and molecular criteria to molecularly subtype SHH tumors into one of four subgroups (alpha, beta, gamma, or delta) (</w:t>
      </w:r>
      <w:r>
        <w:rPr>
          <w:bCs/>
          <w:b/>
        </w:rPr>
        <w:t xml:space="preserve">Figure</w:t>
      </w:r>
      <w:r>
        <w:rPr>
          <w:bCs/>
          <w:b/>
        </w:rPr>
        <w:t xml:space="preserve"> </w:t>
      </w:r>
      <w:hyperlink w:anchor="fig:Fig3">
        <w:r>
          <w:rPr>
            <w:rStyle w:val="Hyperlink"/>
            <w:bCs/>
            <w:b/>
          </w:rPr>
          <w:t xml:space="preserve">3</w:t>
        </w:r>
      </w:hyperlink>
      <w:r>
        <w:t xml:space="preserve">).</w:t>
      </w:r>
    </w:p>
    <w:bookmarkStart w:id="0" w:name="fig:Fig3"/>
    <w:p>
      <w:pPr>
        <w:pStyle w:val="CaptionedFigure"/>
      </w:pPr>
      <w:bookmarkStart w:id="299" w:name="fig:Fig3"/>
      <w:r>
        <w:drawing>
          <wp:inline>
            <wp:extent cx="5943600" cy="4592781"/>
            <wp:effectExtent b="0" l="0" r="0" t="0"/>
            <wp:docPr descr="Figure 3: Medulloblastoma Sample Clustering. A, UMAP projection of 271 MB tumors and B, 63 SHH-activated MB tumors using methylation beta values of the 20,000 most variable probes from the Infinium MethylationEPIC array. C, UMAP projection of MB, SHH activated samples indicating copy number status of SHH subgroup known somatic driver genes CCND2, GLI2, MYCN, and PTEN." title="" id="297" name="Picture"/>
            <a:graphic>
              <a:graphicData uri="http://schemas.openxmlformats.org/drawingml/2006/picture">
                <pic:pic>
                  <pic:nvPicPr>
                    <pic:cNvPr descr="https://raw.githubusercontent.com/rokitalab/OpenPedCan-Project-CNH/fc87ad125aaae6d43f17e2baf94551c9a0444bde/figures/manuscript_OPC/figure3/Figure3.png?sanitize=true" id="298" name="Picture"/>
                    <pic:cNvPicPr>
                      <a:picLocks noChangeArrowheads="1" noChangeAspect="1"/>
                    </pic:cNvPicPr>
                  </pic:nvPicPr>
                  <pic:blipFill>
                    <a:blip r:embed="rId296"/>
                    <a:stretch>
                      <a:fillRect/>
                    </a:stretch>
                  </pic:blipFill>
                  <pic:spPr bwMode="auto">
                    <a:xfrm>
                      <a:off x="0" y="0"/>
                      <a:ext cx="5943600" cy="4592781"/>
                    </a:xfrm>
                    <a:prstGeom prst="rect">
                      <a:avLst/>
                    </a:prstGeom>
                    <a:noFill/>
                    <a:ln w="9525">
                      <a:noFill/>
                      <a:headEnd/>
                      <a:tailEnd/>
                    </a:ln>
                  </pic:spPr>
                </pic:pic>
              </a:graphicData>
            </a:graphic>
          </wp:inline>
        </w:drawing>
      </w:r>
      <w:bookmarkEnd w:id="299"/>
    </w:p>
    <w:p>
      <w:pPr>
        <w:pStyle w:val="ImageCaption"/>
      </w:pPr>
      <w:r>
        <w:t xml:space="preserve">Figure 3:</w:t>
      </w:r>
      <w:r>
        <w:t xml:space="preserve"> </w:t>
      </w:r>
      <w:r>
        <w:rPr>
          <w:bCs/>
          <w:b/>
        </w:rPr>
        <w:t xml:space="preserve">Medulloblastoma Sample Clustering.</w:t>
      </w:r>
      <w:r>
        <w:t xml:space="preserve"> </w:t>
      </w:r>
      <w:r>
        <w:t xml:space="preserve">A, UMAP projection of 271 MB tumors and B, 63 SHH-activated MB tumors using methylation beta values of the 20,000 most variable probes from the Infinium MethylationEPIC array. C, UMAP projection of MB, SHH activated samples indicating copy number status of SHH subgroup known somatic driver genes</w:t>
      </w:r>
      <w:r>
        <w:t xml:space="preserve"> </w:t>
      </w:r>
      <w:r>
        <w:rPr>
          <w:iCs/>
          <w:i/>
        </w:rPr>
        <w:t xml:space="preserve">CCND2</w:t>
      </w:r>
      <w:r>
        <w:t xml:space="preserve">,</w:t>
      </w:r>
      <w:r>
        <w:t xml:space="preserve"> </w:t>
      </w:r>
      <w:r>
        <w:rPr>
          <w:iCs/>
          <w:i/>
        </w:rPr>
        <w:t xml:space="preserve">GLI2</w:t>
      </w:r>
      <w:r>
        <w:t xml:space="preserve">,</w:t>
      </w:r>
      <w:r>
        <w:t xml:space="preserve"> </w:t>
      </w:r>
      <w:r>
        <w:rPr>
          <w:iCs/>
          <w:i/>
        </w:rPr>
        <w:t xml:space="preserve">MYCN</w:t>
      </w:r>
      <w:r>
        <w:t xml:space="preserve">, and</w:t>
      </w:r>
      <w:r>
        <w:t xml:space="preserve"> </w:t>
      </w:r>
      <w:r>
        <w:rPr>
          <w:iCs/>
          <w:i/>
        </w:rPr>
        <w:t xml:space="preserve">PTEN</w:t>
      </w:r>
      <w:r>
        <w:t xml:space="preserve">.</w:t>
      </w:r>
    </w:p>
    <w:bookmarkEnd w:id="0"/>
    <w:p>
      <w:pPr>
        <w:pStyle w:val="BodyText"/>
      </w:pPr>
      <w:r>
        <w:t xml:space="preserve">We implemented molecular subtyping as follows:</w:t>
      </w:r>
    </w:p>
    <w:p>
      <w:pPr>
        <w:numPr>
          <w:ilvl w:val="0"/>
          <w:numId w:val="1006"/>
        </w:numPr>
        <w:pStyle w:val="Compact"/>
      </w:pPr>
      <w:r>
        <w:t xml:space="preserve">MB tumors with methylation classification that contains</w:t>
      </w:r>
      <w:r>
        <w:t xml:space="preserve"> </w:t>
      </w:r>
      <w:r>
        <w:t xml:space="preserve">“</w:t>
      </w:r>
      <w:r>
        <w:t xml:space="preserve">MB_SHH</w:t>
      </w:r>
      <w:r>
        <w:t xml:space="preserve">”</w:t>
      </w:r>
      <w:r>
        <w:t xml:space="preserve"> </w:t>
      </w:r>
      <w:r>
        <w:t xml:space="preserve">are subtyped as SHH-activated medulloblastoma (MB, SHH)</w:t>
      </w:r>
    </w:p>
    <w:p>
      <w:pPr>
        <w:numPr>
          <w:ilvl w:val="0"/>
          <w:numId w:val="1006"/>
        </w:numPr>
        <w:pStyle w:val="Compact"/>
      </w:pPr>
      <w:r>
        <w:t xml:space="preserve">MB tumors with</w:t>
      </w:r>
      <w:r>
        <w:t xml:space="preserve"> </w:t>
      </w:r>
      <w:r>
        <w:t xml:space="preserve">“</w:t>
      </w:r>
      <w:r>
        <w:t xml:space="preserve">MB_G34_I</w:t>
      </w:r>
      <w:r>
        <w:t xml:space="preserve">”</w:t>
      </w:r>
      <w:r>
        <w:t xml:space="preserve">,</w:t>
      </w:r>
      <w:r>
        <w:t xml:space="preserve"> </w:t>
      </w:r>
      <w:r>
        <w:t xml:space="preserve">“</w:t>
      </w:r>
      <w:r>
        <w:t xml:space="preserve">MB_G34_II</w:t>
      </w:r>
      <w:r>
        <w:t xml:space="preserve">”</w:t>
      </w:r>
      <w:r>
        <w:t xml:space="preserve">,</w:t>
      </w:r>
      <w:r>
        <w:t xml:space="preserve"> </w:t>
      </w:r>
      <w:r>
        <w:t xml:space="preserve">“</w:t>
      </w:r>
      <w:r>
        <w:t xml:space="preserve">MB_G34_III</w:t>
      </w:r>
      <w:r>
        <w:t xml:space="preserve">”</w:t>
      </w:r>
      <w:r>
        <w:t xml:space="preserve">, and</w:t>
      </w:r>
      <w:r>
        <w:t xml:space="preserve"> </w:t>
      </w:r>
      <w:r>
        <w:t xml:space="preserve">“</w:t>
      </w:r>
      <w:r>
        <w:t xml:space="preserve">MB_G334_IV</w:t>
      </w:r>
      <w:r>
        <w:t xml:space="preserve">”</w:t>
      </w:r>
      <w:r>
        <w:t xml:space="preserve"> </w:t>
      </w:r>
      <w:r>
        <w:t xml:space="preserve">methylation classifications are subtyped as medulloblastoma group 3 (MB, Group3)</w:t>
      </w:r>
    </w:p>
    <w:p>
      <w:pPr>
        <w:numPr>
          <w:ilvl w:val="0"/>
          <w:numId w:val="1006"/>
        </w:numPr>
        <w:pStyle w:val="Compact"/>
      </w:pPr>
      <w:r>
        <w:t xml:space="preserve">MB tumors with</w:t>
      </w:r>
      <w:r>
        <w:t xml:space="preserve"> </w:t>
      </w:r>
      <w:r>
        <w:t xml:space="preserve">“</w:t>
      </w:r>
      <w:r>
        <w:t xml:space="preserve">MB_G34_V</w:t>
      </w:r>
      <w:r>
        <w:t xml:space="preserve">”</w:t>
      </w:r>
      <w:r>
        <w:t xml:space="preserve">,</w:t>
      </w:r>
      <w:r>
        <w:t xml:space="preserve"> </w:t>
      </w:r>
      <w:r>
        <w:t xml:space="preserve">“</w:t>
      </w:r>
      <w:r>
        <w:t xml:space="preserve">MB_G34_VI</w:t>
      </w:r>
      <w:r>
        <w:t xml:space="preserve">”</w:t>
      </w:r>
      <w:r>
        <w:t xml:space="preserve">,</w:t>
      </w:r>
      <w:r>
        <w:t xml:space="preserve"> </w:t>
      </w:r>
      <w:r>
        <w:t xml:space="preserve">“</w:t>
      </w:r>
      <w:r>
        <w:t xml:space="preserve">MB_G34_VII</w:t>
      </w:r>
      <w:r>
        <w:t xml:space="preserve">”</w:t>
      </w:r>
      <w:r>
        <w:t xml:space="preserve">, and</w:t>
      </w:r>
      <w:r>
        <w:t xml:space="preserve"> </w:t>
      </w:r>
      <w:r>
        <w:t xml:space="preserve">“</w:t>
      </w:r>
      <w:r>
        <w:t xml:space="preserve">MB_G334_VIII</w:t>
      </w:r>
      <w:r>
        <w:t xml:space="preserve">”</w:t>
      </w:r>
      <w:r>
        <w:t xml:space="preserve"> </w:t>
      </w:r>
      <w:r>
        <w:t xml:space="preserve">methylation classifications are subtyped as medulloblastoma group 4 (MB, Group4)</w:t>
      </w:r>
    </w:p>
    <w:p>
      <w:pPr>
        <w:numPr>
          <w:ilvl w:val="0"/>
          <w:numId w:val="1006"/>
        </w:numPr>
        <w:pStyle w:val="Compact"/>
      </w:pPr>
      <w:r>
        <w:t xml:space="preserve">MB tumors with</w:t>
      </w:r>
      <w:r>
        <w:t xml:space="preserve"> </w:t>
      </w:r>
      <w:r>
        <w:t xml:space="preserve">“</w:t>
      </w:r>
      <w:r>
        <w:t xml:space="preserve">MB_WNT</w:t>
      </w:r>
      <w:r>
        <w:t xml:space="preserve">”</w:t>
      </w:r>
      <w:r>
        <w:t xml:space="preserve"> </w:t>
      </w:r>
      <w:r>
        <w:t xml:space="preserve">methylation classification are subtyped as WNT-activated MB (MB, WNT)</w:t>
      </w:r>
    </w:p>
    <w:p>
      <w:pPr>
        <w:numPr>
          <w:ilvl w:val="0"/>
          <w:numId w:val="1006"/>
        </w:numPr>
        <w:pStyle w:val="Compact"/>
      </w:pPr>
      <w:r>
        <w:t xml:space="preserve">MB tumors with</w:t>
      </w:r>
      <w:r>
        <w:t xml:space="preserve"> </w:t>
      </w:r>
      <w:r>
        <w:t xml:space="preserve">“</w:t>
      </w:r>
      <w:r>
        <w:t xml:space="preserve">MB_MYO</w:t>
      </w:r>
      <w:r>
        <w:t xml:space="preserve">”</w:t>
      </w:r>
      <w:r>
        <w:t xml:space="preserve"> </w:t>
      </w:r>
      <w:r>
        <w:t xml:space="preserve">methylation classification are subtyped as medulloblastomas with myogenic differentiation (MB, MYO)</w:t>
      </w:r>
    </w:p>
    <w:p>
      <w:pPr>
        <w:pStyle w:val="FirstParagraph"/>
      </w:pPr>
      <w:r>
        <w:t xml:space="preserve">We classified MB, SHH subtype tumors using the following criteria:</w:t>
      </w:r>
    </w:p>
    <w:p>
      <w:pPr>
        <w:numPr>
          <w:ilvl w:val="0"/>
          <w:numId w:val="1007"/>
        </w:numPr>
      </w:pPr>
      <w:r>
        <w:rPr>
          <w:iCs/>
          <w:i/>
        </w:rPr>
        <w:t xml:space="preserve">MB, SHH alpha</w:t>
      </w:r>
      <w:r>
        <w:t xml:space="preserve">: sample has a high-confidence</w:t>
      </w:r>
      <w:r>
        <w:t xml:space="preserve"> </w:t>
      </w:r>
      <w:r>
        <w:t xml:space="preserve">“</w:t>
      </w:r>
      <w:r>
        <w:t xml:space="preserve">MB_SHH_3</w:t>
      </w:r>
      <w:r>
        <w:t xml:space="preserve">”</w:t>
      </w:r>
      <w:r>
        <w:t xml:space="preserve"> </w:t>
      </w:r>
      <w:r>
        <w:t xml:space="preserve">methylation classification, or patient had an age at diagnosis &gt;= 2 years and harbored one of the following molecular alterations in tumor or germline:</w:t>
      </w:r>
    </w:p>
    <w:p>
      <w:pPr>
        <w:numPr>
          <w:ilvl w:val="1"/>
          <w:numId w:val="1008"/>
        </w:numPr>
        <w:pStyle w:val="Compact"/>
      </w:pPr>
      <w:r>
        <w:rPr>
          <w:iCs/>
          <w:i/>
        </w:rPr>
        <w:t xml:space="preserve">MYCN</w:t>
      </w:r>
      <w:r>
        <w:t xml:space="preserve">,</w:t>
      </w:r>
      <w:r>
        <w:t xml:space="preserve"> </w:t>
      </w:r>
      <w:r>
        <w:rPr>
          <w:iCs/>
          <w:i/>
        </w:rPr>
        <w:t xml:space="preserve">GLI2</w:t>
      </w:r>
      <w:r>
        <w:t xml:space="preserve">, or</w:t>
      </w:r>
      <w:r>
        <w:t xml:space="preserve"> </w:t>
      </w:r>
      <w:r>
        <w:rPr>
          <w:iCs/>
          <w:i/>
        </w:rPr>
        <w:t xml:space="preserve">CCND2</w:t>
      </w:r>
      <w:r>
        <w:t xml:space="preserve"> </w:t>
      </w:r>
      <w:r>
        <w:t xml:space="preserve">amplification or sample TPM z-score &gt;= 2 in tumor.</w:t>
      </w:r>
    </w:p>
    <w:p>
      <w:pPr>
        <w:numPr>
          <w:ilvl w:val="1"/>
          <w:numId w:val="1008"/>
        </w:numPr>
        <w:pStyle w:val="Compact"/>
      </w:pPr>
      <w:r>
        <w:t xml:space="preserve">A pathogenic or likely pathogenic germline variant in</w:t>
      </w:r>
      <w:r>
        <w:t xml:space="preserve"> </w:t>
      </w:r>
      <w:r>
        <w:rPr>
          <w:iCs/>
          <w:i/>
        </w:rPr>
        <w:t xml:space="preserve">ELP1</w:t>
      </w:r>
      <w:r>
        <w:t xml:space="preserve"> </w:t>
      </w:r>
      <w:r>
        <w:t xml:space="preserve">or</w:t>
      </w:r>
      <w:r>
        <w:t xml:space="preserve"> </w:t>
      </w:r>
      <w:r>
        <w:rPr>
          <w:iCs/>
          <w:i/>
        </w:rPr>
        <w:t xml:space="preserve">TP53</w:t>
      </w:r>
      <w:r>
        <w:t xml:space="preserve">.</w:t>
      </w:r>
    </w:p>
    <w:p>
      <w:pPr>
        <w:numPr>
          <w:ilvl w:val="1"/>
          <w:numId w:val="1008"/>
        </w:numPr>
        <w:pStyle w:val="Compact"/>
      </w:pPr>
      <w:r>
        <w:t xml:space="preserve">A</w:t>
      </w:r>
      <w:r>
        <w:t xml:space="preserve"> </w:t>
      </w:r>
      <w:r>
        <w:rPr>
          <w:iCs/>
          <w:i/>
        </w:rPr>
        <w:t xml:space="preserve">TP53</w:t>
      </w:r>
      <w:r>
        <w:t xml:space="preserve"> </w:t>
      </w:r>
      <w:r>
        <w:t xml:space="preserve">hotspot mutation in tumor.</w:t>
      </w:r>
    </w:p>
    <w:p>
      <w:pPr>
        <w:numPr>
          <w:ilvl w:val="1"/>
          <w:numId w:val="1008"/>
        </w:numPr>
        <w:pStyle w:val="Compact"/>
      </w:pPr>
      <w:r>
        <w:t xml:space="preserve">Chromosome 9p gain or chromosome 17p loss in tumor.</w:t>
      </w:r>
    </w:p>
    <w:p>
      <w:pPr>
        <w:numPr>
          <w:ilvl w:val="0"/>
          <w:numId w:val="1007"/>
        </w:numPr>
      </w:pPr>
      <w:r>
        <w:rPr>
          <w:iCs/>
          <w:i/>
        </w:rPr>
        <w:t xml:space="preserve">MB, SHH beta</w:t>
      </w:r>
      <w:r>
        <w:t xml:space="preserve">: sample has a high-confidence</w:t>
      </w:r>
      <w:r>
        <w:t xml:space="preserve"> </w:t>
      </w:r>
      <w:r>
        <w:t xml:space="preserve">“</w:t>
      </w:r>
      <w:r>
        <w:t xml:space="preserve">MB_SHH_1</w:t>
      </w:r>
      <w:r>
        <w:t xml:space="preserve">”</w:t>
      </w:r>
      <w:r>
        <w:t xml:space="preserve"> </w:t>
      </w:r>
      <w:r>
        <w:t xml:space="preserve">methylation classification, or patient had an age at diagnosis &lt; 5 years and harbored one of the following molecular alterations:</w:t>
      </w:r>
    </w:p>
    <w:p>
      <w:pPr>
        <w:numPr>
          <w:ilvl w:val="1"/>
          <w:numId w:val="1009"/>
        </w:numPr>
        <w:pStyle w:val="Compact"/>
      </w:pPr>
      <w:r>
        <w:t xml:space="preserve">A</w:t>
      </w:r>
      <w:r>
        <w:t xml:space="preserve"> </w:t>
      </w:r>
      <w:r>
        <w:rPr>
          <w:iCs/>
          <w:i/>
        </w:rPr>
        <w:t xml:space="preserve">KMT2D</w:t>
      </w:r>
      <w:r>
        <w:t xml:space="preserve"> </w:t>
      </w:r>
      <w:r>
        <w:t xml:space="preserve">loss of function variant.</w:t>
      </w:r>
    </w:p>
    <w:p>
      <w:pPr>
        <w:numPr>
          <w:ilvl w:val="1"/>
          <w:numId w:val="1009"/>
        </w:numPr>
        <w:pStyle w:val="Compact"/>
      </w:pPr>
      <w:r>
        <w:rPr>
          <w:iCs/>
          <w:i/>
        </w:rPr>
        <w:t xml:space="preserve">PTEN</w:t>
      </w:r>
      <w:r>
        <w:t xml:space="preserve"> </w:t>
      </w:r>
      <w:r>
        <w:t xml:space="preserve">copy number loss or deep deletion, or sample TPM z-score &lt; -2.</w:t>
      </w:r>
    </w:p>
    <w:p>
      <w:pPr>
        <w:numPr>
          <w:ilvl w:val="1"/>
          <w:numId w:val="1009"/>
        </w:numPr>
        <w:pStyle w:val="Compact"/>
      </w:pPr>
      <w:r>
        <w:t xml:space="preserve">Chromosome 2p or 2q gain.</w:t>
      </w:r>
    </w:p>
    <w:p>
      <w:pPr>
        <w:numPr>
          <w:ilvl w:val="0"/>
          <w:numId w:val="1007"/>
        </w:numPr>
      </w:pPr>
      <w:r>
        <w:rPr>
          <w:iCs/>
          <w:i/>
        </w:rPr>
        <w:t xml:space="preserve">MB, SHH gamma</w:t>
      </w:r>
      <w:r>
        <w:t xml:space="preserve">: sample has a high-confidence</w:t>
      </w:r>
      <w:r>
        <w:t xml:space="preserve"> </w:t>
      </w:r>
      <w:r>
        <w:t xml:space="preserve">“</w:t>
      </w:r>
      <w:r>
        <w:t xml:space="preserve">MB_SHH_2</w:t>
      </w:r>
      <w:r>
        <w:t xml:space="preserve">”</w:t>
      </w:r>
      <w:r>
        <w:t xml:space="preserve"> </w:t>
      </w:r>
      <w:r>
        <w:t xml:space="preserve">methylation classification, or patient had an age at diagnosis &lt; 5 years and tumor harbored a chromosome 2p arm gain.</w:t>
      </w:r>
    </w:p>
    <w:p>
      <w:pPr>
        <w:numPr>
          <w:ilvl w:val="0"/>
          <w:numId w:val="1007"/>
        </w:numPr>
      </w:pPr>
      <w:r>
        <w:rPr>
          <w:iCs/>
          <w:i/>
        </w:rPr>
        <w:t xml:space="preserve">MB, SHH delta</w:t>
      </w:r>
      <w:r>
        <w:t xml:space="preserve">: sample has a high-confidence</w:t>
      </w:r>
      <w:r>
        <w:t xml:space="preserve"> </w:t>
      </w:r>
      <w:r>
        <w:t xml:space="preserve">“</w:t>
      </w:r>
      <w:r>
        <w:t xml:space="preserve">MB_SHH_4</w:t>
      </w:r>
      <w:r>
        <w:t xml:space="preserve">”</w:t>
      </w:r>
      <w:r>
        <w:t xml:space="preserve"> </w:t>
      </w:r>
      <w:r>
        <w:t xml:space="preserve">methylation classification, or patient had an age at diagnosis &gt;= 10 years and harbored one of the following molecular alterations in tumor:</w:t>
      </w:r>
    </w:p>
    <w:p>
      <w:pPr>
        <w:numPr>
          <w:ilvl w:val="1"/>
          <w:numId w:val="1010"/>
        </w:numPr>
        <w:pStyle w:val="Compact"/>
      </w:pPr>
      <w:r>
        <w:t xml:space="preserve">a</w:t>
      </w:r>
      <w:r>
        <w:t xml:space="preserve"> </w:t>
      </w:r>
      <w:r>
        <w:rPr>
          <w:iCs/>
          <w:i/>
        </w:rPr>
        <w:t xml:space="preserve">DDX3X</w:t>
      </w:r>
      <w:r>
        <w:t xml:space="preserve"> </w:t>
      </w:r>
      <w:r>
        <w:t xml:space="preserve">or</w:t>
      </w:r>
      <w:r>
        <w:t xml:space="preserve"> </w:t>
      </w:r>
      <w:r>
        <w:rPr>
          <w:iCs/>
          <w:i/>
        </w:rPr>
        <w:t xml:space="preserve">SMO</w:t>
      </w:r>
      <w:r>
        <w:t xml:space="preserve"> </w:t>
      </w:r>
      <w:r>
        <w:t xml:space="preserve">loss-of-function mutation.</w:t>
      </w:r>
    </w:p>
    <w:p>
      <w:pPr>
        <w:numPr>
          <w:ilvl w:val="1"/>
          <w:numId w:val="1010"/>
        </w:numPr>
        <w:pStyle w:val="Compact"/>
      </w:pPr>
      <w:r>
        <w:t xml:space="preserve">a hotspot</w:t>
      </w:r>
      <w:r>
        <w:t xml:space="preserve"> </w:t>
      </w:r>
      <w:r>
        <w:rPr>
          <w:iCs/>
          <w:i/>
        </w:rPr>
        <w:t xml:space="preserve">TERT</w:t>
      </w:r>
      <w:r>
        <w:t xml:space="preserve"> </w:t>
      </w:r>
      <w:r>
        <w:t xml:space="preserve">or U1 snRNA gene mutation.</w:t>
      </w:r>
    </w:p>
    <w:p>
      <w:pPr>
        <w:numPr>
          <w:ilvl w:val="1"/>
          <w:numId w:val="1010"/>
        </w:numPr>
        <w:pStyle w:val="Compact"/>
      </w:pPr>
      <w:r>
        <w:t xml:space="preserve">Chromosome 14q arm loss.</w:t>
      </w:r>
    </w:p>
    <w:p>
      <w:pPr>
        <w:pStyle w:val="FirstParagraph"/>
      </w:pPr>
      <w:r>
        <w:rPr>
          <w:bCs/>
          <w:b/>
        </w:rPr>
        <w:t xml:space="preserve">Pineoblastomas</w:t>
      </w:r>
    </w:p>
    <w:p>
      <w:pPr>
        <w:pStyle w:val="BodyText"/>
      </w:pPr>
      <w:r>
        <w:t xml:space="preserve">Pineoblastomas (PB) are classified as follows using high-confidence methylation classifications:</w:t>
      </w:r>
    </w:p>
    <w:p>
      <w:pPr>
        <w:numPr>
          <w:ilvl w:val="0"/>
          <w:numId w:val="1011"/>
        </w:numPr>
        <w:pStyle w:val="Compact"/>
      </w:pPr>
      <w:r>
        <w:t xml:space="preserve">Pineoblastoma, MYC/FOXR2-activated (</w:t>
      </w:r>
      <w:r>
        <w:t xml:space="preserve">“</w:t>
      </w:r>
      <w:r>
        <w:t xml:space="preserve">PB_FOXR2</w:t>
      </w:r>
      <w:r>
        <w:t xml:space="preserve">”</w:t>
      </w:r>
      <w:r>
        <w:t xml:space="preserve"> </w:t>
      </w:r>
      <w:r>
        <w:t xml:space="preserve">methylation classification)</w:t>
      </w:r>
    </w:p>
    <w:p>
      <w:pPr>
        <w:numPr>
          <w:ilvl w:val="0"/>
          <w:numId w:val="1011"/>
        </w:numPr>
        <w:pStyle w:val="Compact"/>
      </w:pPr>
      <w:r>
        <w:t xml:space="preserve">Pineoblastoma, RB1-altered (</w:t>
      </w:r>
      <w:r>
        <w:t xml:space="preserve">“</w:t>
      </w:r>
      <w:r>
        <w:t xml:space="preserve">PB_RB1</w:t>
      </w:r>
      <w:r>
        <w:t xml:space="preserve">”</w:t>
      </w:r>
      <w:r>
        <w:t xml:space="preserve"> </w:t>
      </w:r>
      <w:r>
        <w:t xml:space="preserve">methylation classification)</w:t>
      </w:r>
    </w:p>
    <w:p>
      <w:pPr>
        <w:numPr>
          <w:ilvl w:val="0"/>
          <w:numId w:val="1011"/>
        </w:numPr>
        <w:pStyle w:val="Compact"/>
      </w:pPr>
      <w:r>
        <w:t xml:space="preserve">Pineoblastoma, group 1 (</w:t>
      </w:r>
      <w:r>
        <w:t xml:space="preserve">“</w:t>
      </w:r>
      <w:r>
        <w:t xml:space="preserve">PB_GRP1A</w:t>
      </w:r>
      <w:r>
        <w:t xml:space="preserve">”</w:t>
      </w:r>
      <w:r>
        <w:t xml:space="preserve"> </w:t>
      </w:r>
      <w:r>
        <w:t xml:space="preserve">and</w:t>
      </w:r>
      <w:r>
        <w:t xml:space="preserve"> </w:t>
      </w:r>
      <w:r>
        <w:t xml:space="preserve">“</w:t>
      </w:r>
      <w:r>
        <w:t xml:space="preserve">PB_GRP1B</w:t>
      </w:r>
      <w:r>
        <w:t xml:space="preserve">”</w:t>
      </w:r>
      <w:r>
        <w:t xml:space="preserve"> </w:t>
      </w:r>
      <w:r>
        <w:t xml:space="preserve">methylation classifications)</w:t>
      </w:r>
    </w:p>
    <w:p>
      <w:pPr>
        <w:numPr>
          <w:ilvl w:val="0"/>
          <w:numId w:val="1011"/>
        </w:numPr>
        <w:pStyle w:val="Compact"/>
      </w:pPr>
      <w:r>
        <w:t xml:space="preserve">Pineoblastoma, group 2 (</w:t>
      </w:r>
      <w:r>
        <w:t xml:space="preserve">“</w:t>
      </w:r>
      <w:r>
        <w:t xml:space="preserve">PB_GRP2</w:t>
      </w:r>
      <w:r>
        <w:t xml:space="preserve">”</w:t>
      </w:r>
      <w:r>
        <w:t xml:space="preserve"> </w:t>
      </w:r>
      <w:r>
        <w:t xml:space="preserve">methylation classification)</w:t>
      </w:r>
    </w:p>
    <w:p>
      <w:pPr>
        <w:numPr>
          <w:ilvl w:val="0"/>
          <w:numId w:val="1011"/>
        </w:numPr>
        <w:pStyle w:val="Compact"/>
      </w:pPr>
      <w:r>
        <w:t xml:space="preserve">All other pineoblastomas were classified as</w:t>
      </w:r>
      <w:r>
        <w:t xml:space="preserve"> </w:t>
      </w:r>
      <w:r>
        <w:t xml:space="preserve">“</w:t>
      </w:r>
      <w:r>
        <w:t xml:space="preserve">PB, To be classified</w:t>
      </w:r>
      <w:r>
        <w:t xml:space="preserve">”</w:t>
      </w:r>
    </w:p>
    <w:p>
      <w:pPr>
        <w:pStyle w:val="FirstParagraph"/>
      </w:pPr>
      <w:r>
        <w:rPr>
          <w:bCs/>
          <w:b/>
        </w:rPr>
        <w:t xml:space="preserve">non-MB, non-ATRT Embryonal Tumors</w:t>
      </w:r>
    </w:p>
    <w:p>
      <w:pPr>
        <w:pStyle w:val="BodyText"/>
      </w:pPr>
      <w:r>
        <w:t xml:space="preserve">Updates were made to non-MB, non-ATRT embryonal tumor subtyping as follows:</w:t>
      </w:r>
    </w:p>
    <w:p>
      <w:pPr>
        <w:numPr>
          <w:ilvl w:val="0"/>
          <w:numId w:val="1012"/>
        </w:numPr>
        <w:pStyle w:val="Compact"/>
      </w:pPr>
      <w:r>
        <w:t xml:space="preserve">Embryonal tumors with multilayered rosettes and C19MC-altered (ETMR, C19MC-altered) were classified based on 1) high-confidence</w:t>
      </w:r>
      <w:r>
        <w:t xml:space="preserve"> </w:t>
      </w:r>
      <w:r>
        <w:t xml:space="preserve">“</w:t>
      </w:r>
      <w:r>
        <w:t xml:space="preserve">ETMR_C19MC</w:t>
      </w:r>
      <w:r>
        <w:t xml:space="preserve">”</w:t>
      </w:r>
      <w:r>
        <w:t xml:space="preserve"> </w:t>
      </w:r>
      <w:r>
        <w:t xml:space="preserve">methylation classification or 2)</w:t>
      </w:r>
      <w:r>
        <w:t xml:space="preserve"> </w:t>
      </w:r>
      <w:r>
        <w:rPr>
          <w:iCs/>
          <w:i/>
        </w:rPr>
        <w:t xml:space="preserve">TTYH1</w:t>
      </w:r>
      <w:r>
        <w:t xml:space="preserve"> </w:t>
      </w:r>
      <w:r>
        <w:t xml:space="preserve">gene fusion and either chromosome 19 amplification or</w:t>
      </w:r>
      <w:r>
        <w:t xml:space="preserve"> </w:t>
      </w:r>
      <w:r>
        <w:rPr>
          <w:iCs/>
          <w:i/>
        </w:rPr>
        <w:t xml:space="preserve">LIN28A</w:t>
      </w:r>
      <w:r>
        <w:t xml:space="preserve"> </w:t>
      </w:r>
      <w:r>
        <w:t xml:space="preserve">over-expression.</w:t>
      </w:r>
    </w:p>
    <w:p>
      <w:pPr>
        <w:numPr>
          <w:ilvl w:val="0"/>
          <w:numId w:val="1012"/>
        </w:numPr>
        <w:pStyle w:val="Compact"/>
      </w:pPr>
      <w:r>
        <w:t xml:space="preserve">ETMR, not otherwise specified (NOS) were classified based on</w:t>
      </w:r>
      <w:r>
        <w:t xml:space="preserve"> </w:t>
      </w:r>
      <w:r>
        <w:rPr>
          <w:iCs/>
          <w:i/>
        </w:rPr>
        <w:t xml:space="preserve">LIN28A</w:t>
      </w:r>
      <w:r>
        <w:t xml:space="preserve"> </w:t>
      </w:r>
      <w:r>
        <w:t xml:space="preserve">over-expression and no</w:t>
      </w:r>
      <w:r>
        <w:t xml:space="preserve"> </w:t>
      </w:r>
      <w:r>
        <w:rPr>
          <w:iCs/>
          <w:i/>
        </w:rPr>
        <w:t xml:space="preserve">TTYH1</w:t>
      </w:r>
      <w:r>
        <w:t xml:space="preserve"> </w:t>
      </w:r>
      <w:r>
        <w:t xml:space="preserve">gene fusion.</w:t>
      </w:r>
    </w:p>
    <w:bookmarkEnd w:id="300"/>
    <w:bookmarkStart w:id="301" w:name="Xae8cb1b73a9c77769eec294778d3baab465cba2"/>
    <w:p>
      <w:pPr>
        <w:pStyle w:val="Heading4"/>
      </w:pPr>
      <w:r>
        <w:t xml:space="preserve">TP53 Alteration Annotation (</w:t>
      </w:r>
      <w:r>
        <w:rPr>
          <w:rStyle w:val="VerbatimChar"/>
        </w:rPr>
        <w:t xml:space="preserve">tp53_nf1_score</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301"/>
    <w:bookmarkStart w:id="303" w:name="Xaec90076bc783deb5e9ffe505c6094537cbaad8"/>
    <w:p>
      <w:pPr>
        <w:pStyle w:val="Heading4"/>
      </w:pPr>
      <w:r>
        <w:t xml:space="preserve">Selection of independent samples (</w:t>
      </w:r>
      <w:r>
        <w:rPr>
          <w:rStyle w:val="VerbatimChar"/>
        </w:rPr>
        <w:t xml:space="preserve">independent-samples</w:t>
      </w:r>
      <w:r>
        <w:t xml:space="preserve"> </w:t>
      </w:r>
      <w:r>
        <w:t xml:space="preserve">analysis module)</w:t>
      </w:r>
    </w:p>
    <w:p>
      <w:pPr>
        <w:pStyle w:val="FirstParagraph"/>
      </w:pPr>
      <w:r>
        <w:t xml:space="preserve">For analyses that require all input biospecimens to be independent, we use the OpenPedCan-analysis</w:t>
      </w:r>
      <w:r>
        <w:t xml:space="preserve"> </w:t>
      </w:r>
      <w:hyperlink r:id="rId302">
        <w:r>
          <w:rPr>
            <w:rStyle w:val="Hyperlink"/>
          </w:rPr>
          <w:t xml:space="preserve">independent-samples</w:t>
        </w:r>
      </w:hyperlink>
      <w:r>
        <w:t xml:space="preserve"> </w:t>
      </w:r>
      <w:r>
        <w:t xml:space="preserve">module to select only one biospecimen from each input participant.</w:t>
      </w:r>
      <w:r>
        <w:t xml:space="preserve"> </w:t>
      </w:r>
      <w:r>
        <w:t xml:space="preserve">For each input participant of an analysis, the independent biospecimen is selected based on the analysis-specific filters and preferences for the biospecimen metadata, such as experimental strategy, cancer group, and tumor descriptor.</w:t>
      </w:r>
    </w:p>
    <w:bookmarkEnd w:id="303"/>
    <w:bookmarkEnd w:id="304"/>
    <w:bookmarkEnd w:id="305"/>
    <w:bookmarkStart w:id="306" w:name="data-validation-and-quality-control"/>
    <w:p>
      <w:pPr>
        <w:pStyle w:val="Heading2"/>
      </w:pPr>
      <w:r>
        <w:t xml:space="preserve">Data Validation and Quality Control</w:t>
      </w:r>
    </w:p>
    <w:p>
      <w:pPr>
        <w:pStyle w:val="FirstParagraph"/>
      </w:pPr>
      <w:r>
        <w:t xml:space="preserve">We ran NGSCheckMate</w:t>
      </w:r>
      <w:r>
        <w:t xml:space="preserve"> </w:t>
      </w:r>
      <w:r>
        <w:t xml:space="preserve">[</w:t>
      </w:r>
      <w:hyperlink w:anchor="ref-A4FXW005">
        <w:r>
          <w:rPr>
            <w:rStyle w:val="Hyperlink"/>
          </w:rPr>
          <w:t xml:space="preserve">35</w:t>
        </w:r>
      </w:hyperlink>
      <w:r>
        <w:t xml:space="preserve">]</w:t>
      </w:r>
      <w:r>
        <w:t xml:space="preserve"> </w:t>
      </w:r>
      <w:r>
        <w:t xml:space="preserve">to confirm tumor/normal sample matches as described in the OpenPBTA manuscript</w:t>
      </w:r>
      <w:r>
        <w:t xml:space="preserve"> </w:t>
      </w:r>
      <w:r>
        <w:t xml:space="preserve">[</w:t>
      </w:r>
      <w:hyperlink w:anchor="ref-5VXMHJ7N">
        <w:r>
          <w:rPr>
            <w:rStyle w:val="Hyperlink"/>
          </w:rPr>
          <w:t xml:space="preserve">1</w:t>
        </w:r>
      </w:hyperlink>
      <w:r>
        <w:t xml:space="preserve">]</w:t>
      </w:r>
      <w:r>
        <w:t xml:space="preserve"> </w:t>
      </w:r>
      <w:r>
        <w:t xml:space="preserve">and excluded mismatched samples.</w:t>
      </w:r>
      <w:r>
        <w:t xml:space="preserve"> </w:t>
      </w:r>
      <w:r>
        <w:t xml:space="preserve">We also ran</w:t>
      </w:r>
      <w:r>
        <w:t xml:space="preserve"> </w:t>
      </w:r>
      <w:r>
        <w:rPr>
          <w:rStyle w:val="VerbatimChar"/>
        </w:rPr>
        <w:t xml:space="preserve">somalier relate</w:t>
      </w:r>
      <w:r>
        <w:t xml:space="preserve"> </w:t>
      </w:r>
      <w:r>
        <w:t xml:space="preserve">[</w:t>
      </w:r>
      <w:hyperlink w:anchor="ref-eoDdE9oT">
        <w:r>
          <w:rPr>
            <w:rStyle w:val="Hyperlink"/>
          </w:rPr>
          <w:t xml:space="preserve">36</w:t>
        </w:r>
      </w:hyperlink>
      <w:r>
        <w:t xml:space="preserve">]</w:t>
      </w:r>
      <w:r>
        <w:t xml:space="preserve"> </w:t>
      </w:r>
      <w:r>
        <w:t xml:space="preserve">to identify potential mismatched samples.</w:t>
      </w:r>
      <w:r>
        <w:t xml:space="preserve"> </w:t>
      </w:r>
      <w:r>
        <w:t xml:space="preserve">We required that at least 20M total reads with 50% of RNA-Seq reads mapped to the human reference for samples to be included in analysis.</w:t>
      </w:r>
      <w:r>
        <w:t xml:space="preserve"> </w:t>
      </w:r>
      <w:r>
        <w:t xml:space="preserve">We required at least 20X coverage for tumor DNA samples to be included in this analysis.</w:t>
      </w:r>
    </w:p>
    <w:bookmarkEnd w:id="306"/>
    <w:bookmarkStart w:id="307" w:name="re-use-potential"/>
    <w:p>
      <w:pPr>
        <w:pStyle w:val="Heading2"/>
      </w:pPr>
      <w:r>
        <w:t xml:space="preserve">Re-use potential</w:t>
      </w:r>
    </w:p>
    <w:p>
      <w:pPr>
        <w:pStyle w:val="FirstParagraph"/>
      </w:pPr>
      <w:r>
        <w:t xml:space="preserve">OpenPedCan serves as a community resource whose outputs and/or code can be leveraged directly to ask research questions or serve as an orthogonal validation dataset.</w:t>
      </w:r>
      <w:r>
        <w:t xml:space="preserve"> </w:t>
      </w:r>
      <w:r>
        <w:t xml:space="preserve">We encourage re-use of the data, ideas and suggestions for improving the data or adding analyses, and/or direct code contributions through a pull-request.</w:t>
      </w:r>
      <w:r>
        <w:t xml:space="preserve"> </w:t>
      </w:r>
      <w:r>
        <w:t xml:space="preserve">Further, the analysis modules can be run within the project Docker container locally or on EC2 and scaled as the data size increases.</w:t>
      </w:r>
    </w:p>
    <w:bookmarkEnd w:id="307"/>
    <w:bookmarkStart w:id="311" w:name="X3e066af15c8d97436bf8db638ddd567e1b87548"/>
    <w:p>
      <w:pPr>
        <w:pStyle w:val="Heading2"/>
      </w:pPr>
      <w:r>
        <w:t xml:space="preserve">Availability of source code and requirements</w:t>
      </w:r>
    </w:p>
    <w:p>
      <w:pPr>
        <w:pStyle w:val="FirstParagraph"/>
      </w:pPr>
      <w:r>
        <w:t xml:space="preserve">Project name: The Open Pediatric Cancer (OpenPedCan) Project</w:t>
      </w:r>
    </w:p>
    <w:p>
      <w:pPr>
        <w:pStyle w:val="BodyText"/>
      </w:pPr>
      <w:r>
        <w:t xml:space="preserve">Project home page: https://github.com/d3b-center/OpenPedCan-analysis</w:t>
      </w:r>
    </w:p>
    <w:p>
      <w:pPr>
        <w:pStyle w:val="BodyText"/>
      </w:pPr>
      <w:r>
        <w:t xml:space="preserve">Operating system(s): Platform independent</w:t>
      </w:r>
    </w:p>
    <w:p>
      <w:pPr>
        <w:pStyle w:val="BodyText"/>
      </w:pPr>
      <w:r>
        <w:t xml:space="preserve">Programming languages: R, Python, bash</w:t>
      </w:r>
    </w:p>
    <w:p>
      <w:pPr>
        <w:pStyle w:val="BodyText"/>
      </w:pPr>
      <w:r>
        <w:t xml:space="preserve">Other requirements: CAVATICA, Docker image at pgc-images.sbgenomics.com/d3b-bixu/openpedcanverse:latest</w:t>
      </w:r>
    </w:p>
    <w:p>
      <w:pPr>
        <w:pStyle w:val="BodyText"/>
      </w:pPr>
      <w:r>
        <w:t xml:space="preserve">License: CC-BY 4.0</w:t>
      </w:r>
    </w:p>
    <w:p>
      <w:pPr>
        <w:pStyle w:val="BodyText"/>
      </w:pPr>
      <w:r>
        <w:t xml:space="preserve">Primary analyses were performed using Gabriella Miller Kids First pipelines and are listed in the methods section.</w:t>
      </w:r>
      <w:r>
        <w:t xml:space="preserve"> </w:t>
      </w:r>
      <w:r>
        <w:t xml:space="preserve">Analysis modules were developed within</w:t>
      </w:r>
      <w:r>
        <w:t xml:space="preserve"> </w:t>
      </w:r>
      <w:hyperlink r:id="rId308">
        <w:r>
          <w:rPr>
            <w:rStyle w:val="Hyperlink"/>
          </w:rPr>
          <w:t xml:space="preserve">https://github.com/AlexsLemonade/OpenPBTA-analysis</w:t>
        </w:r>
      </w:hyperlink>
      <w:r>
        <w:t xml:space="preserve"> </w:t>
      </w:r>
      <w:r>
        <w:t xml:space="preserve">[</w:t>
      </w:r>
      <w:hyperlink w:anchor="ref-5VXMHJ7N">
        <w:r>
          <w:rPr>
            <w:rStyle w:val="Hyperlink"/>
          </w:rPr>
          <w:t xml:space="preserve">1</w:t>
        </w:r>
      </w:hyperlink>
      <w:r>
        <w:t xml:space="preserve">]</w:t>
      </w:r>
      <w:r>
        <w:t xml:space="preserve">, modified based on OpenPBTA, or newly created and can be found within the</w:t>
      </w:r>
      <w:r>
        <w:t xml:space="preserve"> </w:t>
      </w:r>
      <w:hyperlink r:id="rId309">
        <w:r>
          <w:rPr>
            <w:rStyle w:val="Hyperlink"/>
          </w:rPr>
          <w:t xml:space="preserve">https://github.com/d3b-center/OpenPedCan-analysis</w:t>
        </w:r>
      </w:hyperlink>
      <w:r>
        <w:t xml:space="preserve"> </w:t>
      </w:r>
      <w:r>
        <w:t xml:space="preserve">publicly available repository.</w:t>
      </w:r>
    </w:p>
    <w:p>
      <w:pPr>
        <w:pStyle w:val="BodyText"/>
      </w:pPr>
      <w:r>
        <w:t xml:space="preserve">Software versions are documented in</w:t>
      </w:r>
      <w:r>
        <w:t xml:space="preserve"> </w:t>
      </w:r>
      <w:hyperlink r:id="rId310">
        <w:r>
          <w:rPr>
            <w:rStyle w:val="Hyperlink"/>
            <w:bCs/>
            <w:b/>
          </w:rPr>
          <w:t xml:space="preserve">Supplemental Table 3</w:t>
        </w:r>
      </w:hyperlink>
      <w:r>
        <w:t xml:space="preserve">.</w:t>
      </w:r>
    </w:p>
    <w:bookmarkEnd w:id="311"/>
    <w:bookmarkStart w:id="315" w:name="data-availability"/>
    <w:p>
      <w:pPr>
        <w:pStyle w:val="Heading2"/>
      </w:pPr>
      <w:r>
        <w:t xml:space="preserve">Data Availability</w:t>
      </w:r>
    </w:p>
    <w:bookmarkStart w:id="314" w:name="datasets"/>
    <w:p>
      <w:pPr>
        <w:pStyle w:val="Heading3"/>
      </w:pPr>
      <w:r>
        <w:t xml:space="preserve">Datasets</w:t>
      </w:r>
    </w:p>
    <w:p>
      <w:pPr>
        <w:pStyle w:val="FirstParagraph"/>
      </w:pPr>
      <w:r>
        <w:t xml:space="preserve">The datasets supporting this study are available as follows:</w:t>
      </w:r>
      <w:r>
        <w:t xml:space="preserve"> </w:t>
      </w:r>
      <w:r>
        <w:t xml:space="preserve">The TARGET dataset is available in dbGAP under phs000218.v23.p8</w:t>
      </w:r>
      <w:r>
        <w:t xml:space="preserve"> </w:t>
      </w:r>
      <w:r>
        <w:t xml:space="preserve">[</w:t>
      </w:r>
      <w:hyperlink w:anchor="ref-17Erd7F9J">
        <w:r>
          <w:rPr>
            <w:rStyle w:val="Hyperlink"/>
          </w:rPr>
          <w:t xml:space="preserve">37</w:t>
        </w:r>
      </w:hyperlink>
      <w:r>
        <w:t xml:space="preserve">]</w:t>
      </w:r>
      <w:r>
        <w:t xml:space="preserve">.</w:t>
      </w:r>
      <w:r>
        <w:t xml:space="preserve"> </w:t>
      </w:r>
      <w:r>
        <w:t xml:space="preserve">The GMKF Neuroblastoma dataset is available in dbGAP under phs001436.v1.p1</w:t>
      </w:r>
      <w:r>
        <w:t xml:space="preserve">[</w:t>
      </w:r>
      <w:hyperlink w:anchor="ref-UVwAVvuW">
        <w:r>
          <w:rPr>
            <w:rStyle w:val="Hyperlink"/>
          </w:rPr>
          <w:t xml:space="preserve">38</w:t>
        </w:r>
      </w:hyperlink>
      <w:r>
        <w:t xml:space="preserve">]</w:t>
      </w:r>
      <w:r>
        <w:t xml:space="preserve">.</w:t>
      </w:r>
      <w:r>
        <w:t xml:space="preserve"> </w:t>
      </w:r>
      <w:r>
        <w:t xml:space="preserve">The Pediatric Brain Tumor Atlas data (PBTA), containing the subcohorts OpenPBTA, Kids First PBTA (X01), Chordoma Foundation, MI-ONCOSEQ Study, PNOC, and DGD is available in dbGAP under phs002517.v4.p2</w:t>
      </w:r>
      <w:r>
        <w:t xml:space="preserve"> </w:t>
      </w:r>
      <w:r>
        <w:t xml:space="preserve">[</w:t>
      </w:r>
      <w:hyperlink w:anchor="ref-rE2wVvW4">
        <w:r>
          <w:rPr>
            <w:rStyle w:val="Hyperlink"/>
          </w:rPr>
          <w:t xml:space="preserve">39</w:t>
        </w:r>
      </w:hyperlink>
      <w:r>
        <w:t xml:space="preserve">]</w:t>
      </w:r>
      <w:r>
        <w:t xml:space="preserve"> </w:t>
      </w:r>
      <w:r>
        <w:t xml:space="preserve">or in the Kids First Portal (kidsfirstdrc.org).</w:t>
      </w:r>
      <w:r>
        <w:t xml:space="preserve"> </w:t>
      </w:r>
      <w:r>
        <w:t xml:space="preserve">The raw Genotype-Tissue Expression (GTEx) dataset is available in dbGAP under phs000424.v9.p2 and publicly available at https://gtexportal.org/home/.</w:t>
      </w:r>
      <w:r>
        <w:t xml:space="preserve"> </w:t>
      </w:r>
      <w:r>
        <w:t xml:space="preserve">The Cancer Genome Atlas (TCGA) dataset is available in dbGAP under phs000178.v11.p8</w:t>
      </w:r>
      <w:r>
        <w:t xml:space="preserve"> </w:t>
      </w:r>
      <w:r>
        <w:t xml:space="preserve">[</w:t>
      </w:r>
      <w:hyperlink w:anchor="ref-A9rC7i7X">
        <w:r>
          <w:rPr>
            <w:rStyle w:val="Hyperlink"/>
          </w:rPr>
          <w:t xml:space="preserve">40</w:t>
        </w:r>
      </w:hyperlink>
      <w:r>
        <w:t xml:space="preserve">]</w:t>
      </w:r>
      <w:r>
        <w:t xml:space="preserve">.</w:t>
      </w:r>
    </w:p>
    <w:p>
      <w:pPr>
        <w:pStyle w:val="BodyText"/>
      </w:pPr>
      <w:r>
        <w:t xml:space="preserve">Merged summary files for the latest release of OpenPedCan are openly accessible in</w:t>
      </w:r>
      <w:r>
        <w:t xml:space="preserve"> </w:t>
      </w:r>
      <w:hyperlink r:id="rId312">
        <w:r>
          <w:rPr>
            <w:rStyle w:val="Hyperlink"/>
          </w:rPr>
          <w:t xml:space="preserve">CAVATICA</w:t>
        </w:r>
      </w:hyperlink>
      <w:r>
        <w:t xml:space="preserve"> </w:t>
      </w:r>
      <w:r>
        <w:t xml:space="preserve">or via</w:t>
      </w:r>
      <w:r>
        <w:t xml:space="preserve"> </w:t>
      </w:r>
      <w:r>
        <w:rPr>
          <w:rStyle w:val="VerbatimChar"/>
        </w:rPr>
        <w:t xml:space="preserve">download-data.sh</w:t>
      </w:r>
      <w:r>
        <w:t xml:space="preserve"> </w:t>
      </w:r>
      <w:r>
        <w:t xml:space="preserve">script in the</w:t>
      </w:r>
      <w:r>
        <w:t xml:space="preserve"> </w:t>
      </w:r>
      <w:hyperlink r:id="rId309">
        <w:r>
          <w:rPr>
            <w:rStyle w:val="Hyperlink"/>
          </w:rPr>
          <w:t xml:space="preserve">https://github.com/d3b-center/OpenPedCan-analysis</w:t>
        </w:r>
      </w:hyperlink>
      <w:r>
        <w:t xml:space="preserve"> </w:t>
      </w:r>
      <w:r>
        <w:t xml:space="preserve">repository.</w:t>
      </w:r>
      <w:r>
        <w:t xml:space="preserve"> </w:t>
      </w:r>
      <w:r>
        <w:t xml:space="preserve">Cancer group summary data from release v11 are visible within the NCI’s pediatric</w:t>
      </w:r>
      <w:r>
        <w:t xml:space="preserve"> </w:t>
      </w:r>
      <w:hyperlink r:id="rId227">
        <w:r>
          <w:rPr>
            <w:rStyle w:val="Hyperlink"/>
          </w:rPr>
          <w:t xml:space="preserve">Molecular Targets Platform</w:t>
        </w:r>
      </w:hyperlink>
      <w:r>
        <w:t xml:space="preserve">.</w:t>
      </w:r>
      <w:r>
        <w:t xml:space="preserve"> </w:t>
      </w:r>
      <w:r>
        <w:t xml:space="preserve">Cohort, cancer group, and individual data are visible within</w:t>
      </w:r>
      <w:r>
        <w:t xml:space="preserve"> </w:t>
      </w:r>
      <w:hyperlink r:id="rId313">
        <w:r>
          <w:rPr>
            <w:rStyle w:val="Hyperlink"/>
          </w:rPr>
          <w:t xml:space="preserve">PedcBioPortal</w:t>
        </w:r>
      </w:hyperlink>
    </w:p>
    <w:bookmarkEnd w:id="314"/>
    <w:bookmarkEnd w:id="315"/>
    <w:bookmarkStart w:id="316" w:name="acknowledgments"/>
    <w:p>
      <w:pPr>
        <w:pStyle w:val="Heading2"/>
      </w:pPr>
      <w:r>
        <w:t xml:space="preserve">Acknowledgments</w:t>
      </w:r>
    </w:p>
    <w:p>
      <w:pPr>
        <w:pStyle w:val="FirstParagraph"/>
      </w:pPr>
      <w:r>
        <w:t xml:space="preserve">We are incredibly grateful to each patient and family for donating tissue and associated metadata and clinical data to their respective consortia.</w:t>
      </w:r>
      <w:r>
        <w:t xml:space="preserve"> </w:t>
      </w:r>
      <w:r>
        <w:t xml:space="preserve">This project has been funded in whole or in part with Federal funds from the National Cancer Institute, National Institutes of Health, under Contract No. 75N91019D00024, Task Order No. 75N91020F00003 (DMT, JLR, SJD, JMM, ST, AF, ACR).</w:t>
      </w:r>
      <w:r>
        <w:t xml:space="preserve"> </w:t>
      </w:r>
      <w:r>
        <w:t xml:space="preserve">The content of this publication does not necessarily reflect the views or policies of the Department of Health and Human Services, nor does mention of trade names, commercial products or organizations imply endorsement by the U.S. Government.</w:t>
      </w:r>
      <w:r>
        <w:t xml:space="preserve"> </w:t>
      </w:r>
      <w:r>
        <w:t xml:space="preserve">We thank Rocky Breslow for GitHub actions contributions and Rust Turakulov for contributing to methylation data analysis.</w:t>
      </w:r>
    </w:p>
    <w:bookmarkEnd w:id="316"/>
    <w:bookmarkStart w:id="317" w:name="author-contributions"/>
    <w:p>
      <w:pPr>
        <w:pStyle w:val="Heading2"/>
      </w:pP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Zhuangzhuang Geng</w:t>
            </w:r>
          </w:p>
        </w:tc>
        <w:tc>
          <w:tcPr/>
          <w:p>
            <w:pPr>
              <w:pStyle w:val="Compact"/>
              <w:jc w:val="left"/>
            </w:pPr>
            <w:r>
              <w:t xml:space="preserve">Data curation, Formal analysis, Investigation, Methodology, Software, Writing – Original draft</w:t>
            </w:r>
          </w:p>
        </w:tc>
      </w:tr>
      <w:tr>
        <w:tc>
          <w:tcPr/>
          <w:p>
            <w:pPr>
              <w:pStyle w:val="Compact"/>
              <w:jc w:val="left"/>
            </w:pPr>
            <w:r>
              <w:t xml:space="preserve">Eric Wafula</w:t>
            </w:r>
          </w:p>
        </w:tc>
        <w:tc>
          <w:tcPr/>
          <w:p>
            <w:pPr>
              <w:pStyle w:val="Compact"/>
              <w:jc w:val="left"/>
            </w:pPr>
            <w:r>
              <w:t xml:space="preserve">Formal analysis, Software, Investigation, Writing – Original draft</w:t>
            </w:r>
          </w:p>
        </w:tc>
      </w:tr>
      <w:tr>
        <w:tc>
          <w:tcPr/>
          <w:p>
            <w:pPr>
              <w:pStyle w:val="Compact"/>
              <w:jc w:val="left"/>
            </w:pPr>
            <w:r>
              <w:t xml:space="preserve">Ryan J. Corbett</w:t>
            </w:r>
          </w:p>
        </w:tc>
        <w:tc>
          <w:tcPr/>
          <w:p>
            <w:pPr>
              <w:pStyle w:val="Compact"/>
              <w:jc w:val="left"/>
            </w:pPr>
            <w:r>
              <w:t xml:space="preserve">Formal analysis, Writing - original draft</w:t>
            </w:r>
          </w:p>
        </w:tc>
      </w:tr>
      <w:tr>
        <w:tc>
          <w:tcPr/>
          <w:p>
            <w:pPr>
              <w:pStyle w:val="Compact"/>
              <w:jc w:val="left"/>
            </w:pPr>
            <w:r>
              <w:t xml:space="preserve">Yuanchao Zhang</w:t>
            </w:r>
          </w:p>
        </w:tc>
        <w:tc>
          <w:tcPr/>
          <w:p>
            <w:pPr>
              <w:pStyle w:val="Compact"/>
              <w:jc w:val="left"/>
            </w:pPr>
            <w:r>
              <w:t xml:space="preserve">Software, Formal analysis, Methodology, Writing – Original draft</w:t>
            </w:r>
          </w:p>
        </w:tc>
      </w:tr>
      <w:tr>
        <w:tc>
          <w:tcPr/>
          <w:p>
            <w:pPr>
              <w:pStyle w:val="Compact"/>
              <w:jc w:val="left"/>
            </w:pPr>
            <w:r>
              <w:t xml:space="preserve">Run Jin</w:t>
            </w:r>
          </w:p>
        </w:tc>
        <w:tc>
          <w:tcPr/>
          <w:p>
            <w:pPr>
              <w:pStyle w:val="Compact"/>
              <w:jc w:val="left"/>
            </w:pPr>
            <w:r>
              <w:t xml:space="preserve">Formal analysis</w:t>
            </w:r>
          </w:p>
        </w:tc>
      </w:tr>
      <w:tr>
        <w:tc>
          <w:tcPr/>
          <w:p>
            <w:pPr>
              <w:pStyle w:val="Compact"/>
              <w:jc w:val="left"/>
            </w:pPr>
            <w:r>
              <w:t xml:space="preserve">Krutika S. Gaonkar</w:t>
            </w:r>
          </w:p>
        </w:tc>
        <w:tc>
          <w:tcPr/>
          <w:p>
            <w:pPr>
              <w:pStyle w:val="Compact"/>
              <w:jc w:val="left"/>
            </w:pPr>
            <w:r>
              <w:t xml:space="preserve">Data curation, Formal analysis, Investigation</w:t>
            </w:r>
          </w:p>
        </w:tc>
      </w:tr>
      <w:tr>
        <w:tc>
          <w:tcPr/>
          <w:p>
            <w:pPr>
              <w:pStyle w:val="Compact"/>
              <w:jc w:val="left"/>
            </w:pPr>
            <w:r>
              <w:t xml:space="preserve">Sangeeta Shukla</w:t>
            </w:r>
          </w:p>
        </w:tc>
        <w:tc>
          <w:tcPr/>
          <w:p>
            <w:pPr>
              <w:pStyle w:val="Compact"/>
              <w:jc w:val="left"/>
            </w:pPr>
            <w:r>
              <w:t xml:space="preserve">Formal analysis, Investigation, Methodology, Writing – Original draft, Writing - Review and editing</w:t>
            </w:r>
          </w:p>
        </w:tc>
      </w:tr>
      <w:tr>
        <w:tc>
          <w:tcPr/>
          <w:p>
            <w:pPr>
              <w:pStyle w:val="Compact"/>
              <w:jc w:val="left"/>
            </w:pPr>
            <w:r>
              <w:t xml:space="preserve">Komal S. Rathi</w:t>
            </w:r>
          </w:p>
        </w:tc>
        <w:tc>
          <w:tcPr/>
          <w:p>
            <w:pPr>
              <w:pStyle w:val="Compact"/>
              <w:jc w:val="left"/>
            </w:pPr>
            <w:r>
              <w:t xml:space="preserve">Formal analysis, Investigation, Methodology</w:t>
            </w:r>
          </w:p>
        </w:tc>
      </w:tr>
      <w:tr>
        <w:tc>
          <w:tcPr/>
          <w:p>
            <w:pPr>
              <w:pStyle w:val="Compact"/>
              <w:jc w:val="left"/>
            </w:pPr>
            <w:r>
              <w:t xml:space="preserve">Dave Hill</w:t>
            </w:r>
          </w:p>
        </w:tc>
        <w:tc>
          <w:tcPr/>
          <w:p>
            <w:pPr>
              <w:pStyle w:val="Compact"/>
              <w:jc w:val="left"/>
            </w:pPr>
            <w:r>
              <w:t xml:space="preserve">Formal analysis, Writing - original draft</w:t>
            </w:r>
          </w:p>
        </w:tc>
      </w:tr>
      <w:tr>
        <w:tc>
          <w:tcPr/>
          <w:p>
            <w:pPr>
              <w:pStyle w:val="Compact"/>
              <w:jc w:val="left"/>
            </w:pPr>
            <w:r>
              <w:t xml:space="preserve">Aditya Lahiri</w:t>
            </w:r>
          </w:p>
        </w:tc>
        <w:tc>
          <w:tcPr/>
          <w:p>
            <w:pPr>
              <w:pStyle w:val="Compact"/>
              <w:jc w:val="left"/>
            </w:pPr>
            <w:r>
              <w:t xml:space="preserve">Formal analysis, Investigation, Methodology, Writing – Original draft</w:t>
            </w:r>
          </w:p>
        </w:tc>
      </w:tr>
      <w:tr>
        <w:tc>
          <w:tcPr/>
          <w:p>
            <w:pPr>
              <w:pStyle w:val="Compact"/>
              <w:jc w:val="left"/>
            </w:pPr>
            <w:r>
              <w:t xml:space="preserve">Daniel P. Miller</w:t>
            </w:r>
          </w:p>
        </w:tc>
        <w:tc>
          <w:tcPr/>
          <w:p>
            <w:pPr>
              <w:pStyle w:val="Compact"/>
              <w:jc w:val="left"/>
            </w:pPr>
            <w:r>
              <w:t xml:space="preserve">Formal analysis, Writing – Original draft</w:t>
            </w:r>
          </w:p>
        </w:tc>
      </w:tr>
      <w:tr>
        <w:tc>
          <w:tcPr/>
          <w:p>
            <w:pPr>
              <w:pStyle w:val="Compact"/>
              <w:jc w:val="left"/>
            </w:pPr>
            <w:r>
              <w:t xml:space="preserve">Alex Sickler</w:t>
            </w:r>
          </w:p>
        </w:tc>
        <w:tc>
          <w:tcPr/>
          <w:p>
            <w:pPr>
              <w:pStyle w:val="Compact"/>
              <w:jc w:val="left"/>
            </w:pPr>
            <w:r>
              <w:t xml:space="preserve">Methodology, Formal analysis</w:t>
            </w:r>
          </w:p>
        </w:tc>
      </w:tr>
      <w:tr>
        <w:tc>
          <w:tcPr/>
          <w:p>
            <w:pPr>
              <w:pStyle w:val="Compact"/>
              <w:jc w:val="left"/>
            </w:pPr>
            <w:r>
              <w:t xml:space="preserve">Kelsey Keith</w:t>
            </w:r>
          </w:p>
        </w:tc>
        <w:tc>
          <w:tcPr/>
          <w:p>
            <w:pPr>
              <w:pStyle w:val="Compact"/>
              <w:jc w:val="left"/>
            </w:pPr>
            <w:r>
              <w:t xml:space="preserve">Writing - original draft, Formal Analysis</w:t>
            </w:r>
          </w:p>
        </w:tc>
      </w:tr>
      <w:tr>
        <w:tc>
          <w:tcPr/>
          <w:p>
            <w:pPr>
              <w:pStyle w:val="Compact"/>
              <w:jc w:val="left"/>
            </w:pPr>
            <w:r>
              <w:t xml:space="preserve">Christopher Blackden</w:t>
            </w:r>
          </w:p>
        </w:tc>
        <w:tc>
          <w:tcPr/>
          <w:p>
            <w:pPr>
              <w:pStyle w:val="Compact"/>
              <w:jc w:val="left"/>
            </w:pPr>
            <w:r>
              <w:t xml:space="preserve">Software</w:t>
            </w:r>
          </w:p>
        </w:tc>
      </w:tr>
      <w:tr>
        <w:tc>
          <w:tcPr/>
          <w:p>
            <w:pPr>
              <w:pStyle w:val="Compact"/>
              <w:jc w:val="left"/>
            </w:pPr>
            <w:r>
              <w:t xml:space="preserve">Antonia Chroni</w:t>
            </w:r>
          </w:p>
        </w:tc>
        <w:tc>
          <w:tcPr/>
          <w:p>
            <w:pPr>
              <w:pStyle w:val="Compact"/>
              <w:jc w:val="left"/>
            </w:pPr>
            <w:r>
              <w:t xml:space="preserve">Validation</w:t>
            </w:r>
          </w:p>
        </w:tc>
      </w:tr>
      <w:tr>
        <w:tc>
          <w:tcPr/>
          <w:p>
            <w:pPr>
              <w:pStyle w:val="Compact"/>
              <w:jc w:val="left"/>
            </w:pPr>
            <w:r>
              <w:t xml:space="preserve">Miguel A. Brown</w:t>
            </w:r>
          </w:p>
        </w:tc>
        <w:tc>
          <w:tcPr/>
          <w:p>
            <w:pPr>
              <w:pStyle w:val="Compact"/>
              <w:jc w:val="left"/>
            </w:pPr>
            <w:r>
              <w:t xml:space="preserve">Data curation, Methodology, Formal analysis, Investigation, Software, Supervision, Writing – Original draft</w:t>
            </w:r>
          </w:p>
        </w:tc>
      </w:tr>
      <w:tr>
        <w:tc>
          <w:tcPr/>
          <w:p>
            <w:pPr>
              <w:pStyle w:val="Compact"/>
              <w:jc w:val="left"/>
            </w:pPr>
            <w:r>
              <w:t xml:space="preserve">Adam A. Kraya</w:t>
            </w:r>
          </w:p>
        </w:tc>
        <w:tc>
          <w:tcPr/>
          <w:p>
            <w:pPr>
              <w:pStyle w:val="Compact"/>
              <w:jc w:val="left"/>
            </w:pPr>
            <w:r>
              <w:t xml:space="preserve">Methodology</w:t>
            </w:r>
          </w:p>
        </w:tc>
      </w:tr>
      <w:tr>
        <w:tc>
          <w:tcPr/>
          <w:p>
            <w:pPr>
              <w:pStyle w:val="Compact"/>
              <w:jc w:val="left"/>
            </w:pPr>
            <w:r>
              <w:t xml:space="preserve">Brian R. Rood</w:t>
            </w:r>
          </w:p>
        </w:tc>
        <w:tc>
          <w:tcPr/>
          <w:p>
            <w:pPr>
              <w:pStyle w:val="Compact"/>
              <w:jc w:val="left"/>
            </w:pPr>
            <w:r>
              <w:t xml:space="preserve">Data Curation</w:t>
            </w:r>
          </w:p>
        </w:tc>
      </w:tr>
      <w:tr>
        <w:tc>
          <w:tcPr/>
          <w:p>
            <w:pPr>
              <w:pStyle w:val="Compact"/>
              <w:jc w:val="left"/>
            </w:pPr>
            <w:r>
              <w:t xml:space="preserve">Adam C. Resnick</w:t>
            </w:r>
          </w:p>
        </w:tc>
        <w:tc>
          <w:tcPr/>
          <w:p>
            <w:pPr>
              <w:pStyle w:val="Compact"/>
              <w:jc w:val="left"/>
            </w:pPr>
            <w:r>
              <w:t xml:space="preserve">Funding acquisition, Resources</w:t>
            </w:r>
          </w:p>
        </w:tc>
      </w:tr>
      <w:tr>
        <w:tc>
          <w:tcPr/>
          <w:p>
            <w:pPr>
              <w:pStyle w:val="Compact"/>
              <w:jc w:val="left"/>
            </w:pPr>
            <w:r>
              <w:t xml:space="preserve">Nicholas Van Kuren</w:t>
            </w:r>
          </w:p>
        </w:tc>
        <w:tc>
          <w:tcPr/>
          <w:p>
            <w:pPr>
              <w:pStyle w:val="Compact"/>
              <w:jc w:val="left"/>
            </w:pPr>
            <w:r>
              <w:t xml:space="preserve">Data curation, Software</w:t>
            </w:r>
          </w:p>
        </w:tc>
      </w:tr>
      <w:tr>
        <w:tc>
          <w:tcPr/>
          <w:p>
            <w:pPr>
              <w:pStyle w:val="Compact"/>
              <w:jc w:val="left"/>
            </w:pPr>
            <w:r>
              <w:t xml:space="preserve">John M. Maris</w:t>
            </w:r>
          </w:p>
        </w:tc>
        <w:tc>
          <w:tcPr/>
          <w:p>
            <w:pPr>
              <w:pStyle w:val="Compact"/>
              <w:jc w:val="left"/>
            </w:pPr>
            <w:r>
              <w:t xml:space="preserve">Funding acquisition</w:t>
            </w:r>
          </w:p>
        </w:tc>
      </w:tr>
      <w:tr>
        <w:tc>
          <w:tcPr/>
          <w:p>
            <w:pPr>
              <w:pStyle w:val="Compact"/>
              <w:jc w:val="left"/>
            </w:pPr>
            <w:r>
              <w:t xml:space="preserve">Alvin Farrel</w:t>
            </w:r>
          </w:p>
        </w:tc>
        <w:tc>
          <w:tcPr/>
          <w:p>
            <w:pPr>
              <w:pStyle w:val="Compact"/>
              <w:jc w:val="left"/>
            </w:pPr>
            <w:r>
              <w:t xml:space="preserve">Supervision, Investigation, Methodology, Funding acquisition</w:t>
            </w:r>
          </w:p>
        </w:tc>
      </w:tr>
      <w:tr>
        <w:tc>
          <w:tcPr/>
          <w:p>
            <w:pPr>
              <w:pStyle w:val="Compact"/>
              <w:jc w:val="left"/>
            </w:pPr>
            <w:r>
              <w:t xml:space="preserve">Mateusz P. Koptyra</w:t>
            </w:r>
          </w:p>
        </w:tc>
        <w:tc>
          <w:tcPr/>
          <w:p>
            <w:pPr>
              <w:pStyle w:val="Compact"/>
              <w:jc w:val="left"/>
            </w:pPr>
            <w:r>
              <w:t xml:space="preserve">Data curation, Investigation, Methodology, Supervision</w:t>
            </w:r>
          </w:p>
        </w:tc>
      </w:tr>
      <w:tr>
        <w:tc>
          <w:tcPr/>
          <w:p>
            <w:pPr>
              <w:pStyle w:val="Compact"/>
              <w:jc w:val="left"/>
            </w:pPr>
            <w:r>
              <w:t xml:space="preserve">Gerri R. Trooskin</w:t>
            </w:r>
          </w:p>
        </w:tc>
        <w:tc>
          <w:tcPr/>
          <w:p>
            <w:pPr>
              <w:pStyle w:val="Compact"/>
              <w:jc w:val="left"/>
            </w:pPr>
            <w:r>
              <w:t xml:space="preserve">Funding acquisition</w:t>
            </w:r>
          </w:p>
        </w:tc>
      </w:tr>
      <w:tr>
        <w:tc>
          <w:tcPr/>
          <w:p>
            <w:pPr>
              <w:pStyle w:val="Compact"/>
              <w:jc w:val="left"/>
            </w:pPr>
            <w:r>
              <w:t xml:space="preserve">Noel Coleman</w:t>
            </w:r>
          </w:p>
        </w:tc>
        <w:tc>
          <w:tcPr/>
          <w:p>
            <w:pPr>
              <w:pStyle w:val="Compact"/>
              <w:jc w:val="left"/>
            </w:pPr>
            <w:r>
              <w:t xml:space="preserve">Data curation</w:t>
            </w:r>
          </w:p>
        </w:tc>
      </w:tr>
      <w:tr>
        <w:tc>
          <w:tcPr/>
          <w:p>
            <w:pPr>
              <w:pStyle w:val="Compact"/>
              <w:jc w:val="left"/>
            </w:pPr>
            <w:r>
              <w:t xml:space="preserve">Yuankun Zhu</w:t>
            </w:r>
          </w:p>
        </w:tc>
        <w:tc>
          <w:tcPr/>
          <w:p>
            <w:pPr>
              <w:pStyle w:val="Compact"/>
              <w:jc w:val="left"/>
            </w:pPr>
            <w:r>
              <w:t xml:space="preserve">Supervision</w:t>
            </w:r>
          </w:p>
        </w:tc>
      </w:tr>
      <w:tr>
        <w:tc>
          <w:tcPr/>
          <w:p>
            <w:pPr>
              <w:pStyle w:val="Compact"/>
              <w:jc w:val="left"/>
            </w:pPr>
            <w:r>
              <w:t xml:space="preserve">Stephanie Stefankiewicz</w:t>
            </w:r>
          </w:p>
        </w:tc>
        <w:tc>
          <w:tcPr/>
          <w:p>
            <w:pPr>
              <w:pStyle w:val="Compact"/>
              <w:jc w:val="left"/>
            </w:pPr>
            <w:r>
              <w:t xml:space="preserve">Project administration</w:t>
            </w:r>
          </w:p>
        </w:tc>
      </w:tr>
      <w:tr>
        <w:tc>
          <w:tcPr/>
          <w:p>
            <w:pPr>
              <w:pStyle w:val="Compact"/>
              <w:jc w:val="left"/>
            </w:pPr>
            <w:r>
              <w:t xml:space="preserve">Zied Abdullaev</w:t>
            </w:r>
          </w:p>
        </w:tc>
        <w:tc>
          <w:tcPr/>
          <w:p>
            <w:pPr>
              <w:pStyle w:val="Compact"/>
              <w:jc w:val="left"/>
            </w:pPr>
            <w:r>
              <w:t xml:space="preserve">Formal Analysis, Investigation, Data curation</w:t>
            </w:r>
          </w:p>
        </w:tc>
      </w:tr>
      <w:tr>
        <w:tc>
          <w:tcPr/>
          <w:p>
            <w:pPr>
              <w:pStyle w:val="Compact"/>
              <w:jc w:val="left"/>
            </w:pPr>
            <w:r>
              <w:t xml:space="preserve">Asif T Chinwalla</w:t>
            </w:r>
          </w:p>
        </w:tc>
        <w:tc>
          <w:tcPr/>
          <w:p>
            <w:pPr>
              <w:pStyle w:val="Compact"/>
              <w:jc w:val="left"/>
            </w:pPr>
            <w:r>
              <w:t xml:space="preserve">Project administration, Supervision, Methodology, Investigation, Validation</w:t>
            </w:r>
          </w:p>
        </w:tc>
      </w:tr>
      <w:tr>
        <w:tc>
          <w:tcPr/>
          <w:p>
            <w:pPr>
              <w:pStyle w:val="Compact"/>
              <w:jc w:val="left"/>
            </w:pPr>
            <w:r>
              <w:t xml:space="preserve">Mariarita Santi</w:t>
            </w:r>
          </w:p>
        </w:tc>
        <w:tc>
          <w:tcPr/>
          <w:p>
            <w:pPr>
              <w:pStyle w:val="Compact"/>
              <w:jc w:val="left"/>
            </w:pPr>
            <w:r>
              <w:t xml:space="preserve">Investigation, Validation</w:t>
            </w:r>
          </w:p>
        </w:tc>
      </w:tr>
      <w:tr>
        <w:tc>
          <w:tcPr/>
          <w:p>
            <w:pPr>
              <w:pStyle w:val="Compact"/>
              <w:jc w:val="left"/>
            </w:pPr>
            <w:r>
              <w:t xml:space="preserve">Ammar S. Naqvi</w:t>
            </w:r>
          </w:p>
        </w:tc>
        <w:tc>
          <w:tcPr/>
          <w:p>
            <w:pPr>
              <w:pStyle w:val="Compact"/>
              <w:jc w:val="left"/>
            </w:pPr>
            <w:r>
              <w:t xml:space="preserve">Methodology, Writing – Original draft</w:t>
            </w:r>
          </w:p>
        </w:tc>
      </w:tr>
      <w:tr>
        <w:tc>
          <w:tcPr/>
          <w:p>
            <w:pPr>
              <w:pStyle w:val="Compact"/>
              <w:jc w:val="left"/>
            </w:pPr>
            <w:r>
              <w:t xml:space="preserve">Jennifer L. Mason</w:t>
            </w:r>
          </w:p>
        </w:tc>
        <w:tc>
          <w:tcPr/>
          <w:p>
            <w:pPr>
              <w:pStyle w:val="Compact"/>
              <w:jc w:val="left"/>
            </w:pPr>
            <w:r>
              <w:t xml:space="preserve">Supervision</w:t>
            </w:r>
          </w:p>
        </w:tc>
      </w:tr>
      <w:tr>
        <w:tc>
          <w:tcPr/>
          <w:p>
            <w:pPr>
              <w:pStyle w:val="Compact"/>
              <w:jc w:val="left"/>
            </w:pPr>
            <w:r>
              <w:t xml:space="preserve">Carl J. Koschmann</w:t>
            </w:r>
          </w:p>
        </w:tc>
        <w:tc>
          <w:tcPr/>
          <w:p>
            <w:pPr>
              <w:pStyle w:val="Compact"/>
              <w:jc w:val="left"/>
            </w:pPr>
            <w:r>
              <w:t xml:space="preserve">Data Curation</w:t>
            </w:r>
          </w:p>
        </w:tc>
      </w:tr>
      <w:tr>
        <w:tc>
          <w:tcPr/>
          <w:p>
            <w:pPr>
              <w:pStyle w:val="Compact"/>
              <w:jc w:val="left"/>
            </w:pPr>
            <w:r>
              <w:t xml:space="preserve">Xiaoyan Huang</w:t>
            </w:r>
          </w:p>
        </w:tc>
        <w:tc>
          <w:tcPr/>
          <w:p>
            <w:pPr>
              <w:pStyle w:val="Compact"/>
              <w:jc w:val="left"/>
            </w:pPr>
            <w:r>
              <w:t xml:space="preserve">Formal analysis, Software</w:t>
            </w:r>
          </w:p>
        </w:tc>
      </w:tr>
      <w:tr>
        <w:tc>
          <w:tcPr/>
          <w:p>
            <w:pPr>
              <w:pStyle w:val="Compact"/>
              <w:jc w:val="left"/>
            </w:pPr>
            <w:r>
              <w:t xml:space="preserve">Sharon J. Diskin</w:t>
            </w:r>
          </w:p>
        </w:tc>
        <w:tc>
          <w:tcPr/>
          <w:p>
            <w:pPr>
              <w:pStyle w:val="Compact"/>
              <w:jc w:val="left"/>
            </w:pPr>
            <w:r>
              <w:t xml:space="preserve">Funding acquisition</w:t>
            </w:r>
          </w:p>
        </w:tc>
      </w:tr>
      <w:tr>
        <w:tc>
          <w:tcPr/>
          <w:p>
            <w:pPr>
              <w:pStyle w:val="Compact"/>
              <w:jc w:val="left"/>
            </w:pPr>
            <w:r>
              <w:t xml:space="preserve">Kenneth Aldape</w:t>
            </w:r>
          </w:p>
        </w:tc>
        <w:tc>
          <w:tcPr/>
          <w:p>
            <w:pPr>
              <w:pStyle w:val="Compact"/>
              <w:jc w:val="left"/>
            </w:pPr>
            <w:r>
              <w:t xml:space="preserve">Formal Analysis, Investigation, Data curation</w:t>
            </w:r>
          </w:p>
        </w:tc>
      </w:tr>
      <w:tr>
        <w:tc>
          <w:tcPr/>
          <w:p>
            <w:pPr>
              <w:pStyle w:val="Compact"/>
              <w:jc w:val="left"/>
            </w:pPr>
            <w:r>
              <w:t xml:space="preserve">Bailey K. Farrow</w:t>
            </w:r>
          </w:p>
        </w:tc>
        <w:tc>
          <w:tcPr/>
          <w:p>
            <w:pPr>
              <w:pStyle w:val="Compact"/>
              <w:jc w:val="left"/>
            </w:pPr>
            <w:r>
              <w:t xml:space="preserve">Data curation, Software, Project administration, Supervision</w:t>
            </w:r>
          </w:p>
        </w:tc>
      </w:tr>
      <w:tr>
        <w:tc>
          <w:tcPr/>
          <w:p>
            <w:pPr>
              <w:pStyle w:val="Compact"/>
              <w:jc w:val="left"/>
            </w:pPr>
            <w:r>
              <w:t xml:space="preserve">Weiping Ma</w:t>
            </w:r>
          </w:p>
        </w:tc>
        <w:tc>
          <w:tcPr/>
          <w:p>
            <w:pPr>
              <w:pStyle w:val="Compact"/>
              <w:jc w:val="left"/>
            </w:pPr>
            <w:r>
              <w:t xml:space="preserve">Formal Analysis, Investigation, Data curation</w:t>
            </w:r>
          </w:p>
        </w:tc>
      </w:tr>
      <w:tr>
        <w:tc>
          <w:tcPr/>
          <w:p>
            <w:pPr>
              <w:pStyle w:val="Compact"/>
              <w:jc w:val="left"/>
            </w:pPr>
            <w:r>
              <w:t xml:space="preserve">Bo Zhang</w:t>
            </w:r>
          </w:p>
        </w:tc>
        <w:tc>
          <w:tcPr/>
          <w:p>
            <w:pPr>
              <w:pStyle w:val="Compact"/>
              <w:jc w:val="left"/>
            </w:pPr>
            <w:r>
              <w:t xml:space="preserve">Data curation, Formal analysis</w:t>
            </w:r>
          </w:p>
        </w:tc>
      </w:tr>
      <w:tr>
        <w:tc>
          <w:tcPr/>
          <w:p>
            <w:pPr>
              <w:pStyle w:val="Compact"/>
              <w:jc w:val="left"/>
            </w:pPr>
            <w:r>
              <w:t xml:space="preserve">Brian M. Ennis</w:t>
            </w:r>
          </w:p>
        </w:tc>
        <w:tc>
          <w:tcPr/>
          <w:p>
            <w:pPr>
              <w:pStyle w:val="Compact"/>
              <w:jc w:val="left"/>
            </w:pPr>
            <w:r>
              <w:t xml:space="preserve">Formal analysis</w:t>
            </w:r>
          </w:p>
        </w:tc>
      </w:tr>
      <w:tr>
        <w:tc>
          <w:tcPr/>
          <w:p>
            <w:pPr>
              <w:pStyle w:val="Compact"/>
              <w:jc w:val="left"/>
            </w:pPr>
            <w:r>
              <w:t xml:space="preserve">Sarah Tasian</w:t>
            </w:r>
          </w:p>
        </w:tc>
        <w:tc>
          <w:tcPr/>
          <w:p>
            <w:pPr>
              <w:pStyle w:val="Compact"/>
              <w:jc w:val="left"/>
            </w:pPr>
            <w:r>
              <w:t xml:space="preserve">Funding acquisition</w:t>
            </w:r>
          </w:p>
        </w:tc>
      </w:tr>
      <w:tr>
        <w:tc>
          <w:tcPr/>
          <w:p>
            <w:pPr>
              <w:pStyle w:val="Compact"/>
              <w:jc w:val="left"/>
            </w:pPr>
            <w:r>
              <w:t xml:space="preserve">Saksham Phul</w:t>
            </w:r>
          </w:p>
        </w:tc>
        <w:tc>
          <w:tcPr/>
          <w:p>
            <w:pPr>
              <w:pStyle w:val="Compact"/>
              <w:jc w:val="left"/>
            </w:pPr>
            <w:r>
              <w:t xml:space="preserve">Formal analysis</w:t>
            </w:r>
          </w:p>
        </w:tc>
      </w:tr>
      <w:tr>
        <w:tc>
          <w:tcPr/>
          <w:p>
            <w:pPr>
              <w:pStyle w:val="Compact"/>
              <w:jc w:val="left"/>
            </w:pPr>
            <w:r>
              <w:t xml:space="preserve">Matthew R. Lueder</w:t>
            </w:r>
          </w:p>
        </w:tc>
        <w:tc>
          <w:tcPr/>
          <w:p>
            <w:pPr>
              <w:pStyle w:val="Compact"/>
              <w:jc w:val="left"/>
            </w:pPr>
            <w:r>
              <w:t xml:space="preserve">Data curation</w:t>
            </w:r>
          </w:p>
        </w:tc>
      </w:tr>
      <w:tr>
        <w:tc>
          <w:tcPr/>
          <w:p>
            <w:pPr>
              <w:pStyle w:val="Compact"/>
              <w:jc w:val="left"/>
            </w:pPr>
            <w:r>
              <w:t xml:space="preserve">Chuwei Zhong</w:t>
            </w:r>
          </w:p>
        </w:tc>
        <w:tc>
          <w:tcPr/>
          <w:p>
            <w:pPr>
              <w:pStyle w:val="Compact"/>
              <w:jc w:val="left"/>
            </w:pPr>
            <w:r>
              <w:t xml:space="preserve">Formal analysis</w:t>
            </w:r>
          </w:p>
        </w:tc>
      </w:tr>
      <w:tr>
        <w:tc>
          <w:tcPr/>
          <w:p>
            <w:pPr>
              <w:pStyle w:val="Compact"/>
              <w:jc w:val="left"/>
            </w:pPr>
            <w:r>
              <w:t xml:space="preserve">Joseph M. Dybas</w:t>
            </w:r>
          </w:p>
        </w:tc>
        <w:tc>
          <w:tcPr/>
          <w:p>
            <w:pPr>
              <w:pStyle w:val="Compact"/>
              <w:jc w:val="left"/>
            </w:pPr>
            <w:r>
              <w:t xml:space="preserve">Writing – Original draft, Methodology</w:t>
            </w:r>
          </w:p>
        </w:tc>
      </w:tr>
      <w:tr>
        <w:tc>
          <w:tcPr/>
          <w:p>
            <w:pPr>
              <w:pStyle w:val="Compact"/>
              <w:jc w:val="left"/>
            </w:pPr>
            <w:r>
              <w:t xml:space="preserve">Pei Wang</w:t>
            </w:r>
          </w:p>
        </w:tc>
        <w:tc>
          <w:tcPr/>
          <w:p>
            <w:pPr>
              <w:pStyle w:val="Compact"/>
              <w:jc w:val="left"/>
            </w:pPr>
            <w:r>
              <w:t xml:space="preserve">Formal Analysis, Supervision</w:t>
            </w:r>
          </w:p>
        </w:tc>
      </w:tr>
      <w:tr>
        <w:tc>
          <w:tcPr/>
          <w:p>
            <w:pPr>
              <w:pStyle w:val="Compact"/>
              <w:jc w:val="left"/>
            </w:pPr>
            <w:r>
              <w:t xml:space="preserve">Deanne Taylor</w:t>
            </w:r>
          </w:p>
        </w:tc>
        <w:tc>
          <w:tcPr/>
          <w:p>
            <w:pPr>
              <w:pStyle w:val="Compact"/>
              <w:jc w:val="left"/>
            </w:pPr>
            <w:r>
              <w:t xml:space="preserve">Conceptualization, Data curation, Funding acquisition, Investigation, Methodology, Supervision, Project administration</w:t>
            </w:r>
          </w:p>
        </w:tc>
      </w:tr>
      <w:tr>
        <w:tc>
          <w:tcPr/>
          <w:p>
            <w:pPr>
              <w:pStyle w:val="Compact"/>
              <w:jc w:val="left"/>
            </w:pPr>
            <w:r>
              <w:t xml:space="preserve">Jo Lynne Rokita</w:t>
            </w:r>
          </w:p>
        </w:tc>
        <w:tc>
          <w:tcPr/>
          <w:p>
            <w:pPr>
              <w:pStyle w:val="Compact"/>
              <w:jc w:val="left"/>
            </w:pPr>
            <w:r>
              <w:t xml:space="preserve">Conceptualization, Data curation, Formal analysis, Funding acquisition, Project administration, Investigation, Methodology, Software, Supervision, Writing – Original draft, Writing - Review and editing</w:t>
            </w:r>
          </w:p>
        </w:tc>
      </w:tr>
    </w:tbl>
    <w:bookmarkEnd w:id="317"/>
    <w:bookmarkStart w:id="318" w:name="declarations-of-interest"/>
    <w:p>
      <w:pPr>
        <w:pStyle w:val="Heading2"/>
      </w:pPr>
      <w:r>
        <w:t xml:space="preserve">Declarations of Interest</w:t>
      </w:r>
    </w:p>
    <w:p>
      <w:pPr>
        <w:pStyle w:val="FirstParagraph"/>
      </w:pPr>
      <w:r>
        <w:t xml:space="preserve">The authors declare no conflicts.</w:t>
      </w:r>
    </w:p>
    <w:bookmarkEnd w:id="318"/>
    <w:bookmarkStart w:id="319" w:name="X1cddf5a4622206ffc5dcb1185d7c97aa1d32bb6"/>
    <w:p>
      <w:pPr>
        <w:pStyle w:val="Heading2"/>
      </w:pPr>
      <w:r>
        <w:t xml:space="preserve">Supplemental Information Titles and Legends</w:t>
      </w:r>
    </w:p>
    <w:p>
      <w:pPr>
        <w:pStyle w:val="FirstParagraph"/>
      </w:pPr>
      <w:r>
        <w:rPr>
          <w:bCs/>
          <w:b/>
        </w:rPr>
        <w:t xml:space="preserve">Supplemental Table 1</w:t>
      </w:r>
      <w:r>
        <w:t xml:space="preserve"> </w:t>
      </w:r>
      <w:r>
        <w:t xml:space="preserve">README, metadata, and clinical data for each patient and biospecimen in OpenPedCan.</w:t>
      </w:r>
    </w:p>
    <w:p>
      <w:pPr>
        <w:pStyle w:val="BodyText"/>
      </w:pPr>
      <w:r>
        <w:rPr>
          <w:bCs/>
          <w:b/>
        </w:rPr>
        <w:t xml:space="preserve">Supplemental Table 2</w:t>
      </w:r>
      <w:r>
        <w:t xml:space="preserve"> </w:t>
      </w:r>
      <w:r>
        <w:t xml:space="preserve">Number of tumors and corresponding patients from which WHO 2021 molecular subtypes were generated through OpenPedCan analysis modules are listed in Sheet 1.</w:t>
      </w:r>
      <w:r>
        <w:t xml:space="preserve"> </w:t>
      </w:r>
      <w:r>
        <w:t xml:space="preserve">Molecular subgroups (alpha, beta, gamma, or delta) for medulloblastoma SHH tumors are listed in Sheet 2.</w:t>
      </w:r>
    </w:p>
    <w:p>
      <w:pPr>
        <w:pStyle w:val="BodyText"/>
      </w:pPr>
      <w:r>
        <w:rPr>
          <w:bCs/>
          <w:b/>
        </w:rPr>
        <w:t xml:space="preserve">Supplemental Table 3</w:t>
      </w:r>
      <w:r>
        <w:t xml:space="preserve"> </w:t>
      </w:r>
      <w:r>
        <w:t xml:space="preserve">Listed are the software versions for all packages and workflows used in this manuscript.</w:t>
      </w:r>
    </w:p>
    <w:bookmarkEnd w:id="319"/>
    <w:bookmarkStart w:id="494" w:name="references"/>
    <w:p>
      <w:pPr>
        <w:pStyle w:val="Heading2"/>
      </w:pPr>
      <w:r>
        <w:t xml:space="preserve">References</w:t>
      </w:r>
    </w:p>
    <w:bookmarkStart w:id="493" w:name="refs"/>
    <w:bookmarkStart w:id="324" w:name="ref-5VXMHJ7N"/>
    <w:p>
      <w:pPr>
        <w:pStyle w:val="Bibliography"/>
      </w:pPr>
      <w:r>
        <w:t xml:space="preserve">1.</w:t>
      </w:r>
      <w:r>
        <w:t xml:space="preserve"> </w:t>
      </w:r>
      <w:r>
        <w:t xml:space="preserve">	</w:t>
      </w:r>
      <w:r>
        <w:rPr>
          <w:bCs/>
          <w:b/>
        </w:rPr>
        <w:t xml:space="preserve">OpenPBTA: The Open Pediatric Brain Tumor Atlas</w:t>
      </w:r>
      <w:r>
        <w:t xml:space="preserve"> </w:t>
      </w:r>
      <w:r>
        <w:t xml:space="preserve">Joshua A Shapiro, Krutika S Gaonkar, Stephanie J Spielman, Candace L Savonen, Chante J Bethell, Run Jin, Komal S Rathi, Yuankun Zhu, Laura E Egolf, Bailey K Farrow, … Jaclyn N Taroni</w:t>
      </w:r>
      <w:r>
        <w:t xml:space="preserve"> </w:t>
      </w:r>
      <w:r>
        <w:rPr>
          <w:iCs/>
          <w:i/>
        </w:rPr>
        <w:t xml:space="preserve">Cell Genomics</w:t>
      </w:r>
      <w:r>
        <w:t xml:space="preserve"> </w:t>
      </w:r>
      <w:r>
        <w:t xml:space="preserve">(2023-07)</w:t>
      </w:r>
      <w:r>
        <w:t xml:space="preserve"> </w:t>
      </w:r>
      <w:hyperlink r:id="rId320">
        <w:r>
          <w:rPr>
            <w:rStyle w:val="Hyperlink"/>
          </w:rPr>
          <w:t xml:space="preserve">https://doi.org/gr92p6</w:t>
        </w:r>
      </w:hyperlink>
      <w:r>
        <w:t xml:space="preserve"> </w:t>
      </w:r>
      <w:r>
        <w:t xml:space="preserve">DOI:</w:t>
      </w:r>
      <w:r>
        <w:t xml:space="preserve"> </w:t>
      </w:r>
      <w:hyperlink r:id="rId321">
        <w:r>
          <w:rPr>
            <w:rStyle w:val="Hyperlink"/>
          </w:rPr>
          <w:t xml:space="preserve">10.1016/j.xgen.2023.100340</w:t>
        </w:r>
      </w:hyperlink>
      <w:r>
        <w:t xml:space="preserve"> </w:t>
      </w:r>
      <w:r>
        <w:t xml:space="preserve">· PMID:</w:t>
      </w:r>
      <w:r>
        <w:t xml:space="preserve"> </w:t>
      </w:r>
      <w:hyperlink r:id="rId322">
        <w:r>
          <w:rPr>
            <w:rStyle w:val="Hyperlink"/>
          </w:rPr>
          <w:t xml:space="preserve">37492101</w:t>
        </w:r>
      </w:hyperlink>
      <w:r>
        <w:t xml:space="preserve"> </w:t>
      </w:r>
      <w:r>
        <w:t xml:space="preserve">· PMCID:</w:t>
      </w:r>
      <w:r>
        <w:t xml:space="preserve"> </w:t>
      </w:r>
      <w:hyperlink r:id="rId323">
        <w:r>
          <w:rPr>
            <w:rStyle w:val="Hyperlink"/>
          </w:rPr>
          <w:t xml:space="preserve">PMC10363844</w:t>
        </w:r>
      </w:hyperlink>
    </w:p>
    <w:bookmarkEnd w:id="324"/>
    <w:bookmarkStart w:id="329" w:name="ref-SDwYl8uA"/>
    <w:p>
      <w:pPr>
        <w:pStyle w:val="Bibliography"/>
      </w:pPr>
      <w:r>
        <w:t xml:space="preserve">2.</w:t>
      </w:r>
      <w:r>
        <w:t xml:space="preserve"> </w:t>
      </w:r>
      <w:r>
        <w:t xml:space="preserve">	</w:t>
      </w:r>
      <w:r>
        <w:rPr>
          <w:bCs/>
          <w:b/>
        </w:rPr>
        <w:t xml:space="preserve">Genomic Profiling of Childhood Tumor Patient-Derived Xenograft Models to Enable Rational Clinical Trial Design</w:t>
      </w:r>
      <w:r>
        <w:t xml:space="preserve"> </w:t>
      </w:r>
      <w:r>
        <w:t xml:space="preserve">Jo Lynne Rokita, Komal S Rathi, Maria F Cardenas, Kristen A Upton, Joy Jayaseelan, Katherine L Cross, Jacob Pfeil, Laura E Egolf, Gregory P Way, Alvin Farrel, … John M Maris</w:t>
      </w:r>
      <w:r>
        <w:t xml:space="preserve"> </w:t>
      </w:r>
      <w:r>
        <w:rPr>
          <w:iCs/>
          <w:i/>
        </w:rPr>
        <w:t xml:space="preserve">Cell Reports</w:t>
      </w:r>
      <w:r>
        <w:t xml:space="preserve"> </w:t>
      </w:r>
      <w:r>
        <w:t xml:space="preserve">(2019-11)</w:t>
      </w:r>
      <w:r>
        <w:t xml:space="preserve"> </w:t>
      </w:r>
      <w:hyperlink r:id="rId325">
        <w:r>
          <w:rPr>
            <w:rStyle w:val="Hyperlink"/>
          </w:rPr>
          <w:t xml:space="preserve">https://doi.org/gg596n</w:t>
        </w:r>
      </w:hyperlink>
      <w:r>
        <w:t xml:space="preserve"> </w:t>
      </w:r>
      <w:r>
        <w:t xml:space="preserve">DOI:</w:t>
      </w:r>
      <w:r>
        <w:t xml:space="preserve"> </w:t>
      </w:r>
      <w:hyperlink r:id="rId326">
        <w:r>
          <w:rPr>
            <w:rStyle w:val="Hyperlink"/>
          </w:rPr>
          <w:t xml:space="preserve">10.1016/j.celrep.2019.09.071</w:t>
        </w:r>
      </w:hyperlink>
      <w:r>
        <w:t xml:space="preserve"> </w:t>
      </w:r>
      <w:r>
        <w:t xml:space="preserve">· PMID:</w:t>
      </w:r>
      <w:r>
        <w:t xml:space="preserve"> </w:t>
      </w:r>
      <w:hyperlink r:id="rId327">
        <w:r>
          <w:rPr>
            <w:rStyle w:val="Hyperlink"/>
          </w:rPr>
          <w:t xml:space="preserve">31693904</w:t>
        </w:r>
      </w:hyperlink>
      <w:r>
        <w:t xml:space="preserve"> </w:t>
      </w:r>
      <w:r>
        <w:t xml:space="preserve">· PMCID:</w:t>
      </w:r>
      <w:r>
        <w:t xml:space="preserve"> </w:t>
      </w:r>
      <w:hyperlink r:id="rId328">
        <w:r>
          <w:rPr>
            <w:rStyle w:val="Hyperlink"/>
          </w:rPr>
          <w:t xml:space="preserve">PMC6880934</w:t>
        </w:r>
      </w:hyperlink>
    </w:p>
    <w:bookmarkEnd w:id="329"/>
    <w:bookmarkStart w:id="331" w:name="ref-ygVj7a6q"/>
    <w:p>
      <w:pPr>
        <w:pStyle w:val="Bibliography"/>
      </w:pPr>
      <w:r>
        <w:t xml:space="preserve">3.</w:t>
      </w:r>
      <w:r>
        <w:t xml:space="preserve"> </w:t>
      </w:r>
      <w:r>
        <w:t xml:space="preserve">	</w:t>
      </w:r>
      <w:r>
        <w:rPr>
          <w:bCs/>
          <w:b/>
        </w:rPr>
        <w:t xml:space="preserve">Michigan Center for Translational Pathology</w:t>
      </w:r>
      <w:r>
        <w:t xml:space="preserve"> </w:t>
      </w:r>
      <w:hyperlink r:id="rId330">
        <w:r>
          <w:rPr>
            <w:rStyle w:val="Hyperlink"/>
          </w:rPr>
          <w:t xml:space="preserve">https://mctp.med.umich.edu</w:t>
        </w:r>
      </w:hyperlink>
    </w:p>
    <w:bookmarkEnd w:id="331"/>
    <w:bookmarkStart w:id="336" w:name="ref-meH98mKZ"/>
    <w:p>
      <w:pPr>
        <w:pStyle w:val="Bibliography"/>
      </w:pPr>
      <w:r>
        <w:t xml:space="preserve">4.</w:t>
      </w:r>
      <w:r>
        <w:t xml:space="preserve"> </w:t>
      </w:r>
      <w:r>
        <w:t xml:space="preserve">	</w:t>
      </w:r>
      <w:r>
        <w:rPr>
          <w:bCs/>
          <w:b/>
        </w:rPr>
        <w:t xml:space="preserve">Integrated Proteogenomic Characterization across Major Histological Types of Pediatric Brain Cancer</w:t>
      </w:r>
      <w:r>
        <w:t xml:space="preserve"> </w:t>
      </w:r>
      <w:r>
        <w:t xml:space="preserve">Francesca Petralia, Nicole Tignor, Boris Reva, Mateusz Koptyra, Shrabanti Chowdhury, Dmitry Rykunov, Azra Krek, Weiping Ma, Yuankun Zhu, Jiayi Ji, … William E Bocik</w:t>
      </w:r>
      <w:r>
        <w:t xml:space="preserve"> </w:t>
      </w:r>
      <w:r>
        <w:rPr>
          <w:iCs/>
          <w:i/>
        </w:rPr>
        <w:t xml:space="preserve">Cell</w:t>
      </w:r>
      <w:r>
        <w:t xml:space="preserve"> </w:t>
      </w:r>
      <w:r>
        <w:t xml:space="preserve">(2020-12)</w:t>
      </w:r>
      <w:r>
        <w:t xml:space="preserve"> </w:t>
      </w:r>
      <w:hyperlink r:id="rId332">
        <w:r>
          <w:rPr>
            <w:rStyle w:val="Hyperlink"/>
          </w:rPr>
          <w:t xml:space="preserve">https://doi.org/ghqjkz</w:t>
        </w:r>
      </w:hyperlink>
      <w:r>
        <w:t xml:space="preserve"> </w:t>
      </w:r>
      <w:r>
        <w:t xml:space="preserve">DOI:</w:t>
      </w:r>
      <w:r>
        <w:t xml:space="preserve"> </w:t>
      </w:r>
      <w:hyperlink r:id="rId333">
        <w:r>
          <w:rPr>
            <w:rStyle w:val="Hyperlink"/>
          </w:rPr>
          <w:t xml:space="preserve">10.1016/j.cell.2020.10.044</w:t>
        </w:r>
      </w:hyperlink>
      <w:r>
        <w:t xml:space="preserve"> </w:t>
      </w:r>
      <w:r>
        <w:t xml:space="preserve">· PMID:</w:t>
      </w:r>
      <w:r>
        <w:t xml:space="preserve"> </w:t>
      </w:r>
      <w:hyperlink r:id="rId334">
        <w:r>
          <w:rPr>
            <w:rStyle w:val="Hyperlink"/>
          </w:rPr>
          <w:t xml:space="preserve">33242424</w:t>
        </w:r>
      </w:hyperlink>
      <w:r>
        <w:t xml:space="preserve"> </w:t>
      </w:r>
      <w:r>
        <w:t xml:space="preserve">· PMCID:</w:t>
      </w:r>
      <w:r>
        <w:t xml:space="preserve"> </w:t>
      </w:r>
      <w:hyperlink r:id="rId335">
        <w:r>
          <w:rPr>
            <w:rStyle w:val="Hyperlink"/>
          </w:rPr>
          <w:t xml:space="preserve">PMC8143193</w:t>
        </w:r>
      </w:hyperlink>
    </w:p>
    <w:bookmarkEnd w:id="336"/>
    <w:bookmarkStart w:id="341" w:name="ref-XOVss5Jf"/>
    <w:p>
      <w:pPr>
        <w:pStyle w:val="Bibliography"/>
      </w:pPr>
      <w:r>
        <w:t xml:space="preserve">5.</w:t>
      </w:r>
      <w:r>
        <w:t xml:space="preserve"> </w:t>
      </w:r>
      <w:r>
        <w:t xml:space="preserve">	</w:t>
      </w:r>
      <w:r>
        <w:rPr>
          <w:bCs/>
          <w:b/>
        </w:rPr>
        <w:t xml:space="preserve">Proteogenomic and metabolomic characterization of human glioblastoma</w:t>
      </w:r>
      <w:r>
        <w:t xml:space="preserve"> </w:t>
      </w:r>
      <w:r>
        <w:t xml:space="preserve">Liang-Bo Wang, Alla Karpova, Marina A Gritsenko, Jennifer E Kyle, Song Cao, Yize Li, Dmitry Rykunov, Antonio Colaprico, Joseph H Rothstein, Runyu Hong, … Jun Zhu</w:t>
      </w:r>
      <w:r>
        <w:t xml:space="preserve"> </w:t>
      </w:r>
      <w:r>
        <w:rPr>
          <w:iCs/>
          <w:i/>
        </w:rPr>
        <w:t xml:space="preserve">Cancer Cell</w:t>
      </w:r>
      <w:r>
        <w:t xml:space="preserve"> </w:t>
      </w:r>
      <w:r>
        <w:t xml:space="preserve">(2021-04)</w:t>
      </w:r>
      <w:r>
        <w:t xml:space="preserve"> </w:t>
      </w:r>
      <w:hyperlink r:id="rId337">
        <w:r>
          <w:rPr>
            <w:rStyle w:val="Hyperlink"/>
          </w:rPr>
          <w:t xml:space="preserve">https://doi.org/gh7whf</w:t>
        </w:r>
      </w:hyperlink>
      <w:r>
        <w:t xml:space="preserve"> </w:t>
      </w:r>
      <w:r>
        <w:t xml:space="preserve">DOI:</w:t>
      </w:r>
      <w:r>
        <w:t xml:space="preserve"> </w:t>
      </w:r>
      <w:hyperlink r:id="rId338">
        <w:r>
          <w:rPr>
            <w:rStyle w:val="Hyperlink"/>
          </w:rPr>
          <w:t xml:space="preserve">10.1016/j.ccell.2021.01.006</w:t>
        </w:r>
      </w:hyperlink>
      <w:r>
        <w:t xml:space="preserve"> </w:t>
      </w:r>
      <w:r>
        <w:t xml:space="preserve">· PMID:</w:t>
      </w:r>
      <w:r>
        <w:t xml:space="preserve"> </w:t>
      </w:r>
      <w:hyperlink r:id="rId339">
        <w:r>
          <w:rPr>
            <w:rStyle w:val="Hyperlink"/>
          </w:rPr>
          <w:t xml:space="preserve">33577785</w:t>
        </w:r>
      </w:hyperlink>
      <w:r>
        <w:t xml:space="preserve"> </w:t>
      </w:r>
      <w:r>
        <w:t xml:space="preserve">· PMCID:</w:t>
      </w:r>
      <w:r>
        <w:t xml:space="preserve"> </w:t>
      </w:r>
      <w:hyperlink r:id="rId340">
        <w:r>
          <w:rPr>
            <w:rStyle w:val="Hyperlink"/>
          </w:rPr>
          <w:t xml:space="preserve">PMC8044053</w:t>
        </w:r>
      </w:hyperlink>
    </w:p>
    <w:bookmarkEnd w:id="341"/>
    <w:bookmarkStart w:id="346" w:name="ref-p1f5DxRQ"/>
    <w:p>
      <w:pPr>
        <w:pStyle w:val="Bibliography"/>
      </w:pPr>
      <w:r>
        <w:t xml:space="preserve">6.</w:t>
      </w:r>
      <w:r>
        <w:t xml:space="preserve"> </w:t>
      </w:r>
      <w:r>
        <w:t xml:space="preserve">	</w:t>
      </w:r>
      <w:r>
        <w:rPr>
          <w:bCs/>
          <w:b/>
        </w:rPr>
        <w:t xml:space="preserve">The Ensembl Variant Effect Predictor</w:t>
      </w:r>
      <w:r>
        <w:t xml:space="preserve"> </w:t>
      </w:r>
      <w:r>
        <w:t xml:space="preserve">William McLaren, Laurent Gil, Sarah E Hunt, Harpreet Singh Riat, Graham RS Ritchie, Anja Thormann, Paul Flicek, Fiona Cunningham</w:t>
      </w:r>
      <w:r>
        <w:t xml:space="preserve"> </w:t>
      </w:r>
      <w:r>
        <w:rPr>
          <w:iCs/>
          <w:i/>
        </w:rPr>
        <w:t xml:space="preserve">Genome Biology</w:t>
      </w:r>
      <w:r>
        <w:t xml:space="preserve"> </w:t>
      </w:r>
      <w:r>
        <w:t xml:space="preserve">(2016-06-06)</w:t>
      </w:r>
      <w:r>
        <w:t xml:space="preserve"> </w:t>
      </w:r>
      <w:hyperlink r:id="rId342">
        <w:r>
          <w:rPr>
            <w:rStyle w:val="Hyperlink"/>
          </w:rPr>
          <w:t xml:space="preserve">https://doi.org/gdz75c</w:t>
        </w:r>
      </w:hyperlink>
      <w:r>
        <w:t xml:space="preserve"> </w:t>
      </w:r>
      <w:r>
        <w:t xml:space="preserve">DOI:</w:t>
      </w:r>
      <w:r>
        <w:t xml:space="preserve"> </w:t>
      </w:r>
      <w:hyperlink r:id="rId343">
        <w:r>
          <w:rPr>
            <w:rStyle w:val="Hyperlink"/>
          </w:rPr>
          <w:t xml:space="preserve">10.1186/s13059-016-0974-4</w:t>
        </w:r>
      </w:hyperlink>
      <w:r>
        <w:t xml:space="preserve"> </w:t>
      </w:r>
      <w:r>
        <w:t xml:space="preserve">· PMID:</w:t>
      </w:r>
      <w:r>
        <w:t xml:space="preserve"> </w:t>
      </w:r>
      <w:hyperlink r:id="rId344">
        <w:r>
          <w:rPr>
            <w:rStyle w:val="Hyperlink"/>
          </w:rPr>
          <w:t xml:space="preserve">27268795</w:t>
        </w:r>
      </w:hyperlink>
      <w:r>
        <w:t xml:space="preserve"> </w:t>
      </w:r>
      <w:r>
        <w:t xml:space="preserve">· PMCID:</w:t>
      </w:r>
      <w:r>
        <w:t xml:space="preserve"> </w:t>
      </w:r>
      <w:hyperlink r:id="rId345">
        <w:r>
          <w:rPr>
            <w:rStyle w:val="Hyperlink"/>
          </w:rPr>
          <w:t xml:space="preserve">PMC4893825</w:t>
        </w:r>
      </w:hyperlink>
    </w:p>
    <w:bookmarkEnd w:id="346"/>
    <w:bookmarkStart w:id="350" w:name="ref-REfkDUtE"/>
    <w:p>
      <w:pPr>
        <w:pStyle w:val="Bibliography"/>
      </w:pPr>
      <w:r>
        <w:t xml:space="preserve">7.</w:t>
      </w:r>
      <w:r>
        <w:t xml:space="preserve"> </w:t>
      </w:r>
      <w:r>
        <w:t xml:space="preserve">	</w:t>
      </w:r>
      <w:r>
        <w:rPr>
          <w:bCs/>
          <w:b/>
        </w:rPr>
        <w:t xml:space="preserve">Strelka2: fast and accurate calling of germline and somatic variants</w:t>
      </w:r>
      <w:r>
        <w:t xml:space="preserve"> </w:t>
      </w:r>
      <w:r>
        <w:t xml:space="preserve">Sangtae Kim, Konrad Scheffler, Aaron L Halpern, Mitchell A Bekritsky, Eunho Noh, Morten Källberg, Xiaoyu Chen, Yeonbin Kim, Doruk Beyter, Peter Krusche, Christopher T Saunders</w:t>
      </w:r>
      <w:r>
        <w:t xml:space="preserve"> </w:t>
      </w:r>
      <w:r>
        <w:rPr>
          <w:iCs/>
          <w:i/>
        </w:rPr>
        <w:t xml:space="preserve">Nature Methods</w:t>
      </w:r>
      <w:r>
        <w:t xml:space="preserve"> </w:t>
      </w:r>
      <w:r>
        <w:t xml:space="preserve">(2018-07-16)</w:t>
      </w:r>
      <w:r>
        <w:t xml:space="preserve"> </w:t>
      </w:r>
      <w:hyperlink r:id="rId347">
        <w:r>
          <w:rPr>
            <w:rStyle w:val="Hyperlink"/>
          </w:rPr>
          <w:t xml:space="preserve">https://doi.org/gdwrp4</w:t>
        </w:r>
      </w:hyperlink>
      <w:r>
        <w:t xml:space="preserve"> </w:t>
      </w:r>
      <w:r>
        <w:t xml:space="preserve">DOI:</w:t>
      </w:r>
      <w:r>
        <w:t xml:space="preserve"> </w:t>
      </w:r>
      <w:hyperlink r:id="rId348">
        <w:r>
          <w:rPr>
            <w:rStyle w:val="Hyperlink"/>
          </w:rPr>
          <w:t xml:space="preserve">10.1038/s41592-018-0051-x</w:t>
        </w:r>
      </w:hyperlink>
      <w:r>
        <w:t xml:space="preserve"> </w:t>
      </w:r>
      <w:r>
        <w:t xml:space="preserve">· PMID:</w:t>
      </w:r>
      <w:r>
        <w:t xml:space="preserve"> </w:t>
      </w:r>
      <w:hyperlink r:id="rId349">
        <w:r>
          <w:rPr>
            <w:rStyle w:val="Hyperlink"/>
          </w:rPr>
          <w:t xml:space="preserve">30013048</w:t>
        </w:r>
      </w:hyperlink>
    </w:p>
    <w:bookmarkEnd w:id="350"/>
    <w:bookmarkStart w:id="353" w:name="ref-149BEKISi"/>
    <w:p>
      <w:pPr>
        <w:pStyle w:val="Bibliography"/>
      </w:pPr>
      <w:r>
        <w:t xml:space="preserve">8.</w:t>
      </w:r>
      <w:r>
        <w:t xml:space="preserve"> </w:t>
      </w:r>
      <w:r>
        <w:t xml:space="preserve">	</w:t>
      </w:r>
      <w:r>
        <w:rPr>
          <w:bCs/>
          <w:b/>
        </w:rPr>
        <w:t xml:space="preserve">Calling Somatic SNVs and Indels with Mutect2</w:t>
      </w:r>
      <w:r>
        <w:t xml:space="preserve"> </w:t>
      </w:r>
      <w:r>
        <w:t xml:space="preserve">David Benjamin, Takuto Sato, Kristian Cibulskis, Gad Getz, Chip Stewart, Lee Lichtenstein</w:t>
      </w:r>
      <w:r>
        <w:t xml:space="preserve"> </w:t>
      </w:r>
      <w:r>
        <w:rPr>
          <w:iCs/>
          <w:i/>
        </w:rPr>
        <w:t xml:space="preserve">Cold Spring Harbor Laboratory</w:t>
      </w:r>
      <w:r>
        <w:t xml:space="preserve"> </w:t>
      </w:r>
      <w:r>
        <w:t xml:space="preserve">(2019-12-02)</w:t>
      </w:r>
      <w:r>
        <w:t xml:space="preserve"> </w:t>
      </w:r>
      <w:hyperlink r:id="rId351">
        <w:r>
          <w:rPr>
            <w:rStyle w:val="Hyperlink"/>
          </w:rPr>
          <w:t xml:space="preserve">https://doi.org/ggntwv</w:t>
        </w:r>
      </w:hyperlink>
      <w:r>
        <w:t xml:space="preserve"> </w:t>
      </w:r>
      <w:r>
        <w:t xml:space="preserve">DOI:</w:t>
      </w:r>
      <w:r>
        <w:t xml:space="preserve"> </w:t>
      </w:r>
      <w:hyperlink r:id="rId352">
        <w:r>
          <w:rPr>
            <w:rStyle w:val="Hyperlink"/>
          </w:rPr>
          <w:t xml:space="preserve">10.1101/861054</w:t>
        </w:r>
      </w:hyperlink>
    </w:p>
    <w:bookmarkEnd w:id="353"/>
    <w:bookmarkStart w:id="358" w:name="ref-V6KdWVYi"/>
    <w:p>
      <w:pPr>
        <w:pStyle w:val="Bibliography"/>
      </w:pPr>
      <w:r>
        <w:t xml:space="preserve">9.</w:t>
      </w:r>
      <w:r>
        <w:t xml:space="preserve"> </w:t>
      </w:r>
      <w:r>
        <w:t xml:space="preserve">	</w:t>
      </w:r>
      <w:r>
        <w:rPr>
          <w:bCs/>
          <w:b/>
        </w:rPr>
        <w:t xml:space="preserve">Genome-wide somatic variant calling using localized colored de Bruijn graphs</w:t>
      </w:r>
      <w:r>
        <w:t xml:space="preserve"> </w:t>
      </w:r>
      <w:r>
        <w:t xml:space="preserve">Giuseppe Narzisi, André Corvelo, Kanika Arora, Ewa A Bergmann, Minita Shah, Rajeeva Musunuri, Anne-Katrin Emde, Nicolas Robine, Vladimir Vacic, Michael C Zody</w:t>
      </w:r>
      <w:r>
        <w:t xml:space="preserve"> </w:t>
      </w:r>
      <w:r>
        <w:rPr>
          <w:iCs/>
          <w:i/>
        </w:rPr>
        <w:t xml:space="preserve">Communications Biology</w:t>
      </w:r>
      <w:r>
        <w:t xml:space="preserve"> </w:t>
      </w:r>
      <w:r>
        <w:t xml:space="preserve">(2018-03-22)</w:t>
      </w:r>
      <w:r>
        <w:t xml:space="preserve"> </w:t>
      </w:r>
      <w:hyperlink r:id="rId354">
        <w:r>
          <w:rPr>
            <w:rStyle w:val="Hyperlink"/>
          </w:rPr>
          <w:t xml:space="preserve">https://doi.org/gfcfr8</w:t>
        </w:r>
      </w:hyperlink>
      <w:r>
        <w:t xml:space="preserve"> </w:t>
      </w:r>
      <w:r>
        <w:t xml:space="preserve">DOI:</w:t>
      </w:r>
      <w:r>
        <w:t xml:space="preserve"> </w:t>
      </w:r>
      <w:hyperlink r:id="rId355">
        <w:r>
          <w:rPr>
            <w:rStyle w:val="Hyperlink"/>
          </w:rPr>
          <w:t xml:space="preserve">10.1038/s42003-018-0023-9</w:t>
        </w:r>
      </w:hyperlink>
      <w:r>
        <w:t xml:space="preserve"> </w:t>
      </w:r>
      <w:r>
        <w:t xml:space="preserve">· PMID:</w:t>
      </w:r>
      <w:r>
        <w:t xml:space="preserve"> </w:t>
      </w:r>
      <w:hyperlink r:id="rId356">
        <w:r>
          <w:rPr>
            <w:rStyle w:val="Hyperlink"/>
          </w:rPr>
          <w:t xml:space="preserve">30271907</w:t>
        </w:r>
      </w:hyperlink>
      <w:r>
        <w:t xml:space="preserve"> </w:t>
      </w:r>
      <w:r>
        <w:t xml:space="preserve">· PMCID:</w:t>
      </w:r>
      <w:r>
        <w:t xml:space="preserve"> </w:t>
      </w:r>
      <w:hyperlink r:id="rId357">
        <w:r>
          <w:rPr>
            <w:rStyle w:val="Hyperlink"/>
          </w:rPr>
          <w:t xml:space="preserve">PMC6123722</w:t>
        </w:r>
      </w:hyperlink>
    </w:p>
    <w:bookmarkEnd w:id="358"/>
    <w:bookmarkStart w:id="363" w:name="ref-trQRR8fs"/>
    <w:p>
      <w:pPr>
        <w:pStyle w:val="Bibliography"/>
      </w:pPr>
      <w:r>
        <w:t xml:space="preserve">10.</w:t>
      </w:r>
      <w:r>
        <w:t xml:space="preserve"> </w:t>
      </w:r>
      <w:r>
        <w:t xml:space="preserve">	</w:t>
      </w:r>
      <w:r>
        <w:rPr>
          <w:bCs/>
          <w:b/>
        </w:rPr>
        <w:t xml:space="preserve">VarDict: a novel and versatile variant caller for next-generation sequencing in cancer research</w:t>
      </w:r>
      <w:r>
        <w:t xml:space="preserve"> </w:t>
      </w:r>
      <w:r>
        <w:t xml:space="preserve">Zhongwu Lai, Aleksandra Markovets, Miika Ahdesmaki, Brad Chapman, Oliver Hofmann, Robert McEwen, Justin Johnson, Brian Dougherty, JCarl Barrett, Jonathan R Dry</w:t>
      </w:r>
      <w:r>
        <w:t xml:space="preserve"> </w:t>
      </w:r>
      <w:r>
        <w:rPr>
          <w:iCs/>
          <w:i/>
        </w:rPr>
        <w:t xml:space="preserve">Nucleic Acids Research</w:t>
      </w:r>
      <w:r>
        <w:t xml:space="preserve"> </w:t>
      </w:r>
      <w:r>
        <w:t xml:space="preserve">(2016-04-07)</w:t>
      </w:r>
      <w:r>
        <w:t xml:space="preserve"> </w:t>
      </w:r>
      <w:hyperlink r:id="rId359">
        <w:r>
          <w:rPr>
            <w:rStyle w:val="Hyperlink"/>
          </w:rPr>
          <w:t xml:space="preserve">https://doi.org/f8v6qz</w:t>
        </w:r>
      </w:hyperlink>
      <w:r>
        <w:t xml:space="preserve"> </w:t>
      </w:r>
      <w:r>
        <w:t xml:space="preserve">DOI:</w:t>
      </w:r>
      <w:r>
        <w:t xml:space="preserve"> </w:t>
      </w:r>
      <w:hyperlink r:id="rId360">
        <w:r>
          <w:rPr>
            <w:rStyle w:val="Hyperlink"/>
          </w:rPr>
          <w:t xml:space="preserve">10.1093/nar/gkw227</w:t>
        </w:r>
      </w:hyperlink>
      <w:r>
        <w:t xml:space="preserve"> </w:t>
      </w:r>
      <w:r>
        <w:t xml:space="preserve">· PMID:</w:t>
      </w:r>
      <w:r>
        <w:t xml:space="preserve"> </w:t>
      </w:r>
      <w:hyperlink r:id="rId361">
        <w:r>
          <w:rPr>
            <w:rStyle w:val="Hyperlink"/>
          </w:rPr>
          <w:t xml:space="preserve">27060149</w:t>
        </w:r>
      </w:hyperlink>
      <w:r>
        <w:t xml:space="preserve"> </w:t>
      </w:r>
      <w:r>
        <w:t xml:space="preserve">· PMCID:</w:t>
      </w:r>
      <w:r>
        <w:t xml:space="preserve"> </w:t>
      </w:r>
      <w:hyperlink r:id="rId362">
        <w:r>
          <w:rPr>
            <w:rStyle w:val="Hyperlink"/>
          </w:rPr>
          <w:t xml:space="preserve">PMC4914105</w:t>
        </w:r>
      </w:hyperlink>
    </w:p>
    <w:bookmarkEnd w:id="363"/>
    <w:bookmarkStart w:id="368" w:name="ref-ZQ0L3o1q"/>
    <w:p>
      <w:pPr>
        <w:pStyle w:val="Bibliography"/>
      </w:pPr>
      <w:r>
        <w:t xml:space="preserve">11.</w:t>
      </w:r>
      <w:r>
        <w:t xml:space="preserve"> </w:t>
      </w:r>
      <w:r>
        <w:t xml:space="preserve">	</w:t>
      </w:r>
      <w:r>
        <w:rPr>
          <w:bCs/>
          <w:b/>
        </w:rPr>
        <w:t xml:space="preserve">Control-FREEC: a tool for assessing copy number and allelic content using next-generation sequencing data</w:t>
      </w:r>
      <w:r>
        <w:t xml:space="preserve"> </w:t>
      </w:r>
      <w:r>
        <w:t xml:space="preserve">Valentina Boeva, Tatiana Popova, Kevin Bleakley, Pierre Chiche, Julie Cappo, Gudrun Schleiermacher, Isabelle Janoueix-Lerosey, Olivier Delattre, Emmanuel Barillot</w:t>
      </w:r>
      <w:r>
        <w:t xml:space="preserve"> </w:t>
      </w:r>
      <w:r>
        <w:rPr>
          <w:iCs/>
          <w:i/>
        </w:rPr>
        <w:t xml:space="preserve">Bioinformatics</w:t>
      </w:r>
      <w:r>
        <w:t xml:space="preserve"> </w:t>
      </w:r>
      <w:r>
        <w:t xml:space="preserve">(2011-12-06)</w:t>
      </w:r>
      <w:r>
        <w:t xml:space="preserve"> </w:t>
      </w:r>
      <w:hyperlink r:id="rId364">
        <w:r>
          <w:rPr>
            <w:rStyle w:val="Hyperlink"/>
          </w:rPr>
          <w:t xml:space="preserve">https://doi.org/ckt4vz</w:t>
        </w:r>
      </w:hyperlink>
      <w:r>
        <w:t xml:space="preserve"> </w:t>
      </w:r>
      <w:r>
        <w:t xml:space="preserve">DOI:</w:t>
      </w:r>
      <w:r>
        <w:t xml:space="preserve"> </w:t>
      </w:r>
      <w:hyperlink r:id="rId365">
        <w:r>
          <w:rPr>
            <w:rStyle w:val="Hyperlink"/>
          </w:rPr>
          <w:t xml:space="preserve">10.1093/bioinformatics/btr670</w:t>
        </w:r>
      </w:hyperlink>
      <w:r>
        <w:t xml:space="preserve"> </w:t>
      </w:r>
      <w:r>
        <w:t xml:space="preserve">· PMID:</w:t>
      </w:r>
      <w:r>
        <w:t xml:space="preserve"> </w:t>
      </w:r>
      <w:hyperlink r:id="rId366">
        <w:r>
          <w:rPr>
            <w:rStyle w:val="Hyperlink"/>
          </w:rPr>
          <w:t xml:space="preserve">22155870</w:t>
        </w:r>
      </w:hyperlink>
      <w:r>
        <w:t xml:space="preserve"> </w:t>
      </w:r>
      <w:r>
        <w:t xml:space="preserve">· PMCID:</w:t>
      </w:r>
      <w:r>
        <w:t xml:space="preserve"> </w:t>
      </w:r>
      <w:hyperlink r:id="rId367">
        <w:r>
          <w:rPr>
            <w:rStyle w:val="Hyperlink"/>
          </w:rPr>
          <w:t xml:space="preserve">PMC3268243</w:t>
        </w:r>
      </w:hyperlink>
    </w:p>
    <w:bookmarkEnd w:id="368"/>
    <w:bookmarkStart w:id="373" w:name="ref-1F3i4BvCt"/>
    <w:p>
      <w:pPr>
        <w:pStyle w:val="Bibliography"/>
      </w:pPr>
      <w:r>
        <w:t xml:space="preserve">12.</w:t>
      </w:r>
      <w:r>
        <w:t xml:space="preserve"> </w:t>
      </w:r>
      <w:r>
        <w:t xml:space="preserve">	</w:t>
      </w:r>
      <w:r>
        <w:rPr>
          <w:bCs/>
          <w:b/>
        </w:rPr>
        <w:t xml:space="preserve">Control-free calling of copy number alterations in deep-sequencing data using GC-content normalization</w:t>
      </w:r>
      <w:r>
        <w:t xml:space="preserve"> </w:t>
      </w:r>
      <w:r>
        <w:t xml:space="preserve">Valentina Boeva, Andrei Zinovyev, Kevin Bleakley, Jean-Philippe Vert, Isabelle Janoueix-Lerosey, Olivier Delattre, Emmanuel Barillot</w:t>
      </w:r>
      <w:r>
        <w:t xml:space="preserve"> </w:t>
      </w:r>
      <w:r>
        <w:rPr>
          <w:iCs/>
          <w:i/>
        </w:rPr>
        <w:t xml:space="preserve">Bioinformatics</w:t>
      </w:r>
      <w:r>
        <w:t xml:space="preserve"> </w:t>
      </w:r>
      <w:r>
        <w:t xml:space="preserve">(2010-11-15)</w:t>
      </w:r>
      <w:r>
        <w:t xml:space="preserve"> </w:t>
      </w:r>
      <w:hyperlink r:id="rId369">
        <w:r>
          <w:rPr>
            <w:rStyle w:val="Hyperlink"/>
          </w:rPr>
          <w:t xml:space="preserve">https://doi.org/c6bcps</w:t>
        </w:r>
      </w:hyperlink>
      <w:r>
        <w:t xml:space="preserve"> </w:t>
      </w:r>
      <w:r>
        <w:t xml:space="preserve">DOI:</w:t>
      </w:r>
      <w:r>
        <w:t xml:space="preserve"> </w:t>
      </w:r>
      <w:hyperlink r:id="rId370">
        <w:r>
          <w:rPr>
            <w:rStyle w:val="Hyperlink"/>
          </w:rPr>
          <w:t xml:space="preserve">10.1093/bioinformatics/btq635</w:t>
        </w:r>
      </w:hyperlink>
      <w:r>
        <w:t xml:space="preserve"> </w:t>
      </w:r>
      <w:r>
        <w:t xml:space="preserve">· PMID:</w:t>
      </w:r>
      <w:r>
        <w:t xml:space="preserve"> </w:t>
      </w:r>
      <w:hyperlink r:id="rId371">
        <w:r>
          <w:rPr>
            <w:rStyle w:val="Hyperlink"/>
          </w:rPr>
          <w:t xml:space="preserve">21081509</w:t>
        </w:r>
      </w:hyperlink>
      <w:r>
        <w:t xml:space="preserve"> </w:t>
      </w:r>
      <w:r>
        <w:t xml:space="preserve">· PMCID:</w:t>
      </w:r>
      <w:r>
        <w:t xml:space="preserve"> </w:t>
      </w:r>
      <w:hyperlink r:id="rId372">
        <w:r>
          <w:rPr>
            <w:rStyle w:val="Hyperlink"/>
          </w:rPr>
          <w:t xml:space="preserve">PMC3018818</w:t>
        </w:r>
      </w:hyperlink>
    </w:p>
    <w:bookmarkEnd w:id="373"/>
    <w:bookmarkStart w:id="378" w:name="ref-UTxRcYIQ"/>
    <w:p>
      <w:pPr>
        <w:pStyle w:val="Bibliography"/>
      </w:pPr>
      <w:r>
        <w:t xml:space="preserve">13.</w:t>
      </w:r>
      <w:r>
        <w:t xml:space="preserve"> </w:t>
      </w:r>
      <w:r>
        <w:t xml:space="preserve">	</w:t>
      </w:r>
      <w:r>
        <w:rPr>
          <w:bCs/>
          <w:b/>
        </w:rPr>
        <w:t xml:space="preserve">CNVkit: Genome-Wide Copy Number Detection and Visualization from Targeted DNA Sequencing</w:t>
      </w:r>
      <w:r>
        <w:t xml:space="preserve"> </w:t>
      </w:r>
      <w:r>
        <w:t xml:space="preserve">Eric Talevich, AHunter Shain, Thomas Botton, Boris C Bastian</w:t>
      </w:r>
      <w:r>
        <w:t xml:space="preserve"> </w:t>
      </w:r>
      <w:r>
        <w:rPr>
          <w:iCs/>
          <w:i/>
        </w:rPr>
        <w:t xml:space="preserve">PLOS Computational Biology</w:t>
      </w:r>
      <w:r>
        <w:t xml:space="preserve"> </w:t>
      </w:r>
      <w:r>
        <w:t xml:space="preserve">(2016-04-21)</w:t>
      </w:r>
      <w:r>
        <w:t xml:space="preserve"> </w:t>
      </w:r>
      <w:hyperlink r:id="rId374">
        <w:r>
          <w:rPr>
            <w:rStyle w:val="Hyperlink"/>
          </w:rPr>
          <w:t xml:space="preserve">https://doi.org/c9pd</w:t>
        </w:r>
      </w:hyperlink>
      <w:r>
        <w:t xml:space="preserve"> </w:t>
      </w:r>
      <w:r>
        <w:t xml:space="preserve">DOI:</w:t>
      </w:r>
      <w:r>
        <w:t xml:space="preserve"> </w:t>
      </w:r>
      <w:hyperlink r:id="rId375">
        <w:r>
          <w:rPr>
            <w:rStyle w:val="Hyperlink"/>
          </w:rPr>
          <w:t xml:space="preserve">10.1371/journal.pcbi.1004873</w:t>
        </w:r>
      </w:hyperlink>
      <w:r>
        <w:t xml:space="preserve"> </w:t>
      </w:r>
      <w:r>
        <w:t xml:space="preserve">· PMID:</w:t>
      </w:r>
      <w:r>
        <w:t xml:space="preserve"> </w:t>
      </w:r>
      <w:hyperlink r:id="rId376">
        <w:r>
          <w:rPr>
            <w:rStyle w:val="Hyperlink"/>
          </w:rPr>
          <w:t xml:space="preserve">27100738</w:t>
        </w:r>
      </w:hyperlink>
      <w:r>
        <w:t xml:space="preserve"> </w:t>
      </w:r>
      <w:r>
        <w:t xml:space="preserve">· PMCID:</w:t>
      </w:r>
      <w:r>
        <w:t xml:space="preserve"> </w:t>
      </w:r>
      <w:hyperlink r:id="rId377">
        <w:r>
          <w:rPr>
            <w:rStyle w:val="Hyperlink"/>
          </w:rPr>
          <w:t xml:space="preserve">PMC4839673</w:t>
        </w:r>
      </w:hyperlink>
    </w:p>
    <w:bookmarkEnd w:id="378"/>
    <w:bookmarkStart w:id="383" w:name="ref-14nSa8zB9"/>
    <w:p>
      <w:pPr>
        <w:pStyle w:val="Bibliography"/>
      </w:pPr>
      <w:r>
        <w:t xml:space="preserve">14.</w:t>
      </w:r>
      <w:r>
        <w:t xml:space="preserve"> </w:t>
      </w:r>
      <w:r>
        <w:t xml:space="preserve">	</w:t>
      </w:r>
      <w:r>
        <w:rPr>
          <w:bCs/>
          <w:b/>
        </w:rPr>
        <w:t xml:space="preserve">The Genome Analysis Toolkit: A MapReduce framework for analyzing next-generation DNA sequencing data</w:t>
      </w:r>
      <w:r>
        <w:t xml:space="preserve"> </w:t>
      </w:r>
      <w:r>
        <w:t xml:space="preserve">Aaron McKenna, Matthew Hanna, Eric Banks, Andrey Sivachenko, Kristian Cibulskis, Andrew Kernytsky, Kiran Garimella, David Altshuler, Stacey Gabriel, Mark Daly, Mark A DePristo</w:t>
      </w:r>
      <w:r>
        <w:t xml:space="preserve"> </w:t>
      </w:r>
      <w:r>
        <w:rPr>
          <w:iCs/>
          <w:i/>
        </w:rPr>
        <w:t xml:space="preserve">Genome Research</w:t>
      </w:r>
      <w:r>
        <w:t xml:space="preserve"> </w:t>
      </w:r>
      <w:r>
        <w:t xml:space="preserve">(2010-07-19)</w:t>
      </w:r>
      <w:r>
        <w:t xml:space="preserve"> </w:t>
      </w:r>
      <w:hyperlink r:id="rId379">
        <w:r>
          <w:rPr>
            <w:rStyle w:val="Hyperlink"/>
          </w:rPr>
          <w:t xml:space="preserve">https://doi.org/bnzbn6</w:t>
        </w:r>
      </w:hyperlink>
      <w:r>
        <w:t xml:space="preserve"> </w:t>
      </w:r>
      <w:r>
        <w:t xml:space="preserve">DOI:</w:t>
      </w:r>
      <w:r>
        <w:t xml:space="preserve"> </w:t>
      </w:r>
      <w:hyperlink r:id="rId380">
        <w:r>
          <w:rPr>
            <w:rStyle w:val="Hyperlink"/>
          </w:rPr>
          <w:t xml:space="preserve">10.1101/gr.107524.110</w:t>
        </w:r>
      </w:hyperlink>
      <w:r>
        <w:t xml:space="preserve"> </w:t>
      </w:r>
      <w:r>
        <w:t xml:space="preserve">· PMID:</w:t>
      </w:r>
      <w:r>
        <w:t xml:space="preserve"> </w:t>
      </w:r>
      <w:hyperlink r:id="rId381">
        <w:r>
          <w:rPr>
            <w:rStyle w:val="Hyperlink"/>
          </w:rPr>
          <w:t xml:space="preserve">20644199</w:t>
        </w:r>
      </w:hyperlink>
      <w:r>
        <w:t xml:space="preserve"> </w:t>
      </w:r>
      <w:r>
        <w:t xml:space="preserve">· PMCID:</w:t>
      </w:r>
      <w:r>
        <w:t xml:space="preserve"> </w:t>
      </w:r>
      <w:hyperlink r:id="rId382">
        <w:r>
          <w:rPr>
            <w:rStyle w:val="Hyperlink"/>
          </w:rPr>
          <w:t xml:space="preserve">PMC2928508</w:t>
        </w:r>
      </w:hyperlink>
    </w:p>
    <w:bookmarkEnd w:id="383"/>
    <w:bookmarkStart w:id="388" w:name="ref-dxeON3tz"/>
    <w:p>
      <w:pPr>
        <w:pStyle w:val="Bibliography"/>
      </w:pPr>
      <w:r>
        <w:t xml:space="preserve">15.</w:t>
      </w:r>
      <w:r>
        <w:t xml:space="preserve"> </w:t>
      </w:r>
      <w:r>
        <w:t xml:space="preserve">	</w:t>
      </w:r>
      <w:r>
        <w:rPr>
          <w:bCs/>
          <w:b/>
        </w:rPr>
        <w:t xml:space="preserve">Preprocessing, normalization and integration of the Illumina HumanMethylationEPIC array with minfi</w:t>
      </w:r>
      <w:r>
        <w:t xml:space="preserve"> </w:t>
      </w:r>
      <w:r>
        <w:t xml:space="preserve">Jean-Philippe Fortin, Timothy J Triche Jr, Kasper D Hansen</w:t>
      </w:r>
      <w:r>
        <w:t xml:space="preserve"> </w:t>
      </w:r>
      <w:r>
        <w:rPr>
          <w:iCs/>
          <w:i/>
        </w:rPr>
        <w:t xml:space="preserve">Bioinformatics</w:t>
      </w:r>
      <w:r>
        <w:t xml:space="preserve"> </w:t>
      </w:r>
      <w:r>
        <w:t xml:space="preserve">(2016-11-29)</w:t>
      </w:r>
      <w:r>
        <w:t xml:space="preserve"> </w:t>
      </w:r>
      <w:hyperlink r:id="rId384">
        <w:r>
          <w:rPr>
            <w:rStyle w:val="Hyperlink"/>
          </w:rPr>
          <w:t xml:space="preserve">https://doi.org/f9x7kd</w:t>
        </w:r>
      </w:hyperlink>
      <w:r>
        <w:t xml:space="preserve"> </w:t>
      </w:r>
      <w:r>
        <w:t xml:space="preserve">DOI:</w:t>
      </w:r>
      <w:r>
        <w:t xml:space="preserve"> </w:t>
      </w:r>
      <w:hyperlink r:id="rId385">
        <w:r>
          <w:rPr>
            <w:rStyle w:val="Hyperlink"/>
          </w:rPr>
          <w:t xml:space="preserve">10.1093/bioinformatics/btw691</w:t>
        </w:r>
      </w:hyperlink>
      <w:r>
        <w:t xml:space="preserve"> </w:t>
      </w:r>
      <w:r>
        <w:t xml:space="preserve">· PMID:</w:t>
      </w:r>
      <w:r>
        <w:t xml:space="preserve"> </w:t>
      </w:r>
      <w:hyperlink r:id="rId386">
        <w:r>
          <w:rPr>
            <w:rStyle w:val="Hyperlink"/>
          </w:rPr>
          <w:t xml:space="preserve">28035024</w:t>
        </w:r>
      </w:hyperlink>
      <w:r>
        <w:t xml:space="preserve"> </w:t>
      </w:r>
      <w:r>
        <w:t xml:space="preserve">· PMCID:</w:t>
      </w:r>
      <w:r>
        <w:t xml:space="preserve"> </w:t>
      </w:r>
      <w:hyperlink r:id="rId387">
        <w:r>
          <w:rPr>
            <w:rStyle w:val="Hyperlink"/>
          </w:rPr>
          <w:t xml:space="preserve">PMC5408810</w:t>
        </w:r>
      </w:hyperlink>
    </w:p>
    <w:bookmarkEnd w:id="388"/>
    <w:bookmarkStart w:id="393" w:name="ref-15Yz3j9AA"/>
    <w:p>
      <w:pPr>
        <w:pStyle w:val="Bibliography"/>
      </w:pPr>
      <w:r>
        <w:t xml:space="preserve">16.</w:t>
      </w:r>
      <w:r>
        <w:t xml:space="preserve"> </w:t>
      </w:r>
      <w:r>
        <w:t xml:space="preserve">	</w:t>
      </w:r>
      <w:r>
        <w:rPr>
          <w:bCs/>
          <w:b/>
        </w:rPr>
        <w:t xml:space="preserve">Review of processing and analysis methods for DNA methylation array data</w:t>
      </w:r>
      <w:r>
        <w:t xml:space="preserve"> </w:t>
      </w:r>
      <w:r>
        <w:t xml:space="preserve">CS Wilhelm-Benartzi, DC Koestler, MR Karagas, JM Flanagan, BC Christensen, KT Kelsey, CJ Marsit, EA Houseman, R Brown</w:t>
      </w:r>
      <w:r>
        <w:t xml:space="preserve"> </w:t>
      </w:r>
      <w:r>
        <w:rPr>
          <w:iCs/>
          <w:i/>
        </w:rPr>
        <w:t xml:space="preserve">British Journal of Cancer</w:t>
      </w:r>
      <w:r>
        <w:t xml:space="preserve"> </w:t>
      </w:r>
      <w:r>
        <w:t xml:space="preserve">(2013-08-27)</w:t>
      </w:r>
      <w:r>
        <w:t xml:space="preserve"> </w:t>
      </w:r>
      <w:hyperlink r:id="rId389">
        <w:r>
          <w:rPr>
            <w:rStyle w:val="Hyperlink"/>
          </w:rPr>
          <w:t xml:space="preserve">https://doi.org/gb9qvv</w:t>
        </w:r>
      </w:hyperlink>
      <w:r>
        <w:t xml:space="preserve"> </w:t>
      </w:r>
      <w:r>
        <w:t xml:space="preserve">DOI:</w:t>
      </w:r>
      <w:r>
        <w:t xml:space="preserve"> </w:t>
      </w:r>
      <w:hyperlink r:id="rId390">
        <w:r>
          <w:rPr>
            <w:rStyle w:val="Hyperlink"/>
          </w:rPr>
          <w:t xml:space="preserve">10.1038/bjc.2013.496</w:t>
        </w:r>
      </w:hyperlink>
      <w:r>
        <w:t xml:space="preserve"> </w:t>
      </w:r>
      <w:r>
        <w:t xml:space="preserve">· PMID:</w:t>
      </w:r>
      <w:r>
        <w:t xml:space="preserve"> </w:t>
      </w:r>
      <w:hyperlink r:id="rId391">
        <w:r>
          <w:rPr>
            <w:rStyle w:val="Hyperlink"/>
          </w:rPr>
          <w:t xml:space="preserve">23982603</w:t>
        </w:r>
      </w:hyperlink>
      <w:r>
        <w:t xml:space="preserve"> </w:t>
      </w:r>
      <w:r>
        <w:t xml:space="preserve">· PMCID:</w:t>
      </w:r>
      <w:r>
        <w:t xml:space="preserve"> </w:t>
      </w:r>
      <w:hyperlink r:id="rId392">
        <w:r>
          <w:rPr>
            <w:rStyle w:val="Hyperlink"/>
          </w:rPr>
          <w:t xml:space="preserve">PMC3777004</w:t>
        </w:r>
      </w:hyperlink>
    </w:p>
    <w:bookmarkEnd w:id="393"/>
    <w:bookmarkStart w:id="398" w:name="ref-HOfcb651"/>
    <w:p>
      <w:pPr>
        <w:pStyle w:val="Bibliography"/>
      </w:pPr>
      <w:r>
        <w:t xml:space="preserve">17.</w:t>
      </w:r>
      <w:r>
        <w:t xml:space="preserve"> </w:t>
      </w:r>
      <w:r>
        <w:t xml:space="preserve">	</w:t>
      </w:r>
      <w:r>
        <w:rPr>
          <w:bCs/>
          <w:b/>
        </w:rPr>
        <w:t xml:space="preserve">Impact of SNPs on methylation readouts by Illumina Infinium HumanMethylation450 BeadChip Array: implications for comparative population studies</w:t>
      </w:r>
      <w:r>
        <w:t xml:space="preserve"> </w:t>
      </w:r>
      <w:r>
        <w:t xml:space="preserve">Patrycja Daca-Roszak, Aleksandra Pfeifer, Jadwiga Żebracka-Gala, Dagmara Rusinek, Aleksandra Szybińska, Barbara Jarząb, Michał Witt, Ewa Ziętkiewicz</w:t>
      </w:r>
      <w:r>
        <w:t xml:space="preserve"> </w:t>
      </w:r>
      <w:r>
        <w:rPr>
          <w:iCs/>
          <w:i/>
        </w:rPr>
        <w:t xml:space="preserve">BMC Genomics</w:t>
      </w:r>
      <w:r>
        <w:t xml:space="preserve"> </w:t>
      </w:r>
      <w:r>
        <w:t xml:space="preserve">(2015-11-25)</w:t>
      </w:r>
      <w:r>
        <w:t xml:space="preserve"> </w:t>
      </w:r>
      <w:hyperlink r:id="rId394">
        <w:r>
          <w:rPr>
            <w:rStyle w:val="Hyperlink"/>
          </w:rPr>
          <w:t xml:space="preserve">https://doi.org/gb3h5r</w:t>
        </w:r>
      </w:hyperlink>
      <w:r>
        <w:t xml:space="preserve"> </w:t>
      </w:r>
      <w:r>
        <w:t xml:space="preserve">DOI:</w:t>
      </w:r>
      <w:r>
        <w:t xml:space="preserve"> </w:t>
      </w:r>
      <w:hyperlink r:id="rId395">
        <w:r>
          <w:rPr>
            <w:rStyle w:val="Hyperlink"/>
          </w:rPr>
          <w:t xml:space="preserve">10.1186/s12864-015-2202-0</w:t>
        </w:r>
      </w:hyperlink>
      <w:r>
        <w:t xml:space="preserve"> </w:t>
      </w:r>
      <w:r>
        <w:t xml:space="preserve">· PMID:</w:t>
      </w:r>
      <w:r>
        <w:t xml:space="preserve"> </w:t>
      </w:r>
      <w:hyperlink r:id="rId396">
        <w:r>
          <w:rPr>
            <w:rStyle w:val="Hyperlink"/>
          </w:rPr>
          <w:t xml:space="preserve">26607064</w:t>
        </w:r>
      </w:hyperlink>
      <w:r>
        <w:t xml:space="preserve"> </w:t>
      </w:r>
      <w:r>
        <w:t xml:space="preserve">· PMCID:</w:t>
      </w:r>
      <w:r>
        <w:t xml:space="preserve"> </w:t>
      </w:r>
      <w:hyperlink r:id="rId397">
        <w:r>
          <w:rPr>
            <w:rStyle w:val="Hyperlink"/>
          </w:rPr>
          <w:t xml:space="preserve">PMC4659175</w:t>
        </w:r>
      </w:hyperlink>
    </w:p>
    <w:bookmarkEnd w:id="398"/>
    <w:bookmarkStart w:id="403" w:name="ref-19a3Xf4h3"/>
    <w:p>
      <w:pPr>
        <w:pStyle w:val="Bibliography"/>
      </w:pPr>
      <w:r>
        <w:t xml:space="preserve">18.</w:t>
      </w:r>
      <w:r>
        <w:t xml:space="preserve"> </w:t>
      </w:r>
      <w:r>
        <w:t xml:space="preserve">	</w:t>
      </w:r>
      <w:r>
        <w:rPr>
          <w:bCs/>
          <w:b/>
        </w:rPr>
        <w:t xml:space="preserve">DNA methylation-based classification of central nervous system tumours</w:t>
      </w:r>
      <w:r>
        <w:t xml:space="preserve"> </w:t>
      </w:r>
      <w:r>
        <w:t xml:space="preserve">David Capper, David TW Jones, Martin Sill, Volker Hovestadt, Daniel Schrimpf, Dominik Sturm, Christian Koelsche, Felix Sahm, Lukas Chavez, David E Reuss, … Stefan M Pfister</w:t>
      </w:r>
      <w:r>
        <w:t xml:space="preserve"> </w:t>
      </w:r>
      <w:r>
        <w:rPr>
          <w:iCs/>
          <w:i/>
        </w:rPr>
        <w:t xml:space="preserve">Nature</w:t>
      </w:r>
      <w:r>
        <w:t xml:space="preserve"> </w:t>
      </w:r>
      <w:r>
        <w:t xml:space="preserve">(2018-03-14)</w:t>
      </w:r>
      <w:r>
        <w:t xml:space="preserve"> </w:t>
      </w:r>
      <w:hyperlink r:id="rId399">
        <w:r>
          <w:rPr>
            <w:rStyle w:val="Hyperlink"/>
          </w:rPr>
          <w:t xml:space="preserve">https://doi.org/gc5t36</w:t>
        </w:r>
      </w:hyperlink>
      <w:r>
        <w:t xml:space="preserve"> </w:t>
      </w:r>
      <w:r>
        <w:t xml:space="preserve">DOI:</w:t>
      </w:r>
      <w:r>
        <w:t xml:space="preserve"> </w:t>
      </w:r>
      <w:hyperlink r:id="rId400">
        <w:r>
          <w:rPr>
            <w:rStyle w:val="Hyperlink"/>
          </w:rPr>
          <w:t xml:space="preserve">10.1038/nature26000</w:t>
        </w:r>
      </w:hyperlink>
      <w:r>
        <w:t xml:space="preserve"> </w:t>
      </w:r>
      <w:r>
        <w:t xml:space="preserve">· PMID:</w:t>
      </w:r>
      <w:r>
        <w:t xml:space="preserve"> </w:t>
      </w:r>
      <w:hyperlink r:id="rId401">
        <w:r>
          <w:rPr>
            <w:rStyle w:val="Hyperlink"/>
          </w:rPr>
          <w:t xml:space="preserve">29539639</w:t>
        </w:r>
      </w:hyperlink>
      <w:r>
        <w:t xml:space="preserve"> </w:t>
      </w:r>
      <w:r>
        <w:t xml:space="preserve">· PMCID:</w:t>
      </w:r>
      <w:r>
        <w:t xml:space="preserve"> </w:t>
      </w:r>
      <w:hyperlink r:id="rId402">
        <w:r>
          <w:rPr>
            <w:rStyle w:val="Hyperlink"/>
          </w:rPr>
          <w:t xml:space="preserve">PMC6093218</w:t>
        </w:r>
      </w:hyperlink>
    </w:p>
    <w:bookmarkEnd w:id="403"/>
    <w:bookmarkStart w:id="408" w:name="ref-DuQpY5dg"/>
    <w:p>
      <w:pPr>
        <w:pStyle w:val="Bibliography"/>
      </w:pPr>
      <w:r>
        <w:t xml:space="preserve">19.</w:t>
      </w:r>
      <w:r>
        <w:t xml:space="preserve"> </w:t>
      </w:r>
      <w:r>
        <w:t xml:space="preserve">	</w:t>
      </w:r>
      <w:r>
        <w:rPr>
          <w:bCs/>
          <w:b/>
        </w:rPr>
        <w:t xml:space="preserve">Accurate and efficient detection of gene fusions from RNA sequencing data</w:t>
      </w:r>
      <w:r>
        <w:t xml:space="preserve"> </w:t>
      </w:r>
      <w:r>
        <w:t xml:space="preserve">Sebastian Uhrig, Julia Ellermann, Tatjana Walther, Pauline Burkhardt, Martina Fröhlich, Barbara Hutter, Umut H Toprak, Olaf Neumann, Albrecht Stenzinger, Claudia Scholl, … Benedikt Brors</w:t>
      </w:r>
      <w:r>
        <w:t xml:space="preserve"> </w:t>
      </w:r>
      <w:r>
        <w:rPr>
          <w:iCs/>
          <w:i/>
        </w:rPr>
        <w:t xml:space="preserve">Genome Research</w:t>
      </w:r>
      <w:r>
        <w:t xml:space="preserve"> </w:t>
      </w:r>
      <w:r>
        <w:t xml:space="preserve">(2021-01-13)</w:t>
      </w:r>
      <w:r>
        <w:t xml:space="preserve"> </w:t>
      </w:r>
      <w:hyperlink r:id="rId404">
        <w:r>
          <w:rPr>
            <w:rStyle w:val="Hyperlink"/>
          </w:rPr>
          <w:t xml:space="preserve">https://doi.org/gjvdvp</w:t>
        </w:r>
      </w:hyperlink>
      <w:r>
        <w:t xml:space="preserve"> </w:t>
      </w:r>
      <w:r>
        <w:t xml:space="preserve">DOI:</w:t>
      </w:r>
      <w:r>
        <w:t xml:space="preserve"> </w:t>
      </w:r>
      <w:hyperlink r:id="rId405">
        <w:r>
          <w:rPr>
            <w:rStyle w:val="Hyperlink"/>
          </w:rPr>
          <w:t xml:space="preserve">10.1101/gr.257246.119</w:t>
        </w:r>
      </w:hyperlink>
      <w:r>
        <w:t xml:space="preserve"> </w:t>
      </w:r>
      <w:r>
        <w:t xml:space="preserve">· PMID:</w:t>
      </w:r>
      <w:r>
        <w:t xml:space="preserve"> </w:t>
      </w:r>
      <w:hyperlink r:id="rId406">
        <w:r>
          <w:rPr>
            <w:rStyle w:val="Hyperlink"/>
          </w:rPr>
          <w:t xml:space="preserve">33441414</w:t>
        </w:r>
      </w:hyperlink>
      <w:r>
        <w:t xml:space="preserve"> </w:t>
      </w:r>
      <w:r>
        <w:t xml:space="preserve">· PMCID:</w:t>
      </w:r>
      <w:r>
        <w:t xml:space="preserve"> </w:t>
      </w:r>
      <w:hyperlink r:id="rId407">
        <w:r>
          <w:rPr>
            <w:rStyle w:val="Hyperlink"/>
          </w:rPr>
          <w:t xml:space="preserve">PMC7919457</w:t>
        </w:r>
      </w:hyperlink>
    </w:p>
    <w:bookmarkEnd w:id="408"/>
    <w:bookmarkStart w:id="411" w:name="ref-rqYlIiAi"/>
    <w:p>
      <w:pPr>
        <w:pStyle w:val="Bibliography"/>
      </w:pPr>
      <w:r>
        <w:t xml:space="preserve">20.</w:t>
      </w:r>
      <w:r>
        <w:t xml:space="preserve"> </w:t>
      </w:r>
      <w:r>
        <w:t xml:space="preserve">	</w:t>
      </w:r>
      <w:r>
        <w:rPr>
          <w:bCs/>
          <w:b/>
        </w:rPr>
        <w:t xml:space="preserve">STAR-Fusion: Fast and Accurate Fusion Transcript Detection from RNA-Seq</w:t>
      </w:r>
      <w:r>
        <w:t xml:space="preserve"> </w:t>
      </w:r>
      <w:r>
        <w:t xml:space="preserve">Brian J Haas, Alex Dobin, Nicolas Stransky, Bo Li, Xiao Yang, Timothy Tickle, Asma Bankapur, Carrie Ganote, Thomas G Doak, Nathalie Pochet, … Aviv Regev</w:t>
      </w:r>
      <w:r>
        <w:t xml:space="preserve"> </w:t>
      </w:r>
      <w:r>
        <w:rPr>
          <w:iCs/>
          <w:i/>
        </w:rPr>
        <w:t xml:space="preserve">Cold Spring Harbor Laboratory</w:t>
      </w:r>
      <w:r>
        <w:t xml:space="preserve"> </w:t>
      </w:r>
      <w:r>
        <w:t xml:space="preserve">(2017-03-24)</w:t>
      </w:r>
      <w:r>
        <w:t xml:space="preserve"> </w:t>
      </w:r>
      <w:hyperlink r:id="rId409">
        <w:r>
          <w:rPr>
            <w:rStyle w:val="Hyperlink"/>
          </w:rPr>
          <w:t xml:space="preserve">https://doi.org/gf5pc5</w:t>
        </w:r>
      </w:hyperlink>
      <w:r>
        <w:t xml:space="preserve"> </w:t>
      </w:r>
      <w:r>
        <w:t xml:space="preserve">DOI:</w:t>
      </w:r>
      <w:r>
        <w:t xml:space="preserve"> </w:t>
      </w:r>
      <w:hyperlink r:id="rId410">
        <w:r>
          <w:rPr>
            <w:rStyle w:val="Hyperlink"/>
          </w:rPr>
          <w:t xml:space="preserve">10.1101/120295</w:t>
        </w:r>
      </w:hyperlink>
    </w:p>
    <w:bookmarkEnd w:id="411"/>
    <w:bookmarkStart w:id="416" w:name="ref-10LfPTs0c"/>
    <w:p>
      <w:pPr>
        <w:pStyle w:val="Bibliography"/>
      </w:pPr>
      <w:r>
        <w:t xml:space="preserve">21.</w:t>
      </w:r>
      <w:r>
        <w:t xml:space="preserve"> </w:t>
      </w:r>
      <w:r>
        <w:t xml:space="preserve">	</w:t>
      </w:r>
      <w:r>
        <w:rPr>
          <w:bCs/>
          <w:b/>
        </w:rPr>
        <w:t xml:space="preserve">annoFuse: an R Package to annotate, prioritize, and interactively explore putative oncogenic RNA fusions</w:t>
      </w:r>
      <w:r>
        <w:t xml:space="preserve"> </w:t>
      </w:r>
      <w:r>
        <w:t xml:space="preserve">Krutika S Gaonkar, Federico Marini, Komal S Rathi, Payal Jain, Yuankun Zhu, Nicholas A Chimicles, Miguel A Brown, Ammar S Naqvi, Bo Zhang, Phillip B Storm, … Jo Lynne Rokita</w:t>
      </w:r>
      <w:r>
        <w:t xml:space="preserve"> </w:t>
      </w:r>
      <w:r>
        <w:rPr>
          <w:iCs/>
          <w:i/>
        </w:rPr>
        <w:t xml:space="preserve">BMC Bioinformatics</w:t>
      </w:r>
      <w:r>
        <w:t xml:space="preserve"> </w:t>
      </w:r>
      <w:r>
        <w:t xml:space="preserve">(2020-12)</w:t>
      </w:r>
      <w:r>
        <w:t xml:space="preserve"> </w:t>
      </w:r>
      <w:hyperlink r:id="rId412">
        <w:r>
          <w:rPr>
            <w:rStyle w:val="Hyperlink"/>
          </w:rPr>
          <w:t xml:space="preserve">https://doi.org/gm84mh</w:t>
        </w:r>
      </w:hyperlink>
      <w:r>
        <w:t xml:space="preserve"> </w:t>
      </w:r>
      <w:r>
        <w:t xml:space="preserve">DOI:</w:t>
      </w:r>
      <w:r>
        <w:t xml:space="preserve"> </w:t>
      </w:r>
      <w:hyperlink r:id="rId413">
        <w:r>
          <w:rPr>
            <w:rStyle w:val="Hyperlink"/>
          </w:rPr>
          <w:t xml:space="preserve">10.1186/s12859-020-03922-7</w:t>
        </w:r>
      </w:hyperlink>
      <w:r>
        <w:t xml:space="preserve"> </w:t>
      </w:r>
      <w:r>
        <w:t xml:space="preserve">· PMID:</w:t>
      </w:r>
      <w:r>
        <w:t xml:space="preserve"> </w:t>
      </w:r>
      <w:hyperlink r:id="rId414">
        <w:r>
          <w:rPr>
            <w:rStyle w:val="Hyperlink"/>
          </w:rPr>
          <w:t xml:space="preserve">33317447</w:t>
        </w:r>
      </w:hyperlink>
      <w:r>
        <w:t xml:space="preserve"> </w:t>
      </w:r>
      <w:r>
        <w:t xml:space="preserve">· PMCID:</w:t>
      </w:r>
      <w:r>
        <w:t xml:space="preserve"> </w:t>
      </w:r>
      <w:hyperlink r:id="rId415">
        <w:r>
          <w:rPr>
            <w:rStyle w:val="Hyperlink"/>
          </w:rPr>
          <w:t xml:space="preserve">PMC7737294</w:t>
        </w:r>
      </w:hyperlink>
    </w:p>
    <w:bookmarkEnd w:id="416"/>
    <w:bookmarkStart w:id="421" w:name="ref-bKpYR6PB"/>
    <w:p>
      <w:pPr>
        <w:pStyle w:val="Bibliography"/>
      </w:pPr>
      <w:r>
        <w:t xml:space="preserve">22.</w:t>
      </w:r>
      <w:r>
        <w:t xml:space="preserve"> </w:t>
      </w:r>
      <w:r>
        <w:t xml:space="preserve">	</w:t>
      </w:r>
      <w:r>
        <w:rPr>
          <w:bCs/>
          <w:b/>
        </w:rPr>
        <w:t xml:space="preserve">MSFragger: ultrafast and comprehensive peptide identification in mass spectrometry–based proteomics</w:t>
      </w:r>
      <w:r>
        <w:t xml:space="preserve"> </w:t>
      </w:r>
      <w:r>
        <w:t xml:space="preserve">Andy T Kong, Felipe V Leprevost, Dmitry M Avtonomov, Dattatreya Mellacheruvu, Alexey I Nesvizhskii</w:t>
      </w:r>
      <w:r>
        <w:t xml:space="preserve"> </w:t>
      </w:r>
      <w:r>
        <w:rPr>
          <w:iCs/>
          <w:i/>
        </w:rPr>
        <w:t xml:space="preserve">Nature Methods</w:t>
      </w:r>
      <w:r>
        <w:t xml:space="preserve"> </w:t>
      </w:r>
      <w:r>
        <w:t xml:space="preserve">(2017-04-10)</w:t>
      </w:r>
      <w:r>
        <w:t xml:space="preserve"> </w:t>
      </w:r>
      <w:hyperlink r:id="rId417">
        <w:r>
          <w:rPr>
            <w:rStyle w:val="Hyperlink"/>
          </w:rPr>
          <w:t xml:space="preserve">https://doi.org/f9z6p7</w:t>
        </w:r>
      </w:hyperlink>
      <w:r>
        <w:t xml:space="preserve"> </w:t>
      </w:r>
      <w:r>
        <w:t xml:space="preserve">DOI:</w:t>
      </w:r>
      <w:r>
        <w:t xml:space="preserve"> </w:t>
      </w:r>
      <w:hyperlink r:id="rId418">
        <w:r>
          <w:rPr>
            <w:rStyle w:val="Hyperlink"/>
          </w:rPr>
          <w:t xml:space="preserve">10.1038/nmeth.4256</w:t>
        </w:r>
      </w:hyperlink>
      <w:r>
        <w:t xml:space="preserve"> </w:t>
      </w:r>
      <w:r>
        <w:t xml:space="preserve">· PMID:</w:t>
      </w:r>
      <w:r>
        <w:t xml:space="preserve"> </w:t>
      </w:r>
      <w:hyperlink r:id="rId419">
        <w:r>
          <w:rPr>
            <w:rStyle w:val="Hyperlink"/>
          </w:rPr>
          <w:t xml:space="preserve">28394336</w:t>
        </w:r>
      </w:hyperlink>
      <w:r>
        <w:t xml:space="preserve"> </w:t>
      </w:r>
      <w:r>
        <w:t xml:space="preserve">· PMCID:</w:t>
      </w:r>
      <w:r>
        <w:t xml:space="preserve"> </w:t>
      </w:r>
      <w:hyperlink r:id="rId420">
        <w:r>
          <w:rPr>
            <w:rStyle w:val="Hyperlink"/>
          </w:rPr>
          <w:t xml:space="preserve">PMC5409104</w:t>
        </w:r>
      </w:hyperlink>
    </w:p>
    <w:bookmarkEnd w:id="421"/>
    <w:bookmarkStart w:id="426" w:name="ref-2rzcFP4J"/>
    <w:p>
      <w:pPr>
        <w:pStyle w:val="Bibliography"/>
      </w:pPr>
      <w:r>
        <w:t xml:space="preserve">23.</w:t>
      </w:r>
      <w:r>
        <w:t xml:space="preserve"> </w:t>
      </w:r>
      <w:r>
        <w:t xml:space="preserve">	</w:t>
      </w:r>
      <w:r>
        <w:rPr>
          <w:bCs/>
          <w:b/>
        </w:rPr>
        <w:t xml:space="preserve">Correcting systematic bias and instrument measurement drift with mzRefinery</w:t>
      </w:r>
      <w:r>
        <w:t xml:space="preserve"> </w:t>
      </w:r>
      <w:r>
        <w:t xml:space="preserve">Bryson C Gibbons, Matthew C Chambers, Matthew E Monroe, David L Tabb, Samuel H Payne</w:t>
      </w:r>
      <w:r>
        <w:t xml:space="preserve"> </w:t>
      </w:r>
      <w:r>
        <w:rPr>
          <w:iCs/>
          <w:i/>
        </w:rPr>
        <w:t xml:space="preserve">Bioinformatics</w:t>
      </w:r>
      <w:r>
        <w:t xml:space="preserve"> </w:t>
      </w:r>
      <w:r>
        <w:t xml:space="preserve">(2015-08-04)</w:t>
      </w:r>
      <w:r>
        <w:t xml:space="preserve"> </w:t>
      </w:r>
      <w:hyperlink r:id="rId422">
        <w:r>
          <w:rPr>
            <w:rStyle w:val="Hyperlink"/>
          </w:rPr>
          <w:t xml:space="preserve">https://doi.org/gb5g57</w:t>
        </w:r>
      </w:hyperlink>
      <w:r>
        <w:t xml:space="preserve"> </w:t>
      </w:r>
      <w:r>
        <w:t xml:space="preserve">DOI:</w:t>
      </w:r>
      <w:r>
        <w:t xml:space="preserve"> </w:t>
      </w:r>
      <w:hyperlink r:id="rId423">
        <w:r>
          <w:rPr>
            <w:rStyle w:val="Hyperlink"/>
          </w:rPr>
          <w:t xml:space="preserve">10.1093/bioinformatics/btv437</w:t>
        </w:r>
      </w:hyperlink>
      <w:r>
        <w:t xml:space="preserve"> </w:t>
      </w:r>
      <w:r>
        <w:t xml:space="preserve">· PMID:</w:t>
      </w:r>
      <w:r>
        <w:t xml:space="preserve"> </w:t>
      </w:r>
      <w:hyperlink r:id="rId424">
        <w:r>
          <w:rPr>
            <w:rStyle w:val="Hyperlink"/>
          </w:rPr>
          <w:t xml:space="preserve">26243018</w:t>
        </w:r>
      </w:hyperlink>
      <w:r>
        <w:t xml:space="preserve"> </w:t>
      </w:r>
      <w:r>
        <w:t xml:space="preserve">· PMCID:</w:t>
      </w:r>
      <w:r>
        <w:t xml:space="preserve"> </w:t>
      </w:r>
      <w:hyperlink r:id="rId425">
        <w:r>
          <w:rPr>
            <w:rStyle w:val="Hyperlink"/>
          </w:rPr>
          <w:t xml:space="preserve">PMC4653383</w:t>
        </w:r>
      </w:hyperlink>
    </w:p>
    <w:bookmarkEnd w:id="426"/>
    <w:bookmarkStart w:id="431" w:name="ref-1B2RVFOKK"/>
    <w:p>
      <w:pPr>
        <w:pStyle w:val="Bibliography"/>
      </w:pPr>
      <w:r>
        <w:t xml:space="preserve">24.</w:t>
      </w:r>
      <w:r>
        <w:t xml:space="preserve"> </w:t>
      </w:r>
      <w:r>
        <w:t xml:space="preserve">	</w:t>
      </w:r>
      <w:r>
        <w:rPr>
          <w:bCs/>
          <w:b/>
        </w:rPr>
        <w:t xml:space="preserve">MS-GF+ makes progress towards a universal database search tool for proteomics</w:t>
      </w:r>
      <w:r>
        <w:t xml:space="preserve"> </w:t>
      </w:r>
      <w:r>
        <w:t xml:space="preserve">Sangtae Kim, Pavel A Pevzner</w:t>
      </w:r>
      <w:r>
        <w:t xml:space="preserve"> </w:t>
      </w:r>
      <w:r>
        <w:rPr>
          <w:iCs/>
          <w:i/>
        </w:rPr>
        <w:t xml:space="preserve">Nature Communications</w:t>
      </w:r>
      <w:r>
        <w:t xml:space="preserve"> </w:t>
      </w:r>
      <w:r>
        <w:t xml:space="preserve">(2014-10-31)</w:t>
      </w:r>
      <w:r>
        <w:t xml:space="preserve"> </w:t>
      </w:r>
      <w:hyperlink r:id="rId427">
        <w:r>
          <w:rPr>
            <w:rStyle w:val="Hyperlink"/>
          </w:rPr>
          <w:t xml:space="preserve">https://doi.org/ggkdq8</w:t>
        </w:r>
      </w:hyperlink>
      <w:r>
        <w:t xml:space="preserve"> </w:t>
      </w:r>
      <w:r>
        <w:t xml:space="preserve">DOI:</w:t>
      </w:r>
      <w:r>
        <w:t xml:space="preserve"> </w:t>
      </w:r>
      <w:hyperlink r:id="rId428">
        <w:r>
          <w:rPr>
            <w:rStyle w:val="Hyperlink"/>
          </w:rPr>
          <w:t xml:space="preserve">10.1038/ncomms6277</w:t>
        </w:r>
      </w:hyperlink>
      <w:r>
        <w:t xml:space="preserve"> </w:t>
      </w:r>
      <w:r>
        <w:t xml:space="preserve">· PMID:</w:t>
      </w:r>
      <w:r>
        <w:t xml:space="preserve"> </w:t>
      </w:r>
      <w:hyperlink r:id="rId429">
        <w:r>
          <w:rPr>
            <w:rStyle w:val="Hyperlink"/>
          </w:rPr>
          <w:t xml:space="preserve">25358478</w:t>
        </w:r>
      </w:hyperlink>
      <w:r>
        <w:t xml:space="preserve"> </w:t>
      </w:r>
      <w:r>
        <w:t xml:space="preserve">· PMCID:</w:t>
      </w:r>
      <w:r>
        <w:t xml:space="preserve"> </w:t>
      </w:r>
      <w:hyperlink r:id="rId430">
        <w:r>
          <w:rPr>
            <w:rStyle w:val="Hyperlink"/>
          </w:rPr>
          <w:t xml:space="preserve">PMC5036525</w:t>
        </w:r>
      </w:hyperlink>
    </w:p>
    <w:bookmarkEnd w:id="431"/>
    <w:bookmarkStart w:id="436" w:name="ref-G4kbj7VC"/>
    <w:p>
      <w:pPr>
        <w:pStyle w:val="Bibliography"/>
      </w:pPr>
      <w:r>
        <w:t xml:space="preserve">25.</w:t>
      </w:r>
      <w:r>
        <w:t xml:space="preserve"> </w:t>
      </w:r>
      <w:r>
        <w:t xml:space="preserve">	</w:t>
      </w:r>
      <w:r>
        <w:rPr>
          <w:bCs/>
          <w:b/>
        </w:rPr>
        <w:t xml:space="preserve">Spectral probabilities of top-down tandem mass spectra</w:t>
      </w:r>
      <w:r>
        <w:t xml:space="preserve"> </w:t>
      </w:r>
      <w:r>
        <w:t xml:space="preserve">Xiaowen Liu, Matthew W Segar, Shuai Cheng Li, Sangtae Kim</w:t>
      </w:r>
      <w:r>
        <w:t xml:space="preserve"> </w:t>
      </w:r>
      <w:r>
        <w:rPr>
          <w:iCs/>
          <w:i/>
        </w:rPr>
        <w:t xml:space="preserve">BMC Genomics</w:t>
      </w:r>
      <w:r>
        <w:t xml:space="preserve"> </w:t>
      </w:r>
      <w:r>
        <w:t xml:space="preserve">(2014-01)</w:t>
      </w:r>
      <w:r>
        <w:t xml:space="preserve"> </w:t>
      </w:r>
      <w:hyperlink r:id="rId432">
        <w:r>
          <w:rPr>
            <w:rStyle w:val="Hyperlink"/>
          </w:rPr>
          <w:t xml:space="preserve">https://doi.org/gb3gzt</w:t>
        </w:r>
      </w:hyperlink>
      <w:r>
        <w:t xml:space="preserve"> </w:t>
      </w:r>
      <w:r>
        <w:t xml:space="preserve">DOI:</w:t>
      </w:r>
      <w:r>
        <w:t xml:space="preserve"> </w:t>
      </w:r>
      <w:hyperlink r:id="rId433">
        <w:r>
          <w:rPr>
            <w:rStyle w:val="Hyperlink"/>
          </w:rPr>
          <w:t xml:space="preserve">10.1186/1471-2164-15-s1-s9</w:t>
        </w:r>
      </w:hyperlink>
      <w:r>
        <w:t xml:space="preserve"> </w:t>
      </w:r>
      <w:r>
        <w:t xml:space="preserve">· PMID:</w:t>
      </w:r>
      <w:r>
        <w:t xml:space="preserve"> </w:t>
      </w:r>
      <w:hyperlink r:id="rId434">
        <w:r>
          <w:rPr>
            <w:rStyle w:val="Hyperlink"/>
          </w:rPr>
          <w:t xml:space="preserve">24564718</w:t>
        </w:r>
      </w:hyperlink>
      <w:r>
        <w:t xml:space="preserve"> </w:t>
      </w:r>
      <w:r>
        <w:t xml:space="preserve">· PMCID:</w:t>
      </w:r>
      <w:r>
        <w:t xml:space="preserve"> </w:t>
      </w:r>
      <w:hyperlink r:id="rId435">
        <w:r>
          <w:rPr>
            <w:rStyle w:val="Hyperlink"/>
          </w:rPr>
          <w:t xml:space="preserve">PMC4046700</w:t>
        </w:r>
      </w:hyperlink>
    </w:p>
    <w:bookmarkEnd w:id="436"/>
    <w:bookmarkStart w:id="440" w:name="ref-VLwxfMaF"/>
    <w:p>
      <w:pPr>
        <w:pStyle w:val="Bibliography"/>
      </w:pPr>
      <w:r>
        <w:t xml:space="preserve">26.</w:t>
      </w:r>
      <w:r>
        <w:t xml:space="preserve"> </w:t>
      </w:r>
      <w:r>
        <w:t xml:space="preserve">	</w:t>
      </w:r>
      <w:r>
        <w:rPr>
          <w:bCs/>
          <w:b/>
        </w:rPr>
        <w:t xml:space="preserve">A probability-based approach for high-throughput protein phosphorylation analysis and site localization</w:t>
      </w:r>
      <w:r>
        <w:t xml:space="preserve"> </w:t>
      </w:r>
      <w:r>
        <w:t xml:space="preserve">Sean A Beausoleil, Judit Villén, Scott A Gerber, John Rush, Steven P Gygi</w:t>
      </w:r>
      <w:r>
        <w:t xml:space="preserve"> </w:t>
      </w:r>
      <w:r>
        <w:rPr>
          <w:iCs/>
          <w:i/>
        </w:rPr>
        <w:t xml:space="preserve">Nature Biotechnology</w:t>
      </w:r>
      <w:r>
        <w:t xml:space="preserve"> </w:t>
      </w:r>
      <w:r>
        <w:t xml:space="preserve">(2006-09-10)</w:t>
      </w:r>
      <w:r>
        <w:t xml:space="preserve"> </w:t>
      </w:r>
      <w:hyperlink r:id="rId437">
        <w:r>
          <w:rPr>
            <w:rStyle w:val="Hyperlink"/>
          </w:rPr>
          <w:t xml:space="preserve">https://doi.org/dbwqf4</w:t>
        </w:r>
      </w:hyperlink>
      <w:r>
        <w:t xml:space="preserve"> </w:t>
      </w:r>
      <w:r>
        <w:t xml:space="preserve">DOI:</w:t>
      </w:r>
      <w:r>
        <w:t xml:space="preserve"> </w:t>
      </w:r>
      <w:hyperlink r:id="rId438">
        <w:r>
          <w:rPr>
            <w:rStyle w:val="Hyperlink"/>
          </w:rPr>
          <w:t xml:space="preserve">10.1038/nbt1240</w:t>
        </w:r>
      </w:hyperlink>
      <w:r>
        <w:t xml:space="preserve"> </w:t>
      </w:r>
      <w:r>
        <w:t xml:space="preserve">· PMID:</w:t>
      </w:r>
      <w:r>
        <w:t xml:space="preserve"> </w:t>
      </w:r>
      <w:hyperlink r:id="rId439">
        <w:r>
          <w:rPr>
            <w:rStyle w:val="Hyperlink"/>
          </w:rPr>
          <w:t xml:space="preserve">16964243</w:t>
        </w:r>
      </w:hyperlink>
    </w:p>
    <w:bookmarkEnd w:id="440"/>
    <w:bookmarkStart w:id="442" w:name="ref-Z38xUgBW"/>
    <w:p>
      <w:pPr>
        <w:pStyle w:val="Bibliography"/>
      </w:pPr>
      <w:r>
        <w:t xml:space="preserve">27.</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(2011-04-28)</w:t>
      </w:r>
      <w:r>
        <w:t xml:space="preserve"> </w:t>
      </w:r>
      <w:hyperlink r:id="rId441">
        <w:r>
          <w:rPr>
            <w:rStyle w:val="Hyperlink"/>
          </w:rPr>
          <w:t xml:space="preserve">https://doi.org/10.1186/gb-2011-12-4-r41</w:t>
        </w:r>
      </w:hyperlink>
      <w:r>
        <w:t xml:space="preserve"> </w:t>
      </w:r>
      <w:r>
        <w:t xml:space="preserve">DOI:</w:t>
      </w:r>
      <w:r>
        <w:t xml:space="preserve"> </w:t>
      </w:r>
      <w:hyperlink r:id="rId441">
        <w:r>
          <w:rPr>
            <w:rStyle w:val="Hyperlink"/>
          </w:rPr>
          <w:t xml:space="preserve">10.1186/gb-2011-12-4-r41</w:t>
        </w:r>
      </w:hyperlink>
    </w:p>
    <w:bookmarkEnd w:id="442"/>
    <w:bookmarkStart w:id="447" w:name="ref-KhxTOfIb"/>
    <w:p>
      <w:pPr>
        <w:pStyle w:val="Bibliography"/>
      </w:pPr>
      <w:r>
        <w:t xml:space="preserve">28.</w:t>
      </w:r>
      <w:r>
        <w:t xml:space="preserve"> </w:t>
      </w:r>
      <w:r>
        <w:t xml:space="preserve">	</w:t>
      </w:r>
      <w:r>
        <w:rPr>
          <w:bCs/>
          <w:b/>
        </w:rPr>
        <w:t xml:space="preserve">deconstructSigs: delineating mutational processes in single tumors distinguishes DNA repair deficiencies and patterns of carcinoma evolution</w:t>
      </w:r>
      <w:r>
        <w:t xml:space="preserve"> </w:t>
      </w:r>
      <w:r>
        <w:t xml:space="preserve">Rachel Rosenthal, Nicholas McGranahan, Javier Herrero, Barry S Taylor, Charles Swanton</w:t>
      </w:r>
      <w:r>
        <w:t xml:space="preserve"> </w:t>
      </w:r>
      <w:r>
        <w:rPr>
          <w:iCs/>
          <w:i/>
        </w:rPr>
        <w:t xml:space="preserve">Genome Biology</w:t>
      </w:r>
      <w:r>
        <w:t xml:space="preserve"> </w:t>
      </w:r>
      <w:r>
        <w:t xml:space="preserve">(2016-02-22)</w:t>
      </w:r>
      <w:r>
        <w:t xml:space="preserve"> </w:t>
      </w:r>
      <w:hyperlink r:id="rId443">
        <w:r>
          <w:rPr>
            <w:rStyle w:val="Hyperlink"/>
          </w:rPr>
          <w:t xml:space="preserve">https://doi.org/f8bdsq</w:t>
        </w:r>
      </w:hyperlink>
      <w:r>
        <w:t xml:space="preserve"> </w:t>
      </w:r>
      <w:r>
        <w:t xml:space="preserve">DOI:</w:t>
      </w:r>
      <w:r>
        <w:t xml:space="preserve"> </w:t>
      </w:r>
      <w:hyperlink r:id="rId444">
        <w:r>
          <w:rPr>
            <w:rStyle w:val="Hyperlink"/>
          </w:rPr>
          <w:t xml:space="preserve">10.1186/s13059-016-0893-4</w:t>
        </w:r>
      </w:hyperlink>
      <w:r>
        <w:t xml:space="preserve"> </w:t>
      </w:r>
      <w:r>
        <w:t xml:space="preserve">· PMID:</w:t>
      </w:r>
      <w:r>
        <w:t xml:space="preserve"> </w:t>
      </w:r>
      <w:hyperlink r:id="rId445">
        <w:r>
          <w:rPr>
            <w:rStyle w:val="Hyperlink"/>
          </w:rPr>
          <w:t xml:space="preserve">26899170</w:t>
        </w:r>
      </w:hyperlink>
      <w:r>
        <w:t xml:space="preserve"> </w:t>
      </w:r>
      <w:r>
        <w:t xml:space="preserve">· PMCID:</w:t>
      </w:r>
      <w:r>
        <w:t xml:space="preserve"> </w:t>
      </w:r>
      <w:hyperlink r:id="rId446">
        <w:r>
          <w:rPr>
            <w:rStyle w:val="Hyperlink"/>
          </w:rPr>
          <w:t xml:space="preserve">PMC4762164</w:t>
        </w:r>
      </w:hyperlink>
    </w:p>
    <w:bookmarkEnd w:id="447"/>
    <w:bookmarkStart w:id="452" w:name="ref-kG8qNLrs"/>
    <w:p>
      <w:pPr>
        <w:pStyle w:val="Bibliography"/>
      </w:pPr>
      <w:r>
        <w:t xml:space="preserve">29.</w:t>
      </w:r>
      <w:r>
        <w:t xml:space="preserve"> </w:t>
      </w:r>
      <w:r>
        <w:t xml:space="preserve">	</w:t>
      </w:r>
      <w:r>
        <w:rPr>
          <w:bCs/>
          <w:b/>
        </w:rPr>
        <w:t xml:space="preserve">Signatures of mutational processes in human cancer</w:t>
      </w:r>
      <w:r>
        <w:t xml:space="preserve">, Ludmil B Alexandrov, Serena Nik-Zainal, David C Wedge, Samuel AJR Aparicio, Sam Behjati, Andrew V Biankin, … Michael R Stratton</w:t>
      </w:r>
      <w:r>
        <w:t xml:space="preserve"> </w:t>
      </w:r>
      <w:r>
        <w:rPr>
          <w:iCs/>
          <w:i/>
        </w:rPr>
        <w:t xml:space="preserve">Nature</w:t>
      </w:r>
      <w:r>
        <w:t xml:space="preserve"> </w:t>
      </w:r>
      <w:r>
        <w:t xml:space="preserve">(2013-08-14)</w:t>
      </w:r>
      <w:r>
        <w:t xml:space="preserve"> </w:t>
      </w:r>
      <w:hyperlink r:id="rId448">
        <w:r>
          <w:rPr>
            <w:rStyle w:val="Hyperlink"/>
          </w:rPr>
          <w:t xml:space="preserve">https://doi.org/f22m2q</w:t>
        </w:r>
      </w:hyperlink>
      <w:r>
        <w:t xml:space="preserve"> </w:t>
      </w:r>
      <w:r>
        <w:t xml:space="preserve">DOI:</w:t>
      </w:r>
      <w:r>
        <w:t xml:space="preserve"> </w:t>
      </w:r>
      <w:hyperlink r:id="rId449">
        <w:r>
          <w:rPr>
            <w:rStyle w:val="Hyperlink"/>
          </w:rPr>
          <w:t xml:space="preserve">10.1038/nature12477</w:t>
        </w:r>
      </w:hyperlink>
      <w:r>
        <w:t xml:space="preserve"> </w:t>
      </w:r>
      <w:r>
        <w:t xml:space="preserve">· PMID:</w:t>
      </w:r>
      <w:r>
        <w:t xml:space="preserve"> </w:t>
      </w:r>
      <w:hyperlink r:id="rId450">
        <w:r>
          <w:rPr>
            <w:rStyle w:val="Hyperlink"/>
          </w:rPr>
          <w:t xml:space="preserve">23945592</w:t>
        </w:r>
      </w:hyperlink>
      <w:r>
        <w:t xml:space="preserve"> </w:t>
      </w:r>
      <w:r>
        <w:t xml:space="preserve">· PMCID:</w:t>
      </w:r>
      <w:r>
        <w:t xml:space="preserve"> </w:t>
      </w:r>
      <w:hyperlink r:id="rId451">
        <w:r>
          <w:rPr>
            <w:rStyle w:val="Hyperlink"/>
          </w:rPr>
          <w:t xml:space="preserve">PMC3776390</w:t>
        </w:r>
      </w:hyperlink>
    </w:p>
    <w:bookmarkEnd w:id="452"/>
    <w:bookmarkStart w:id="457" w:name="ref-1EbWJlH4p"/>
    <w:p>
      <w:pPr>
        <w:pStyle w:val="Bibliography"/>
      </w:pPr>
      <w:r>
        <w:t xml:space="preserve">30.</w:t>
      </w:r>
      <w:r>
        <w:t xml:space="preserve"> </w:t>
      </w:r>
      <w:r>
        <w:t xml:space="preserve">	</w:t>
      </w:r>
      <w:r>
        <w:rPr>
          <w:bCs/>
          <w:b/>
        </w:rPr>
        <w:t xml:space="preserve">Tumor mutational burden standardization initiatives: Recommendations for consistent tumor mutational burden assessment in clinical samples to guide immunotherapy treatment decisions</w:t>
      </w:r>
      <w:r>
        <w:t xml:space="preserve"> </w:t>
      </w:r>
      <w:r>
        <w:t xml:space="preserve">Albrecht Stenzinger, Jeffrey D Allen, Jörg Maas, Mark D Stewart, Diana M Merino, Madison M Wempe, Manfred Dietel</w:t>
      </w:r>
      <w:r>
        <w:t xml:space="preserve"> </w:t>
      </w:r>
      <w:r>
        <w:rPr>
          <w:iCs/>
          <w:i/>
        </w:rPr>
        <w:t xml:space="preserve">Genes, Chromosomes and Cancer</w:t>
      </w:r>
      <w:r>
        <w:t xml:space="preserve"> </w:t>
      </w:r>
      <w:r>
        <w:t xml:space="preserve">(2019-03-07)</w:t>
      </w:r>
      <w:r>
        <w:t xml:space="preserve"> </w:t>
      </w:r>
      <w:hyperlink r:id="rId453">
        <w:r>
          <w:rPr>
            <w:rStyle w:val="Hyperlink"/>
          </w:rPr>
          <w:t xml:space="preserve">https://doi.org/ggc8pj</w:t>
        </w:r>
      </w:hyperlink>
      <w:r>
        <w:t xml:space="preserve"> </w:t>
      </w:r>
      <w:r>
        <w:t xml:space="preserve">DOI:</w:t>
      </w:r>
      <w:r>
        <w:t xml:space="preserve"> </w:t>
      </w:r>
      <w:hyperlink r:id="rId454">
        <w:r>
          <w:rPr>
            <w:rStyle w:val="Hyperlink"/>
          </w:rPr>
          <w:t xml:space="preserve">10.1002/gcc.22733</w:t>
        </w:r>
      </w:hyperlink>
      <w:r>
        <w:t xml:space="preserve"> </w:t>
      </w:r>
      <w:r>
        <w:t xml:space="preserve">· PMID:</w:t>
      </w:r>
      <w:r>
        <w:t xml:space="preserve"> </w:t>
      </w:r>
      <w:hyperlink r:id="rId455">
        <w:r>
          <w:rPr>
            <w:rStyle w:val="Hyperlink"/>
          </w:rPr>
          <w:t xml:space="preserve">30664300</w:t>
        </w:r>
      </w:hyperlink>
      <w:r>
        <w:t xml:space="preserve"> </w:t>
      </w:r>
      <w:r>
        <w:t xml:space="preserve">· PMCID:</w:t>
      </w:r>
      <w:r>
        <w:t xml:space="preserve"> </w:t>
      </w:r>
      <w:hyperlink r:id="rId456">
        <w:r>
          <w:rPr>
            <w:rStyle w:val="Hyperlink"/>
          </w:rPr>
          <w:t xml:space="preserve">PMC6618007</w:t>
        </w:r>
      </w:hyperlink>
    </w:p>
    <w:bookmarkEnd w:id="457"/>
    <w:bookmarkStart w:id="462" w:name="ref-6F5vK3sT"/>
    <w:p>
      <w:pPr>
        <w:pStyle w:val="Bibliography"/>
      </w:pPr>
      <w:r>
        <w:t xml:space="preserve">31.</w:t>
      </w:r>
      <w:r>
        <w:t xml:space="preserve"> </w:t>
      </w:r>
      <w:r>
        <w:t xml:space="preserve">	</w:t>
      </w:r>
      <w:r>
        <w:rPr>
          <w:bCs/>
          <w:b/>
        </w:rPr>
        <w:t xml:space="preserve">The 2021 WHO Classification of Tumors of the Central Nervous System: a summary</w:t>
      </w:r>
      <w:r>
        <w:t xml:space="preserve"> </w:t>
      </w:r>
      <w:r>
        <w:t xml:space="preserve">David N Louis, Arie Perry, Pieter Wesseling, Daniel J Brat, Ian A Cree, Dominique Figarella-Branger, Cynthia Hawkins, HK Ng, Stefan M Pfister, Guido Reifenberger, … David W Ellison</w:t>
      </w:r>
      <w:r>
        <w:t xml:space="preserve"> </w:t>
      </w:r>
      <w:r>
        <w:rPr>
          <w:iCs/>
          <w:i/>
        </w:rPr>
        <w:t xml:space="preserve">Neuro-Oncology</w:t>
      </w:r>
      <w:r>
        <w:t xml:space="preserve"> </w:t>
      </w:r>
      <w:r>
        <w:t xml:space="preserve">(2021-06-29)</w:t>
      </w:r>
      <w:r>
        <w:t xml:space="preserve"> </w:t>
      </w:r>
      <w:hyperlink r:id="rId458">
        <w:r>
          <w:rPr>
            <w:rStyle w:val="Hyperlink"/>
          </w:rPr>
          <w:t xml:space="preserve">https://doi.org/gmqhbf</w:t>
        </w:r>
      </w:hyperlink>
      <w:r>
        <w:t xml:space="preserve"> </w:t>
      </w:r>
      <w:r>
        <w:t xml:space="preserve">DOI:</w:t>
      </w:r>
      <w:r>
        <w:t xml:space="preserve"> </w:t>
      </w:r>
      <w:hyperlink r:id="rId459">
        <w:r>
          <w:rPr>
            <w:rStyle w:val="Hyperlink"/>
          </w:rPr>
          <w:t xml:space="preserve">10.1093/neuonc/noab106</w:t>
        </w:r>
      </w:hyperlink>
      <w:r>
        <w:t xml:space="preserve"> </w:t>
      </w:r>
      <w:r>
        <w:t xml:space="preserve">· PMID:</w:t>
      </w:r>
      <w:r>
        <w:t xml:space="preserve"> </w:t>
      </w:r>
      <w:hyperlink r:id="rId460">
        <w:r>
          <w:rPr>
            <w:rStyle w:val="Hyperlink"/>
          </w:rPr>
          <w:t xml:space="preserve">34185076</w:t>
        </w:r>
      </w:hyperlink>
      <w:r>
        <w:t xml:space="preserve"> </w:t>
      </w:r>
      <w:r>
        <w:t xml:space="preserve">· PMCID:</w:t>
      </w:r>
      <w:r>
        <w:t xml:space="preserve"> </w:t>
      </w:r>
      <w:hyperlink r:id="rId461">
        <w:r>
          <w:rPr>
            <w:rStyle w:val="Hyperlink"/>
          </w:rPr>
          <w:t xml:space="preserve">PMC8328013</w:t>
        </w:r>
      </w:hyperlink>
    </w:p>
    <w:bookmarkEnd w:id="462"/>
    <w:bookmarkStart w:id="467" w:name="ref-gaCrHroW"/>
    <w:p>
      <w:pPr>
        <w:pStyle w:val="Bibliography"/>
      </w:pPr>
      <w:r>
        <w:t xml:space="preserve">32.</w:t>
      </w:r>
      <w:r>
        <w:t xml:space="preserve"> </w:t>
      </w:r>
      <w:r>
        <w:t xml:space="preserve">	</w:t>
      </w:r>
      <w:r>
        <w:rPr>
          <w:bCs/>
          <w:b/>
        </w:rPr>
        <w:t xml:space="preserve">Alterations in ALK/ROS1/NTRK/MET drive a group of infantile hemispheric gliomas</w:t>
      </w:r>
      <w:r>
        <w:t xml:space="preserve"> </w:t>
      </w:r>
      <w:r>
        <w:t xml:space="preserve">Ana S Guerreiro Stucklin, Scott Ryall, Kohei Fukuoka, Michal Zapotocky, Alvaro Lassaletta, Christopher Li, Taylor Bridge, Byungjin Kim, Anthony Arnoldo, Paul E Kowalski, … Cynthia Hawkins</w:t>
      </w:r>
      <w:r>
        <w:t xml:space="preserve"> </w:t>
      </w:r>
      <w:r>
        <w:rPr>
          <w:iCs/>
          <w:i/>
        </w:rPr>
        <w:t xml:space="preserve">Nature Communications</w:t>
      </w:r>
      <w:r>
        <w:t xml:space="preserve"> </w:t>
      </w:r>
      <w:r>
        <w:t xml:space="preserve">(2019-09-25)</w:t>
      </w:r>
      <w:r>
        <w:t xml:space="preserve"> </w:t>
      </w:r>
      <w:hyperlink r:id="rId463">
        <w:r>
          <w:rPr>
            <w:rStyle w:val="Hyperlink"/>
          </w:rPr>
          <w:t xml:space="preserve">https://doi.org/gh7bg8</w:t>
        </w:r>
      </w:hyperlink>
      <w:r>
        <w:t xml:space="preserve"> </w:t>
      </w:r>
      <w:r>
        <w:t xml:space="preserve">DOI:</w:t>
      </w:r>
      <w:r>
        <w:t xml:space="preserve"> </w:t>
      </w:r>
      <w:hyperlink r:id="rId464">
        <w:r>
          <w:rPr>
            <w:rStyle w:val="Hyperlink"/>
          </w:rPr>
          <w:t xml:space="preserve">10.1038/s41467-019-12187-5</w:t>
        </w:r>
      </w:hyperlink>
      <w:r>
        <w:t xml:space="preserve"> </w:t>
      </w:r>
      <w:r>
        <w:t xml:space="preserve">· PMID:</w:t>
      </w:r>
      <w:r>
        <w:t xml:space="preserve"> </w:t>
      </w:r>
      <w:hyperlink r:id="rId465">
        <w:r>
          <w:rPr>
            <w:rStyle w:val="Hyperlink"/>
          </w:rPr>
          <w:t xml:space="preserve">31554817</w:t>
        </w:r>
      </w:hyperlink>
      <w:r>
        <w:t xml:space="preserve"> </w:t>
      </w:r>
      <w:r>
        <w:t xml:space="preserve">· PMCID:</w:t>
      </w:r>
      <w:r>
        <w:t xml:space="preserve"> </w:t>
      </w:r>
      <w:hyperlink r:id="rId466">
        <w:r>
          <w:rPr>
            <w:rStyle w:val="Hyperlink"/>
          </w:rPr>
          <w:t xml:space="preserve">PMC6761184</w:t>
        </w:r>
      </w:hyperlink>
    </w:p>
    <w:bookmarkEnd w:id="467"/>
    <w:bookmarkStart w:id="472" w:name="ref-5NHLHVO3"/>
    <w:p>
      <w:pPr>
        <w:pStyle w:val="Bibliography"/>
      </w:pPr>
      <w:r>
        <w:t xml:space="preserve">33.</w:t>
      </w:r>
      <w:r>
        <w:t xml:space="preserve"> </w:t>
      </w:r>
      <w:r>
        <w:t xml:space="preserve">	</w:t>
      </w:r>
      <w:r>
        <w:rPr>
          <w:bCs/>
          <w:b/>
        </w:rPr>
        <w:t xml:space="preserve">Molecular subgrouping of atypical teratoid/rhabdoid tumors—a reinvestigation and current consensus</w:t>
      </w:r>
      <w:r>
        <w:t xml:space="preserve"> </w:t>
      </w:r>
      <w:r>
        <w:t xml:space="preserve">Ben Ho, Pascal D Johann, Yura Grabovska, Mamy Jean De Dieu Andrianteranagna, Fupan Yao, Michael Frühwald, Martin Hasselblatt, Franck Bourdeaut, Daniel Williamson, Annie Huang, Marcel Kool</w:t>
      </w:r>
      <w:r>
        <w:t xml:space="preserve"> </w:t>
      </w:r>
      <w:r>
        <w:rPr>
          <w:iCs/>
          <w:i/>
        </w:rPr>
        <w:t xml:space="preserve">Neuro-Oncology</w:t>
      </w:r>
      <w:r>
        <w:t xml:space="preserve"> </w:t>
      </w:r>
      <w:r>
        <w:t xml:space="preserve">(2019-12-31)</w:t>
      </w:r>
      <w:r>
        <w:t xml:space="preserve"> </w:t>
      </w:r>
      <w:hyperlink r:id="rId468">
        <w:r>
          <w:rPr>
            <w:rStyle w:val="Hyperlink"/>
          </w:rPr>
          <w:t xml:space="preserve">https://doi.org/gn3kcm</w:t>
        </w:r>
      </w:hyperlink>
      <w:r>
        <w:t xml:space="preserve"> </w:t>
      </w:r>
      <w:r>
        <w:t xml:space="preserve">DOI:</w:t>
      </w:r>
      <w:r>
        <w:t xml:space="preserve"> </w:t>
      </w:r>
      <w:hyperlink r:id="rId469">
        <w:r>
          <w:rPr>
            <w:rStyle w:val="Hyperlink"/>
          </w:rPr>
          <w:t xml:space="preserve">10.1093/neuonc/noz235</w:t>
        </w:r>
      </w:hyperlink>
      <w:r>
        <w:t xml:space="preserve"> </w:t>
      </w:r>
      <w:r>
        <w:t xml:space="preserve">· PMID:</w:t>
      </w:r>
      <w:r>
        <w:t xml:space="preserve"> </w:t>
      </w:r>
      <w:hyperlink r:id="rId470">
        <w:r>
          <w:rPr>
            <w:rStyle w:val="Hyperlink"/>
          </w:rPr>
          <w:t xml:space="preserve">31889194</w:t>
        </w:r>
      </w:hyperlink>
      <w:r>
        <w:t xml:space="preserve"> </w:t>
      </w:r>
      <w:r>
        <w:t xml:space="preserve">· PMCID:</w:t>
      </w:r>
      <w:r>
        <w:t xml:space="preserve"> </w:t>
      </w:r>
      <w:hyperlink r:id="rId471">
        <w:r>
          <w:rPr>
            <w:rStyle w:val="Hyperlink"/>
          </w:rPr>
          <w:t xml:space="preserve">PMC7229260</w:t>
        </w:r>
      </w:hyperlink>
    </w:p>
    <w:bookmarkEnd w:id="472"/>
    <w:bookmarkStart w:id="477" w:name="ref-12DKhuCiy"/>
    <w:p>
      <w:pPr>
        <w:pStyle w:val="Bibliography"/>
      </w:pPr>
      <w:r>
        <w:t xml:space="preserve">34.</w:t>
      </w:r>
      <w:r>
        <w:t xml:space="preserve"> </w:t>
      </w:r>
      <w:r>
        <w:t xml:space="preserve">	</w:t>
      </w:r>
      <w:r>
        <w:rPr>
          <w:bCs/>
          <w:b/>
        </w:rPr>
        <w:t xml:space="preserve">A transcriptome-based classifier to determine molecular subtypes in medulloblastoma</w:t>
      </w:r>
      <w:r>
        <w:t xml:space="preserve"> </w:t>
      </w:r>
      <w:r>
        <w:t xml:space="preserve">Komal S Rathi, Sherjeel Arif, Mateusz Koptyra, Ammar S Naqvi, Deanne M Taylor, Phillip B Storm, Adam C Resnick, Jo Lynne Rokita, Pichai Raman</w:t>
      </w:r>
      <w:r>
        <w:t xml:space="preserve"> </w:t>
      </w:r>
      <w:r>
        <w:rPr>
          <w:iCs/>
          <w:i/>
        </w:rPr>
        <w:t xml:space="preserve">PLOS Computational Biology</w:t>
      </w:r>
      <w:r>
        <w:t xml:space="preserve"> </w:t>
      </w:r>
      <w:r>
        <w:t xml:space="preserve">(2020-10-29)</w:t>
      </w:r>
      <w:r>
        <w:t xml:space="preserve"> </w:t>
      </w:r>
      <w:hyperlink r:id="rId473">
        <w:r>
          <w:rPr>
            <w:rStyle w:val="Hyperlink"/>
          </w:rPr>
          <w:t xml:space="preserve">https://doi.org/gm84kq</w:t>
        </w:r>
      </w:hyperlink>
      <w:r>
        <w:t xml:space="preserve"> </w:t>
      </w:r>
      <w:r>
        <w:t xml:space="preserve">DOI:</w:t>
      </w:r>
      <w:r>
        <w:t xml:space="preserve"> </w:t>
      </w:r>
      <w:hyperlink r:id="rId474">
        <w:r>
          <w:rPr>
            <w:rStyle w:val="Hyperlink"/>
          </w:rPr>
          <w:t xml:space="preserve">10.1371/journal.pcbi.1008263</w:t>
        </w:r>
      </w:hyperlink>
      <w:r>
        <w:t xml:space="preserve"> </w:t>
      </w:r>
      <w:r>
        <w:t xml:space="preserve">· PMID:</w:t>
      </w:r>
      <w:r>
        <w:t xml:space="preserve"> </w:t>
      </w:r>
      <w:hyperlink r:id="rId475">
        <w:r>
          <w:rPr>
            <w:rStyle w:val="Hyperlink"/>
          </w:rPr>
          <w:t xml:space="preserve">33119584</w:t>
        </w:r>
      </w:hyperlink>
      <w:r>
        <w:t xml:space="preserve"> </w:t>
      </w:r>
      <w:r>
        <w:t xml:space="preserve">· PMCID:</w:t>
      </w:r>
      <w:r>
        <w:t xml:space="preserve"> </w:t>
      </w:r>
      <w:hyperlink r:id="rId476">
        <w:r>
          <w:rPr>
            <w:rStyle w:val="Hyperlink"/>
          </w:rPr>
          <w:t xml:space="preserve">PMC7654754</w:t>
        </w:r>
      </w:hyperlink>
    </w:p>
    <w:bookmarkEnd w:id="477"/>
    <w:bookmarkStart w:id="482" w:name="ref-A4FXW005"/>
    <w:p>
      <w:pPr>
        <w:pStyle w:val="Bibliography"/>
      </w:pPr>
      <w:r>
        <w:t xml:space="preserve">35.</w:t>
      </w:r>
      <w:r>
        <w:t xml:space="preserve"> </w:t>
      </w:r>
      <w:r>
        <w:t xml:space="preserve">	</w:t>
      </w:r>
      <w:r>
        <w:rPr>
          <w:bCs/>
          <w:b/>
        </w:rPr>
        <w:t xml:space="preserve">NGSCheckMate: software for validating sample identity in next-generation sequencing studies within and across data types</w:t>
      </w:r>
      <w:r>
        <w:t xml:space="preserve"> </w:t>
      </w:r>
      <w:r>
        <w:t xml:space="preserve">Sejoon Lee, Soohyun Lee, Scott Ouellette, Woong-Yang Park, Eunjung A Lee, Peter J Park</w:t>
      </w:r>
      <w:r>
        <w:t xml:space="preserve"> </w:t>
      </w:r>
      <w:r>
        <w:rPr>
          <w:iCs/>
          <w:i/>
        </w:rPr>
        <w:t xml:space="preserve">Nucleic Acids Research</w:t>
      </w:r>
      <w:r>
        <w:t xml:space="preserve"> </w:t>
      </w:r>
      <w:r>
        <w:t xml:space="preserve">(2017-03-23)</w:t>
      </w:r>
      <w:r>
        <w:t xml:space="preserve"> </w:t>
      </w:r>
      <w:hyperlink r:id="rId478">
        <w:r>
          <w:rPr>
            <w:rStyle w:val="Hyperlink"/>
          </w:rPr>
          <w:t xml:space="preserve">https://doi.org/f9xrq4</w:t>
        </w:r>
      </w:hyperlink>
      <w:r>
        <w:t xml:space="preserve"> </w:t>
      </w:r>
      <w:r>
        <w:t xml:space="preserve">DOI:</w:t>
      </w:r>
      <w:r>
        <w:t xml:space="preserve"> </w:t>
      </w:r>
      <w:hyperlink r:id="rId479">
        <w:r>
          <w:rPr>
            <w:rStyle w:val="Hyperlink"/>
          </w:rPr>
          <w:t xml:space="preserve">10.1093/nar/gkx193</w:t>
        </w:r>
      </w:hyperlink>
      <w:r>
        <w:t xml:space="preserve"> </w:t>
      </w:r>
      <w:r>
        <w:t xml:space="preserve">· PMID:</w:t>
      </w:r>
      <w:r>
        <w:t xml:space="preserve"> </w:t>
      </w:r>
      <w:hyperlink r:id="rId480">
        <w:r>
          <w:rPr>
            <w:rStyle w:val="Hyperlink"/>
          </w:rPr>
          <w:t xml:space="preserve">28369524</w:t>
        </w:r>
      </w:hyperlink>
      <w:r>
        <w:t xml:space="preserve"> </w:t>
      </w:r>
      <w:r>
        <w:t xml:space="preserve">· PMCID:</w:t>
      </w:r>
      <w:r>
        <w:t xml:space="preserve"> </w:t>
      </w:r>
      <w:hyperlink r:id="rId481">
        <w:r>
          <w:rPr>
            <w:rStyle w:val="Hyperlink"/>
          </w:rPr>
          <w:t xml:space="preserve">PMC5499645</w:t>
        </w:r>
      </w:hyperlink>
    </w:p>
    <w:bookmarkEnd w:id="482"/>
    <w:bookmarkStart w:id="487" w:name="ref-eoDdE9oT"/>
    <w:p>
      <w:pPr>
        <w:pStyle w:val="Bibliography"/>
      </w:pPr>
      <w:r>
        <w:t xml:space="preserve">36.</w:t>
      </w:r>
      <w:r>
        <w:t xml:space="preserve"> </w:t>
      </w:r>
      <w:r>
        <w:t xml:space="preserve">	</w:t>
      </w:r>
      <w:r>
        <w:rPr>
          <w:bCs/>
          <w:b/>
        </w:rPr>
        <w:t xml:space="preserve">Somalier: rapid relatedness estimation for cancer and germline studies using efficient genome sketches</w:t>
      </w:r>
      <w:r>
        <w:t xml:space="preserve"> </w:t>
      </w:r>
      <w:r>
        <w:t xml:space="preserve">Brent S Pedersen, Preetida J Bhetariya, Joe Brown, Stephanie N Kravitz, Gabor Marth, Randy L Jensen, Mary P Bronner, Hunter R Underhill, Aaron R Quinlan</w:t>
      </w:r>
      <w:r>
        <w:t xml:space="preserve"> </w:t>
      </w:r>
      <w:r>
        <w:rPr>
          <w:iCs/>
          <w:i/>
        </w:rPr>
        <w:t xml:space="preserve">Genome Medicine</w:t>
      </w:r>
      <w:r>
        <w:t xml:space="preserve"> </w:t>
      </w:r>
      <w:r>
        <w:t xml:space="preserve">(2020-07-14)</w:t>
      </w:r>
      <w:r>
        <w:t xml:space="preserve"> </w:t>
      </w:r>
      <w:hyperlink r:id="rId483">
        <w:r>
          <w:rPr>
            <w:rStyle w:val="Hyperlink"/>
          </w:rPr>
          <w:t xml:space="preserve">https://doi.org/gtsm62</w:t>
        </w:r>
      </w:hyperlink>
      <w:r>
        <w:t xml:space="preserve"> </w:t>
      </w:r>
      <w:r>
        <w:t xml:space="preserve">DOI:</w:t>
      </w:r>
      <w:r>
        <w:t xml:space="preserve"> </w:t>
      </w:r>
      <w:hyperlink r:id="rId484">
        <w:r>
          <w:rPr>
            <w:rStyle w:val="Hyperlink"/>
          </w:rPr>
          <w:t xml:space="preserve">10.1186/s13073-020-00761-2</w:t>
        </w:r>
      </w:hyperlink>
      <w:r>
        <w:t xml:space="preserve"> </w:t>
      </w:r>
      <w:r>
        <w:t xml:space="preserve">· PMID:</w:t>
      </w:r>
      <w:r>
        <w:t xml:space="preserve"> </w:t>
      </w:r>
      <w:hyperlink r:id="rId485">
        <w:r>
          <w:rPr>
            <w:rStyle w:val="Hyperlink"/>
          </w:rPr>
          <w:t xml:space="preserve">32664994</w:t>
        </w:r>
      </w:hyperlink>
      <w:r>
        <w:t xml:space="preserve"> </w:t>
      </w:r>
      <w:r>
        <w:t xml:space="preserve">· PMCID:</w:t>
      </w:r>
      <w:r>
        <w:t xml:space="preserve"> </w:t>
      </w:r>
      <w:hyperlink r:id="rId486">
        <w:r>
          <w:rPr>
            <w:rStyle w:val="Hyperlink"/>
          </w:rPr>
          <w:t xml:space="preserve">PMC7362544</w:t>
        </w:r>
      </w:hyperlink>
    </w:p>
    <w:bookmarkEnd w:id="487"/>
    <w:bookmarkStart w:id="488" w:name="ref-17Erd7F9J"/>
    <w:p>
      <w:pPr>
        <w:pStyle w:val="Bibliography"/>
      </w:pPr>
      <w:r>
        <w:t xml:space="preserve">37.</w:t>
      </w:r>
      <w:r>
        <w:t xml:space="preserve"> </w:t>
      </w:r>
      <w:r>
        <w:t xml:space="preserve">	</w:t>
      </w:r>
      <w:r>
        <w:rPr>
          <w:bCs/>
          <w:b/>
        </w:rPr>
        <w:t xml:space="preserve">dbGaP Study</w:t>
      </w:r>
      <w:r>
        <w:t xml:space="preserve"> </w:t>
      </w:r>
      <w:hyperlink r:id="rId237">
        <w:r>
          <w:rPr>
            <w:rStyle w:val="Hyperlink"/>
          </w:rPr>
          <w:t xml:space="preserve">https://www.ncbi.nlm.nih.gov/projects/gap/cgi-bin/study.cgi?study_id=phs000218.v23.p8</w:t>
        </w:r>
      </w:hyperlink>
    </w:p>
    <w:bookmarkEnd w:id="488"/>
    <w:bookmarkStart w:id="489" w:name="ref-UVwAVvuW"/>
    <w:p>
      <w:pPr>
        <w:pStyle w:val="Bibliography"/>
      </w:pPr>
      <w:r>
        <w:t xml:space="preserve">38.</w:t>
      </w:r>
      <w:r>
        <w:t xml:space="preserve"> </w:t>
      </w:r>
      <w:r>
        <w:t xml:space="preserve">	</w:t>
      </w:r>
      <w:r>
        <w:rPr>
          <w:bCs/>
          <w:b/>
        </w:rPr>
        <w:t xml:space="preserve">dbGaP Study</w:t>
      </w:r>
      <w:r>
        <w:t xml:space="preserve"> </w:t>
      </w:r>
      <w:hyperlink r:id="rId238">
        <w:r>
          <w:rPr>
            <w:rStyle w:val="Hyperlink"/>
          </w:rPr>
          <w:t xml:space="preserve">https://www.ncbi.nlm.nih.gov/projects/gap/cgi-bin/study.cgi?study_id=phs001436.v1.p1</w:t>
        </w:r>
      </w:hyperlink>
    </w:p>
    <w:bookmarkEnd w:id="489"/>
    <w:bookmarkStart w:id="491" w:name="ref-rE2wVvW4"/>
    <w:p>
      <w:pPr>
        <w:pStyle w:val="Bibliography"/>
      </w:pPr>
      <w:r>
        <w:t xml:space="preserve">39.</w:t>
      </w:r>
      <w:r>
        <w:t xml:space="preserve"> </w:t>
      </w:r>
      <w:r>
        <w:t xml:space="preserve">	</w:t>
      </w:r>
      <w:r>
        <w:rPr>
          <w:bCs/>
          <w:b/>
        </w:rPr>
        <w:t xml:space="preserve">dbGaP Study</w:t>
      </w:r>
      <w:r>
        <w:t xml:space="preserve"> </w:t>
      </w:r>
      <w:hyperlink r:id="rId490">
        <w:r>
          <w:rPr>
            <w:rStyle w:val="Hyperlink"/>
          </w:rPr>
          <w:t xml:space="preserve">https://www.ncbi.nlm.nih.gov/projects/gap/cgi-bin/study.cgi?study_id=phs002517.v4.p2</w:t>
        </w:r>
      </w:hyperlink>
    </w:p>
    <w:bookmarkEnd w:id="491"/>
    <w:bookmarkStart w:id="492" w:name="ref-A9rC7i7X"/>
    <w:p>
      <w:pPr>
        <w:pStyle w:val="Bibliography"/>
      </w:pPr>
      <w:r>
        <w:t xml:space="preserve">40.</w:t>
      </w:r>
      <w:r>
        <w:t xml:space="preserve"> </w:t>
      </w:r>
      <w:r>
        <w:t xml:space="preserve">	</w:t>
      </w:r>
      <w:r>
        <w:rPr>
          <w:bCs/>
          <w:b/>
        </w:rPr>
        <w:t xml:space="preserve">dbGaP Study</w:t>
      </w:r>
      <w:r>
        <w:t xml:space="preserve"> </w:t>
      </w:r>
      <w:hyperlink r:id="rId246">
        <w:r>
          <w:rPr>
            <w:rStyle w:val="Hyperlink"/>
          </w:rPr>
          <w:t xml:space="preserve">https://www.ncbi.nlm.nih.gov/projects/gap/cgi-bin/study.cgi?study_id=phs000178.v11.p8</w:t>
        </w:r>
      </w:hyperlink>
    </w:p>
    <w:bookmarkEnd w:id="492"/>
    <w:bookmarkEnd w:id="493"/>
    <w:bookmarkEnd w:id="49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9" Target="media/rId229.png" /><Relationship Type="http://schemas.openxmlformats.org/officeDocument/2006/relationships/image" Id="rId252" Target="media/rId252.png" /><Relationship Type="http://schemas.openxmlformats.org/officeDocument/2006/relationships/image" Id="rId296" Target="media/rId296.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41" Target="@https://ctep.cancer.gov/MajorInitiatives/Pediatric_PIVOT_Program.htm%5D" TargetMode="External" /><Relationship Type="http://schemas.openxmlformats.org/officeDocument/2006/relationships/hyperlink" Id="rId236" Target="http://www.pnoc.us/" TargetMode="External" /><Relationship Type="http://schemas.openxmlformats.org/officeDocument/2006/relationships/hyperlink" Id="rId312" Target="https://cavatica.sbgenomics.com/u/cavatica/opentarget" TargetMode="External" /><Relationship Type="http://schemas.openxmlformats.org/officeDocument/2006/relationships/hyperlink" Id="rId272" Target="https://cavatica.sbgenomics.com/u/cavatica/opentarget/files/#q?path=v12" TargetMode="External" /><Relationship Type="http://schemas.openxmlformats.org/officeDocument/2006/relationships/hyperlink" Id="rId263" Target="https://cavatica.sbgenomics.com/u/kfdrc-harmonization/kf-references" TargetMode="External" /><Relationship Type="http://schemas.openxmlformats.org/officeDocument/2006/relationships/hyperlink" Id="rId233" Target="https://cbtn.org/" TargetMode="External" /><Relationship Type="http://schemas.openxmlformats.org/officeDocument/2006/relationships/hyperlink" Id="rId234" Target="https://cbtn.org/pediatric-brain-tumor-atlas/" TargetMode="External" /><Relationship Type="http://schemas.openxmlformats.org/officeDocument/2006/relationships/hyperlink" Id="rId454" Target="https://doi.org/10.1002/gcc.22733" TargetMode="External" /><Relationship Type="http://schemas.openxmlformats.org/officeDocument/2006/relationships/hyperlink" Id="rId338" Target="https://doi.org/10.1016/j.ccell.2021.01.006" TargetMode="External" /><Relationship Type="http://schemas.openxmlformats.org/officeDocument/2006/relationships/hyperlink" Id="rId333" Target="https://doi.org/10.1016/j.cell.2020.10.044" TargetMode="External" /><Relationship Type="http://schemas.openxmlformats.org/officeDocument/2006/relationships/hyperlink" Id="rId326" Target="https://doi.org/10.1016/j.celrep.2019.09.071" TargetMode="External" /><Relationship Type="http://schemas.openxmlformats.org/officeDocument/2006/relationships/hyperlink" Id="rId321" Target="https://doi.org/10.1016/j.xgen.2023.100340" TargetMode="External" /><Relationship Type="http://schemas.openxmlformats.org/officeDocument/2006/relationships/hyperlink" Id="rId390" Target="https://doi.org/10.1038/bjc.2013.496" TargetMode="External" /><Relationship Type="http://schemas.openxmlformats.org/officeDocument/2006/relationships/hyperlink" Id="rId449" Target="https://doi.org/10.1038/nature12477" TargetMode="External" /><Relationship Type="http://schemas.openxmlformats.org/officeDocument/2006/relationships/hyperlink" Id="rId400" Target="https://doi.org/10.1038/nature26000" TargetMode="External" /><Relationship Type="http://schemas.openxmlformats.org/officeDocument/2006/relationships/hyperlink" Id="rId438" Target="https://doi.org/10.1038/nbt1240" TargetMode="External" /><Relationship Type="http://schemas.openxmlformats.org/officeDocument/2006/relationships/hyperlink" Id="rId428" Target="https://doi.org/10.1038/ncomms6277" TargetMode="External" /><Relationship Type="http://schemas.openxmlformats.org/officeDocument/2006/relationships/hyperlink" Id="rId418" Target="https://doi.org/10.1038/nmeth.4256" TargetMode="External" /><Relationship Type="http://schemas.openxmlformats.org/officeDocument/2006/relationships/hyperlink" Id="rId464" Target="https://doi.org/10.1038/s41467-019-12187-5" TargetMode="External" /><Relationship Type="http://schemas.openxmlformats.org/officeDocument/2006/relationships/hyperlink" Id="rId348" Target="https://doi.org/10.1038/s41592-018-0051-x" TargetMode="External" /><Relationship Type="http://schemas.openxmlformats.org/officeDocument/2006/relationships/hyperlink" Id="rId355" Target="https://doi.org/10.1038/s42003-018-0023-9" TargetMode="External" /><Relationship Type="http://schemas.openxmlformats.org/officeDocument/2006/relationships/hyperlink" Id="rId370" Target="https://doi.org/10.1093/bioinformatics/btq635" TargetMode="External" /><Relationship Type="http://schemas.openxmlformats.org/officeDocument/2006/relationships/hyperlink" Id="rId365" Target="https://doi.org/10.1093/bioinformatics/btr670" TargetMode="External" /><Relationship Type="http://schemas.openxmlformats.org/officeDocument/2006/relationships/hyperlink" Id="rId423" Target="https://doi.org/10.1093/bioinformatics/btv437" TargetMode="External" /><Relationship Type="http://schemas.openxmlformats.org/officeDocument/2006/relationships/hyperlink" Id="rId385" Target="https://doi.org/10.1093/bioinformatics/btw691" TargetMode="External" /><Relationship Type="http://schemas.openxmlformats.org/officeDocument/2006/relationships/hyperlink" Id="rId360" Target="https://doi.org/10.1093/nar/gkw227" TargetMode="External" /><Relationship Type="http://schemas.openxmlformats.org/officeDocument/2006/relationships/hyperlink" Id="rId479" Target="https://doi.org/10.1093/nar/gkx193" TargetMode="External" /><Relationship Type="http://schemas.openxmlformats.org/officeDocument/2006/relationships/hyperlink" Id="rId459" Target="https://doi.org/10.1093/neuonc/noab106" TargetMode="External" /><Relationship Type="http://schemas.openxmlformats.org/officeDocument/2006/relationships/hyperlink" Id="rId469" Target="https://doi.org/10.1093/neuonc/noz235" TargetMode="External" /><Relationship Type="http://schemas.openxmlformats.org/officeDocument/2006/relationships/hyperlink" Id="rId410" Target="https://doi.org/10.1101/120295" TargetMode="External" /><Relationship Type="http://schemas.openxmlformats.org/officeDocument/2006/relationships/hyperlink" Id="rId352" Target="https://doi.org/10.1101/861054" TargetMode="External" /><Relationship Type="http://schemas.openxmlformats.org/officeDocument/2006/relationships/hyperlink" Id="rId380" Target="https://doi.org/10.1101/gr.107524.110" TargetMode="External" /><Relationship Type="http://schemas.openxmlformats.org/officeDocument/2006/relationships/hyperlink" Id="rId405" Target="https://doi.org/10.1101/gr.257246.119" TargetMode="External" /><Relationship Type="http://schemas.openxmlformats.org/officeDocument/2006/relationships/hyperlink" Id="rId433" Target="https://doi.org/10.1186/1471-2164-15-s1-s9" TargetMode="External" /><Relationship Type="http://schemas.openxmlformats.org/officeDocument/2006/relationships/hyperlink" Id="rId441" Target="https://doi.org/10.1186/gb-2011-12-4-r41" TargetMode="External" /><Relationship Type="http://schemas.openxmlformats.org/officeDocument/2006/relationships/hyperlink" Id="rId413" Target="https://doi.org/10.1186/s12859-020-03922-7" TargetMode="External" /><Relationship Type="http://schemas.openxmlformats.org/officeDocument/2006/relationships/hyperlink" Id="rId395" Target="https://doi.org/10.1186/s12864-015-2202-0" TargetMode="External" /><Relationship Type="http://schemas.openxmlformats.org/officeDocument/2006/relationships/hyperlink" Id="rId444" Target="https://doi.org/10.1186/s13059-016-0893-4" TargetMode="External" /><Relationship Type="http://schemas.openxmlformats.org/officeDocument/2006/relationships/hyperlink" Id="rId343" Target="https://doi.org/10.1186/s13059-016-0974-4" TargetMode="External" /><Relationship Type="http://schemas.openxmlformats.org/officeDocument/2006/relationships/hyperlink" Id="rId484" Target="https://doi.org/10.1186/s13073-020-00761-2" TargetMode="External" /><Relationship Type="http://schemas.openxmlformats.org/officeDocument/2006/relationships/hyperlink" Id="rId375" Target="https://doi.org/10.1371/journal.pcbi.1004873" TargetMode="External" /><Relationship Type="http://schemas.openxmlformats.org/officeDocument/2006/relationships/hyperlink" Id="rId474" Target="https://doi.org/10.1371/journal.pcbi.1008263" TargetMode="External" /><Relationship Type="http://schemas.openxmlformats.org/officeDocument/2006/relationships/hyperlink" Id="rId379" Target="https://doi.org/bnzbn6" TargetMode="External" /><Relationship Type="http://schemas.openxmlformats.org/officeDocument/2006/relationships/hyperlink" Id="rId369" Target="https://doi.org/c6bcps" TargetMode="External" /><Relationship Type="http://schemas.openxmlformats.org/officeDocument/2006/relationships/hyperlink" Id="rId374" Target="https://doi.org/c9pd" TargetMode="External" /><Relationship Type="http://schemas.openxmlformats.org/officeDocument/2006/relationships/hyperlink" Id="rId364" Target="https://doi.org/ckt4vz" TargetMode="External" /><Relationship Type="http://schemas.openxmlformats.org/officeDocument/2006/relationships/hyperlink" Id="rId437" Target="https://doi.org/dbwqf4" TargetMode="External" /><Relationship Type="http://schemas.openxmlformats.org/officeDocument/2006/relationships/hyperlink" Id="rId448" Target="https://doi.org/f22m2q" TargetMode="External" /><Relationship Type="http://schemas.openxmlformats.org/officeDocument/2006/relationships/hyperlink" Id="rId443" Target="https://doi.org/f8bdsq" TargetMode="External" /><Relationship Type="http://schemas.openxmlformats.org/officeDocument/2006/relationships/hyperlink" Id="rId359" Target="https://doi.org/f8v6qz" TargetMode="External" /><Relationship Type="http://schemas.openxmlformats.org/officeDocument/2006/relationships/hyperlink" Id="rId384" Target="https://doi.org/f9x7kd" TargetMode="External" /><Relationship Type="http://schemas.openxmlformats.org/officeDocument/2006/relationships/hyperlink" Id="rId478" Target="https://doi.org/f9xrq4" TargetMode="External" /><Relationship Type="http://schemas.openxmlformats.org/officeDocument/2006/relationships/hyperlink" Id="rId417" Target="https://doi.org/f9z6p7" TargetMode="External" /><Relationship Type="http://schemas.openxmlformats.org/officeDocument/2006/relationships/hyperlink" Id="rId432" Target="https://doi.org/gb3gzt" TargetMode="External" /><Relationship Type="http://schemas.openxmlformats.org/officeDocument/2006/relationships/hyperlink" Id="rId394" Target="https://doi.org/gb3h5r" TargetMode="External" /><Relationship Type="http://schemas.openxmlformats.org/officeDocument/2006/relationships/hyperlink" Id="rId422" Target="https://doi.org/gb5g57" TargetMode="External" /><Relationship Type="http://schemas.openxmlformats.org/officeDocument/2006/relationships/hyperlink" Id="rId389" Target="https://doi.org/gb9qvv" TargetMode="External" /><Relationship Type="http://schemas.openxmlformats.org/officeDocument/2006/relationships/hyperlink" Id="rId399" Target="https://doi.org/gc5t36" TargetMode="External" /><Relationship Type="http://schemas.openxmlformats.org/officeDocument/2006/relationships/hyperlink" Id="rId347" Target="https://doi.org/gdwrp4" TargetMode="External" /><Relationship Type="http://schemas.openxmlformats.org/officeDocument/2006/relationships/hyperlink" Id="rId342" Target="https://doi.org/gdz75c" TargetMode="External" /><Relationship Type="http://schemas.openxmlformats.org/officeDocument/2006/relationships/hyperlink" Id="rId409" Target="https://doi.org/gf5pc5" TargetMode="External" /><Relationship Type="http://schemas.openxmlformats.org/officeDocument/2006/relationships/hyperlink" Id="rId354" Target="https://doi.org/gfcfr8" TargetMode="External" /><Relationship Type="http://schemas.openxmlformats.org/officeDocument/2006/relationships/hyperlink" Id="rId325" Target="https://doi.org/gg596n" TargetMode="External" /><Relationship Type="http://schemas.openxmlformats.org/officeDocument/2006/relationships/hyperlink" Id="rId453" Target="https://doi.org/ggc8pj" TargetMode="External" /><Relationship Type="http://schemas.openxmlformats.org/officeDocument/2006/relationships/hyperlink" Id="rId427" Target="https://doi.org/ggkdq8" TargetMode="External" /><Relationship Type="http://schemas.openxmlformats.org/officeDocument/2006/relationships/hyperlink" Id="rId351" Target="https://doi.org/ggntwv" TargetMode="External" /><Relationship Type="http://schemas.openxmlformats.org/officeDocument/2006/relationships/hyperlink" Id="rId463" Target="https://doi.org/gh7bg8" TargetMode="External" /><Relationship Type="http://schemas.openxmlformats.org/officeDocument/2006/relationships/hyperlink" Id="rId337" Target="https://doi.org/gh7whf" TargetMode="External" /><Relationship Type="http://schemas.openxmlformats.org/officeDocument/2006/relationships/hyperlink" Id="rId332" Target="https://doi.org/ghqjkz" TargetMode="External" /><Relationship Type="http://schemas.openxmlformats.org/officeDocument/2006/relationships/hyperlink" Id="rId404" Target="https://doi.org/gjvdvp" TargetMode="External" /><Relationship Type="http://schemas.openxmlformats.org/officeDocument/2006/relationships/hyperlink" Id="rId473" Target="https://doi.org/gm84kq" TargetMode="External" /><Relationship Type="http://schemas.openxmlformats.org/officeDocument/2006/relationships/hyperlink" Id="rId412" Target="https://doi.org/gm84mh" TargetMode="External" /><Relationship Type="http://schemas.openxmlformats.org/officeDocument/2006/relationships/hyperlink" Id="rId458" Target="https://doi.org/gmqhbf" TargetMode="External" /><Relationship Type="http://schemas.openxmlformats.org/officeDocument/2006/relationships/hyperlink" Id="rId468" Target="https://doi.org/gn3kcm" TargetMode="External" /><Relationship Type="http://schemas.openxmlformats.org/officeDocument/2006/relationships/hyperlink" Id="rId320" Target="https://doi.org/gr92p6" TargetMode="External" /><Relationship Type="http://schemas.openxmlformats.org/officeDocument/2006/relationships/hyperlink" Id="rId483" Target="https://doi.org/gtsm62" TargetMode="External" /><Relationship Type="http://schemas.openxmlformats.org/officeDocument/2006/relationships/hyperlink" Id="rId293" Target="https://friendsofcancerresearch.org/tmb/" TargetMode="External" /><Relationship Type="http://schemas.openxmlformats.org/officeDocument/2006/relationships/hyperlink" Id="rId271" Target="https://genomebiology.biomedcentral.com/articles/10.1186/s13059-014-0550-8" TargetMode="External" /><Relationship Type="http://schemas.openxmlformats.org/officeDocument/2006/relationships/hyperlink" Id="rId308" Target="https://github.com/AlexsLemonade/OpenPBTA-analysis" TargetMode="External" /><Relationship Type="http://schemas.openxmlformats.org/officeDocument/2006/relationships/hyperlink" Id="rId291"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67" Target="https://github.com/HuangXiaoyan0106" TargetMode="External" /><Relationship Type="http://schemas.openxmlformats.org/officeDocument/2006/relationships/hyperlink" Id="rId209" Target="https://github.com/JosephDybas" TargetMode="External" /><Relationship Type="http://schemas.openxmlformats.org/officeDocument/2006/relationships/hyperlink" Id="rId113" Target="https://github.com/aadamk" TargetMode="External" /><Relationship Type="http://schemas.openxmlformats.org/officeDocument/2006/relationships/hyperlink" Id="rId119"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31"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76" Target="https://github.com/baileyckelly" TargetMode="External" /><Relationship Type="http://schemas.openxmlformats.org/officeDocument/2006/relationships/hyperlink" Id="rId188" Target="https://github.com/bmennis" TargetMode="External" /><Relationship Type="http://schemas.openxmlformats.org/officeDocument/2006/relationships/hyperlink" Id="rId152" Target="https://github.com/chinwallaa" TargetMode="External" /><Relationship Type="http://schemas.openxmlformats.org/officeDocument/2006/relationships/hyperlink" Id="rId273" Target="https://github.com/d3b-center/D3b-DGD-Collaboration/blob/main/scripts/update_gene_symbols.py" TargetMode="External" /><Relationship Type="http://schemas.openxmlformats.org/officeDocument/2006/relationships/hyperlink" Id="rId309" Target="https://github.com/d3b-center/OpenPedCan-analysis" TargetMode="External" /><Relationship Type="http://schemas.openxmlformats.org/officeDocument/2006/relationships/hyperlink" Id="rId310" Target="https://github.com/d3b-center/OpenPedCan-analysis/blob/fc87ad125aaae6d43f17e2baf94551c9a0444bde/tables/results/SuppTable3-List_Package_Table.xlsx" TargetMode="External" /><Relationship Type="http://schemas.openxmlformats.org/officeDocument/2006/relationships/hyperlink" Id="rId302" Target="https://github.com/d3b-center/OpenPedCan-analysis/tree/d397339d567ddeff17e7a8cdca892f6a9dd2a0ba/analyses/independent-samples" TargetMode="External" /><Relationship Type="http://schemas.openxmlformats.org/officeDocument/2006/relationships/hyperlink" Id="rId275" Target="https://github.com/d3b-center/OpenPedCan-analysis/tree/dev/analyses/collapse-rnaseq" TargetMode="External" /><Relationship Type="http://schemas.openxmlformats.org/officeDocument/2006/relationships/hyperlink" Id="rId287" Target="https://github.com/d3b-center/OpenPedCan-analysis/tree/dev/analyses/focal-cn-file-preparation" TargetMode="External" /><Relationship Type="http://schemas.openxmlformats.org/officeDocument/2006/relationships/hyperlink" Id="rId284" Target="https://github.com/d3b-center/OpenPedCan-analysis/tree/dev/analyses/fusion_filtering" TargetMode="External" /><Relationship Type="http://schemas.openxmlformats.org/officeDocument/2006/relationships/hyperlink" Id="rId267" Target="https://github.com/d3b-center/OpenPedCan-analysis/tree/dev/analyses/methylation-preprocessing" TargetMode="External" /><Relationship Type="http://schemas.openxmlformats.org/officeDocument/2006/relationships/hyperlink" Id="rId290" Target="https://github.com/d3b-center/OpenPedCan-analysis/tree/dev/analyses/tmb-calculation" TargetMode="External" /><Relationship Type="http://schemas.openxmlformats.org/officeDocument/2006/relationships/hyperlink" Id="rId270" Target="https://github.com/d3b-center/OpenPedCan-analysis/tree/dev/analyses/tumor-normal-differential-expression" TargetMode="External" /><Relationship Type="http://schemas.openxmlformats.org/officeDocument/2006/relationships/hyperlink" Id="rId276"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21"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9" Target="https://github.com/kids-first/kf-rnaseq-workflow/blob/master/workflow/rmats_wf.cwl" TargetMode="External" /><Relationship Type="http://schemas.openxmlformats.org/officeDocument/2006/relationships/hyperlink" Id="rId292" Target="https://github.com/kids-first/kf-somatic-workflow/blob/master/docs/kfdrc-consensus-calling.md" TargetMode="External" /><Relationship Type="http://schemas.openxmlformats.org/officeDocument/2006/relationships/hyperlink" Id="rId264" Target="https://github.com/kids-first/kf-tumor-workflow/blob/v0.3.0-beta/workflows/kfdrc_controlfreec_tumor_only_wf.cwl" TargetMode="External" /><Relationship Type="http://schemas.openxmlformats.org/officeDocument/2006/relationships/hyperlink" Id="rId259"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200"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137" Target="https://github.com/mkoptyra" TargetMode="External" /><Relationship Type="http://schemas.openxmlformats.org/officeDocument/2006/relationships/hyperlink" Id="rId158" Target="https://github.com/naqvia" TargetMode="External" /><Relationship Type="http://schemas.openxmlformats.org/officeDocument/2006/relationships/hyperlink" Id="rId125"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228" Target="https://github.com/rokitalab/OpenPedCan-Project-CNH/blob/af9e2bb87e552159309c277ff8fef88c16fe8dcf/tables/results/SuppTable1-Histologies.xlsx" TargetMode="External" /><Relationship Type="http://schemas.openxmlformats.org/officeDocument/2006/relationships/hyperlink" Id="rId295" Target="https://github.com/rokitalab/OpenPedCan-Project-CNH/blob/af9e2bb87e552159309c277ff8fef88c16fe8dcf/tables/results/SuppTable2-Molecular-Subtype-Table.xlsx" TargetMode="External" /><Relationship Type="http://schemas.openxmlformats.org/officeDocument/2006/relationships/hyperlink" Id="rId247" Target="https://github.com/rokitalab/OpenPedCan-Project-CNH/blob/dev/analyses/molecular-subtyping-integrate/results/tcga_cancer_groups.tsv" TargetMode="External" /><Relationship Type="http://schemas.openxmlformats.org/officeDocument/2006/relationships/hyperlink" Id="rId21" Target="https://github.com/rokitalab/OpenPedCan-manuscript/tree/d56f5f4b67e3a199bf179bf3e388b51283571871" TargetMode="External" /><Relationship Type="http://schemas.openxmlformats.org/officeDocument/2006/relationships/hyperlink" Id="rId47" Target="https://github.com/runjin326" TargetMode="External" /><Relationship Type="http://schemas.openxmlformats.org/officeDocument/2006/relationships/hyperlink" Id="rId194"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15" Target="https://github.com/taylordm" TargetMode="External" /><Relationship Type="http://schemas.openxmlformats.org/officeDocument/2006/relationships/hyperlink" Id="rId146" Target="https://github.com/yuankunzhu" TargetMode="External" /><Relationship Type="http://schemas.openxmlformats.org/officeDocument/2006/relationships/hyperlink" Id="rId182" Target="https://github.com/zhangb1" TargetMode="External" /><Relationship Type="http://schemas.openxmlformats.org/officeDocument/2006/relationships/hyperlink" Id="rId206"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45" Target="https://gtexportal.org/home/" TargetMode="External" /><Relationship Type="http://schemas.openxmlformats.org/officeDocument/2006/relationships/hyperlink" Id="rId274" Target="https://https://ftp.ebi.ac.uk/pub/databases/genenames/hgnc/archive/monthly/tsv/hgnc_complete_set_2021-06-01.txt" TargetMode="External" /><Relationship Type="http://schemas.openxmlformats.org/officeDocument/2006/relationships/hyperlink" Id="rId261" Target="https://kids-first-seq-data.s3.amazonaws.com/pipeline_references/dbSNP_v153_ucsc-compatible.converted.vt.decomp.norm.common_snps.vcf.gz" TargetMode="External" /><Relationship Type="http://schemas.openxmlformats.org/officeDocument/2006/relationships/hyperlink" Id="rId235" Target="https://kidsfirstdrc.org/" TargetMode="External" /><Relationship Type="http://schemas.openxmlformats.org/officeDocument/2006/relationships/hyperlink" Id="rId330" Target="https://mctp.med.umich.edu" TargetMode="External" /><Relationship Type="http://schemas.openxmlformats.org/officeDocument/2006/relationships/hyperlink" Id="rId227"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40" Target="https://orcid.org/0000-0001-6454-1285" TargetMode="External" /><Relationship Type="http://schemas.openxmlformats.org/officeDocument/2006/relationships/hyperlink" Id="rId173"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64"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49"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79" Target="https://orcid.org/0000-0002-0743-5379" TargetMode="External" /><Relationship Type="http://schemas.openxmlformats.org/officeDocument/2006/relationships/hyperlink" Id="rId161"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3" Target="https://orcid.org/0000-0002-2455-9525" TargetMode="External" /><Relationship Type="http://schemas.openxmlformats.org/officeDocument/2006/relationships/hyperlink" Id="rId185" Target="https://orcid.org/0000-0002-2653-5009" TargetMode="External" /><Relationship Type="http://schemas.openxmlformats.org/officeDocument/2006/relationships/hyperlink" Id="rId191" Target="https://orcid.org/0000-0002-2771-2572" TargetMode="External" /><Relationship Type="http://schemas.openxmlformats.org/officeDocument/2006/relationships/hyperlink" Id="rId212"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134" Target="https://orcid.org/0000-0002-3857-6633" TargetMode="External" /><Relationship Type="http://schemas.openxmlformats.org/officeDocument/2006/relationships/hyperlink" Id="rId95" Target="https://orcid.org/0000-0002-4928-090X" TargetMode="External" /><Relationship Type="http://schemas.openxmlformats.org/officeDocument/2006/relationships/hyperlink" Id="rId155" Target="https://orcid.org/0000-0002-6728-3450" TargetMode="External" /><Relationship Type="http://schemas.openxmlformats.org/officeDocument/2006/relationships/hyperlink" Id="rId170" Target="https://orcid.org/0000-0002-7200-8939" TargetMode="External" /><Relationship Type="http://schemas.openxmlformats.org/officeDocument/2006/relationships/hyperlink" Id="rId122"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16"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28" Target="https://orcid.org/0000-0003-1087-9840" TargetMode="External" /><Relationship Type="http://schemas.openxmlformats.org/officeDocument/2006/relationships/hyperlink" Id="rId218" Target="https://orcid.org/0000-0003-2171-3627" TargetMode="External" /><Relationship Type="http://schemas.openxmlformats.org/officeDocument/2006/relationships/hyperlink" Id="rId203" Target="https://orcid.org/0000-0003-2406-2735" TargetMode="External" /><Relationship Type="http://schemas.openxmlformats.org/officeDocument/2006/relationships/hyperlink" Id="rId197"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13" Target="https://pedcbioportal.kidsfirstdrc.org/study/summary?id=openpedcan_v15" TargetMode="External" /><Relationship Type="http://schemas.openxmlformats.org/officeDocument/2006/relationships/hyperlink" Id="rId242" Target="https://preclinicalpivot.org/about-pivot/" TargetMode="External" /><Relationship Type="http://schemas.openxmlformats.org/officeDocument/2006/relationships/hyperlink" Id="rId20" Target="https://rokitalab.github.io/OpenPedCan-manuscript/v/d56f5f4b67e3a199bf179bf3e388b51283571871/" TargetMode="External" /><Relationship Type="http://schemas.openxmlformats.org/officeDocument/2006/relationships/hyperlink" Id="rId262" Target="https://s3.amazonaws.com/kids-first-seq-data/pipeline_references/hg38_canonical_150.mappability" TargetMode="External" /><Relationship Type="http://schemas.openxmlformats.org/officeDocument/2006/relationships/hyperlink" Id="rId250" Target="https://www.childrensnational.org/" TargetMode="External" /><Relationship Type="http://schemas.openxmlformats.org/officeDocument/2006/relationships/hyperlink" Id="rId249" Target="https://www.chop.edu/" TargetMode="External" /><Relationship Type="http://schemas.openxmlformats.org/officeDocument/2006/relationships/hyperlink" Id="rId243" Target="https://www.chop.edu/cancer-panels" TargetMode="External" /><Relationship Type="http://schemas.openxmlformats.org/officeDocument/2006/relationships/hyperlink" Id="rId244" Target="https://www.chop.edu/centers-programs/division-genomic-diagnostics" TargetMode="External" /><Relationship Type="http://schemas.openxmlformats.org/officeDocument/2006/relationships/hyperlink" Id="rId240" Target="https://www.chordomafoundation.org" TargetMode="External" /><Relationship Type="http://schemas.openxmlformats.org/officeDocument/2006/relationships/hyperlink" Id="rId268" Target="https://www.molecularneuropathology.org/mnp/classifiers/11" TargetMode="External" /><Relationship Type="http://schemas.openxmlformats.org/officeDocument/2006/relationships/hyperlink" Id="rId323" Target="https://www.ncbi.nlm.nih.gov/pmc/articles/PMC10363844" TargetMode="External" /><Relationship Type="http://schemas.openxmlformats.org/officeDocument/2006/relationships/hyperlink" Id="rId382" Target="https://www.ncbi.nlm.nih.gov/pmc/articles/PMC2928508" TargetMode="External" /><Relationship Type="http://schemas.openxmlformats.org/officeDocument/2006/relationships/hyperlink" Id="rId372" Target="https://www.ncbi.nlm.nih.gov/pmc/articles/PMC3018818" TargetMode="External" /><Relationship Type="http://schemas.openxmlformats.org/officeDocument/2006/relationships/hyperlink" Id="rId367" Target="https://www.ncbi.nlm.nih.gov/pmc/articles/PMC3268243" TargetMode="External" /><Relationship Type="http://schemas.openxmlformats.org/officeDocument/2006/relationships/hyperlink" Id="rId451" Target="https://www.ncbi.nlm.nih.gov/pmc/articles/PMC3776390" TargetMode="External" /><Relationship Type="http://schemas.openxmlformats.org/officeDocument/2006/relationships/hyperlink" Id="rId392" Target="https://www.ncbi.nlm.nih.gov/pmc/articles/PMC3777004" TargetMode="External" /><Relationship Type="http://schemas.openxmlformats.org/officeDocument/2006/relationships/hyperlink" Id="rId435" Target="https://www.ncbi.nlm.nih.gov/pmc/articles/PMC4046700" TargetMode="External" /><Relationship Type="http://schemas.openxmlformats.org/officeDocument/2006/relationships/hyperlink" Id="rId425" Target="https://www.ncbi.nlm.nih.gov/pmc/articles/PMC4653383" TargetMode="External" /><Relationship Type="http://schemas.openxmlformats.org/officeDocument/2006/relationships/hyperlink" Id="rId397" Target="https://www.ncbi.nlm.nih.gov/pmc/articles/PMC4659175" TargetMode="External" /><Relationship Type="http://schemas.openxmlformats.org/officeDocument/2006/relationships/hyperlink" Id="rId446" Target="https://www.ncbi.nlm.nih.gov/pmc/articles/PMC4762164" TargetMode="External" /><Relationship Type="http://schemas.openxmlformats.org/officeDocument/2006/relationships/hyperlink" Id="rId377" Target="https://www.ncbi.nlm.nih.gov/pmc/articles/PMC4839673" TargetMode="External" /><Relationship Type="http://schemas.openxmlformats.org/officeDocument/2006/relationships/hyperlink" Id="rId345" Target="https://www.ncbi.nlm.nih.gov/pmc/articles/PMC4893825" TargetMode="External" /><Relationship Type="http://schemas.openxmlformats.org/officeDocument/2006/relationships/hyperlink" Id="rId362" Target="https://www.ncbi.nlm.nih.gov/pmc/articles/PMC4914105" TargetMode="External" /><Relationship Type="http://schemas.openxmlformats.org/officeDocument/2006/relationships/hyperlink" Id="rId430" Target="https://www.ncbi.nlm.nih.gov/pmc/articles/PMC5036525" TargetMode="External" /><Relationship Type="http://schemas.openxmlformats.org/officeDocument/2006/relationships/hyperlink" Id="rId387" Target="https://www.ncbi.nlm.nih.gov/pmc/articles/PMC5408810" TargetMode="External" /><Relationship Type="http://schemas.openxmlformats.org/officeDocument/2006/relationships/hyperlink" Id="rId420" Target="https://www.ncbi.nlm.nih.gov/pmc/articles/PMC5409104" TargetMode="External" /><Relationship Type="http://schemas.openxmlformats.org/officeDocument/2006/relationships/hyperlink" Id="rId481" Target="https://www.ncbi.nlm.nih.gov/pmc/articles/PMC5499645" TargetMode="External" /><Relationship Type="http://schemas.openxmlformats.org/officeDocument/2006/relationships/hyperlink" Id="rId402" Target="https://www.ncbi.nlm.nih.gov/pmc/articles/PMC6093218" TargetMode="External" /><Relationship Type="http://schemas.openxmlformats.org/officeDocument/2006/relationships/hyperlink" Id="rId357" Target="https://www.ncbi.nlm.nih.gov/pmc/articles/PMC6123722" TargetMode="External" /><Relationship Type="http://schemas.openxmlformats.org/officeDocument/2006/relationships/hyperlink" Id="rId456" Target="https://www.ncbi.nlm.nih.gov/pmc/articles/PMC6618007" TargetMode="External" /><Relationship Type="http://schemas.openxmlformats.org/officeDocument/2006/relationships/hyperlink" Id="rId466" Target="https://www.ncbi.nlm.nih.gov/pmc/articles/PMC6761184" TargetMode="External" /><Relationship Type="http://schemas.openxmlformats.org/officeDocument/2006/relationships/hyperlink" Id="rId328" Target="https://www.ncbi.nlm.nih.gov/pmc/articles/PMC6880934" TargetMode="External" /><Relationship Type="http://schemas.openxmlformats.org/officeDocument/2006/relationships/hyperlink" Id="rId471" Target="https://www.ncbi.nlm.nih.gov/pmc/articles/PMC7229260" TargetMode="External" /><Relationship Type="http://schemas.openxmlformats.org/officeDocument/2006/relationships/hyperlink" Id="rId486" Target="https://www.ncbi.nlm.nih.gov/pmc/articles/PMC7362544" TargetMode="External" /><Relationship Type="http://schemas.openxmlformats.org/officeDocument/2006/relationships/hyperlink" Id="rId476" Target="https://www.ncbi.nlm.nih.gov/pmc/articles/PMC7654754" TargetMode="External" /><Relationship Type="http://schemas.openxmlformats.org/officeDocument/2006/relationships/hyperlink" Id="rId415" Target="https://www.ncbi.nlm.nih.gov/pmc/articles/PMC7737294" TargetMode="External" /><Relationship Type="http://schemas.openxmlformats.org/officeDocument/2006/relationships/hyperlink" Id="rId407" Target="https://www.ncbi.nlm.nih.gov/pmc/articles/PMC7919457" TargetMode="External" /><Relationship Type="http://schemas.openxmlformats.org/officeDocument/2006/relationships/hyperlink" Id="rId340" Target="https://www.ncbi.nlm.nih.gov/pmc/articles/PMC8044053" TargetMode="External" /><Relationship Type="http://schemas.openxmlformats.org/officeDocument/2006/relationships/hyperlink" Id="rId335" Target="https://www.ncbi.nlm.nih.gov/pmc/articles/PMC8143193" TargetMode="External" /><Relationship Type="http://schemas.openxmlformats.org/officeDocument/2006/relationships/hyperlink" Id="rId461" Target="https://www.ncbi.nlm.nih.gov/pmc/articles/PMC8328013" TargetMode="External" /><Relationship Type="http://schemas.openxmlformats.org/officeDocument/2006/relationships/hyperlink" Id="rId246" Target="https://www.ncbi.nlm.nih.gov/projects/gap/cgi-bin/study.cgi?study_id=phs000178.v11.p8" TargetMode="External" /><Relationship Type="http://schemas.openxmlformats.org/officeDocument/2006/relationships/hyperlink" Id="rId237" Target="https://www.ncbi.nlm.nih.gov/projects/gap/cgi-bin/study.cgi?study_id=phs000218.v23.p8" TargetMode="External" /><Relationship Type="http://schemas.openxmlformats.org/officeDocument/2006/relationships/hyperlink" Id="rId238" Target="https://www.ncbi.nlm.nih.gov/projects/gap/cgi-bin/study.cgi?study_id=phs001436.v1.p1" TargetMode="External" /><Relationship Type="http://schemas.openxmlformats.org/officeDocument/2006/relationships/hyperlink" Id="rId239" Target="https://www.ncbi.nlm.nih.gov/projects/gap/cgi-bin/study.cgi?study_id=phs002517.v2.p2" TargetMode="External" /><Relationship Type="http://schemas.openxmlformats.org/officeDocument/2006/relationships/hyperlink" Id="rId490" Target="https://www.ncbi.nlm.nih.gov/projects/gap/cgi-bin/study.cgi?study_id=phs002517.v4.p2" TargetMode="External" /><Relationship Type="http://schemas.openxmlformats.org/officeDocument/2006/relationships/hyperlink" Id="rId439" Target="https://www.ncbi.nlm.nih.gov/pubmed/16964243" TargetMode="External" /><Relationship Type="http://schemas.openxmlformats.org/officeDocument/2006/relationships/hyperlink" Id="rId381" Target="https://www.ncbi.nlm.nih.gov/pubmed/20644199" TargetMode="External" /><Relationship Type="http://schemas.openxmlformats.org/officeDocument/2006/relationships/hyperlink" Id="rId371" Target="https://www.ncbi.nlm.nih.gov/pubmed/21081509" TargetMode="External" /><Relationship Type="http://schemas.openxmlformats.org/officeDocument/2006/relationships/hyperlink" Id="rId366" Target="https://www.ncbi.nlm.nih.gov/pubmed/22155870" TargetMode="External" /><Relationship Type="http://schemas.openxmlformats.org/officeDocument/2006/relationships/hyperlink" Id="rId450" Target="https://www.ncbi.nlm.nih.gov/pubmed/23945592" TargetMode="External" /><Relationship Type="http://schemas.openxmlformats.org/officeDocument/2006/relationships/hyperlink" Id="rId391" Target="https://www.ncbi.nlm.nih.gov/pubmed/23982603" TargetMode="External" /><Relationship Type="http://schemas.openxmlformats.org/officeDocument/2006/relationships/hyperlink" Id="rId434" Target="https://www.ncbi.nlm.nih.gov/pubmed/24564718" TargetMode="External" /><Relationship Type="http://schemas.openxmlformats.org/officeDocument/2006/relationships/hyperlink" Id="rId429" Target="https://www.ncbi.nlm.nih.gov/pubmed/25358478" TargetMode="External" /><Relationship Type="http://schemas.openxmlformats.org/officeDocument/2006/relationships/hyperlink" Id="rId424" Target="https://www.ncbi.nlm.nih.gov/pubmed/26243018" TargetMode="External" /><Relationship Type="http://schemas.openxmlformats.org/officeDocument/2006/relationships/hyperlink" Id="rId396" Target="https://www.ncbi.nlm.nih.gov/pubmed/26607064" TargetMode="External" /><Relationship Type="http://schemas.openxmlformats.org/officeDocument/2006/relationships/hyperlink" Id="rId445" Target="https://www.ncbi.nlm.nih.gov/pubmed/26899170" TargetMode="External" /><Relationship Type="http://schemas.openxmlformats.org/officeDocument/2006/relationships/hyperlink" Id="rId361" Target="https://www.ncbi.nlm.nih.gov/pubmed/27060149" TargetMode="External" /><Relationship Type="http://schemas.openxmlformats.org/officeDocument/2006/relationships/hyperlink" Id="rId376" Target="https://www.ncbi.nlm.nih.gov/pubmed/27100738" TargetMode="External" /><Relationship Type="http://schemas.openxmlformats.org/officeDocument/2006/relationships/hyperlink" Id="rId344" Target="https://www.ncbi.nlm.nih.gov/pubmed/27268795" TargetMode="External" /><Relationship Type="http://schemas.openxmlformats.org/officeDocument/2006/relationships/hyperlink" Id="rId386" Target="https://www.ncbi.nlm.nih.gov/pubmed/28035024" TargetMode="External" /><Relationship Type="http://schemas.openxmlformats.org/officeDocument/2006/relationships/hyperlink" Id="rId480" Target="https://www.ncbi.nlm.nih.gov/pubmed/28369524" TargetMode="External" /><Relationship Type="http://schemas.openxmlformats.org/officeDocument/2006/relationships/hyperlink" Id="rId419" Target="https://www.ncbi.nlm.nih.gov/pubmed/28394336" TargetMode="External" /><Relationship Type="http://schemas.openxmlformats.org/officeDocument/2006/relationships/hyperlink" Id="rId401" Target="https://www.ncbi.nlm.nih.gov/pubmed/29539639" TargetMode="External" /><Relationship Type="http://schemas.openxmlformats.org/officeDocument/2006/relationships/hyperlink" Id="rId349" Target="https://www.ncbi.nlm.nih.gov/pubmed/30013048" TargetMode="External" /><Relationship Type="http://schemas.openxmlformats.org/officeDocument/2006/relationships/hyperlink" Id="rId356" Target="https://www.ncbi.nlm.nih.gov/pubmed/30271907" TargetMode="External" /><Relationship Type="http://schemas.openxmlformats.org/officeDocument/2006/relationships/hyperlink" Id="rId455" Target="https://www.ncbi.nlm.nih.gov/pubmed/30664300" TargetMode="External" /><Relationship Type="http://schemas.openxmlformats.org/officeDocument/2006/relationships/hyperlink" Id="rId465" Target="https://www.ncbi.nlm.nih.gov/pubmed/31554817" TargetMode="External" /><Relationship Type="http://schemas.openxmlformats.org/officeDocument/2006/relationships/hyperlink" Id="rId327" Target="https://www.ncbi.nlm.nih.gov/pubmed/31693904" TargetMode="External" /><Relationship Type="http://schemas.openxmlformats.org/officeDocument/2006/relationships/hyperlink" Id="rId470" Target="https://www.ncbi.nlm.nih.gov/pubmed/31889194" TargetMode="External" /><Relationship Type="http://schemas.openxmlformats.org/officeDocument/2006/relationships/hyperlink" Id="rId485" Target="https://www.ncbi.nlm.nih.gov/pubmed/32664994" TargetMode="External" /><Relationship Type="http://schemas.openxmlformats.org/officeDocument/2006/relationships/hyperlink" Id="rId475" Target="https://www.ncbi.nlm.nih.gov/pubmed/33119584" TargetMode="External" /><Relationship Type="http://schemas.openxmlformats.org/officeDocument/2006/relationships/hyperlink" Id="rId334" Target="https://www.ncbi.nlm.nih.gov/pubmed/33242424" TargetMode="External" /><Relationship Type="http://schemas.openxmlformats.org/officeDocument/2006/relationships/hyperlink" Id="rId414" Target="https://www.ncbi.nlm.nih.gov/pubmed/33317447" TargetMode="External" /><Relationship Type="http://schemas.openxmlformats.org/officeDocument/2006/relationships/hyperlink" Id="rId406" Target="https://www.ncbi.nlm.nih.gov/pubmed/33441414" TargetMode="External" /><Relationship Type="http://schemas.openxmlformats.org/officeDocument/2006/relationships/hyperlink" Id="rId339" Target="https://www.ncbi.nlm.nih.gov/pubmed/33577785" TargetMode="External" /><Relationship Type="http://schemas.openxmlformats.org/officeDocument/2006/relationships/hyperlink" Id="rId460" Target="https://www.ncbi.nlm.nih.gov/pubmed/34185076" TargetMode="External" /><Relationship Type="http://schemas.openxmlformats.org/officeDocument/2006/relationships/hyperlink" Id="rId322" Target="https://www.ncbi.nlm.nih.gov/pubmed/37492101" TargetMode="External" /><Relationship Type="http://schemas.openxmlformats.org/officeDocument/2006/relationships/hyperlink" Id="rId277" Target="https://www.testmenu.com/chop/Tests/785504" TargetMode="External" /><Relationship Type="http://schemas.openxmlformats.org/officeDocument/2006/relationships/hyperlink" Id="rId223" Target="mailto:jrokita@childrensnational.org" TargetMode="External" /></Relationships>
</file>

<file path=word/_rels/footnotes.xml.rels><?xml version="1.0" encoding="UTF-8"?><Relationships xmlns="http://schemas.openxmlformats.org/package/2006/relationships"><Relationship Type="http://schemas.openxmlformats.org/officeDocument/2006/relationships/hyperlink" Id="rId241" Target="@https://ctep.cancer.gov/MajorInitiatives/Pediatric_PIVOT_Program.htm%5D" TargetMode="External" /><Relationship Type="http://schemas.openxmlformats.org/officeDocument/2006/relationships/hyperlink" Id="rId236" Target="http://www.pnoc.us/" TargetMode="External" /><Relationship Type="http://schemas.openxmlformats.org/officeDocument/2006/relationships/hyperlink" Id="rId312" Target="https://cavatica.sbgenomics.com/u/cavatica/opentarget" TargetMode="External" /><Relationship Type="http://schemas.openxmlformats.org/officeDocument/2006/relationships/hyperlink" Id="rId272" Target="https://cavatica.sbgenomics.com/u/cavatica/opentarget/files/#q?path=v12" TargetMode="External" /><Relationship Type="http://schemas.openxmlformats.org/officeDocument/2006/relationships/hyperlink" Id="rId263" Target="https://cavatica.sbgenomics.com/u/kfdrc-harmonization/kf-references" TargetMode="External" /><Relationship Type="http://schemas.openxmlformats.org/officeDocument/2006/relationships/hyperlink" Id="rId233" Target="https://cbtn.org/" TargetMode="External" /><Relationship Type="http://schemas.openxmlformats.org/officeDocument/2006/relationships/hyperlink" Id="rId234" Target="https://cbtn.org/pediatric-brain-tumor-atlas/" TargetMode="External" /><Relationship Type="http://schemas.openxmlformats.org/officeDocument/2006/relationships/hyperlink" Id="rId454" Target="https://doi.org/10.1002/gcc.22733" TargetMode="External" /><Relationship Type="http://schemas.openxmlformats.org/officeDocument/2006/relationships/hyperlink" Id="rId338" Target="https://doi.org/10.1016/j.ccell.2021.01.006" TargetMode="External" /><Relationship Type="http://schemas.openxmlformats.org/officeDocument/2006/relationships/hyperlink" Id="rId333" Target="https://doi.org/10.1016/j.cell.2020.10.044" TargetMode="External" /><Relationship Type="http://schemas.openxmlformats.org/officeDocument/2006/relationships/hyperlink" Id="rId326" Target="https://doi.org/10.1016/j.celrep.2019.09.071" TargetMode="External" /><Relationship Type="http://schemas.openxmlformats.org/officeDocument/2006/relationships/hyperlink" Id="rId321" Target="https://doi.org/10.1016/j.xgen.2023.100340" TargetMode="External" /><Relationship Type="http://schemas.openxmlformats.org/officeDocument/2006/relationships/hyperlink" Id="rId390" Target="https://doi.org/10.1038/bjc.2013.496" TargetMode="External" /><Relationship Type="http://schemas.openxmlformats.org/officeDocument/2006/relationships/hyperlink" Id="rId449" Target="https://doi.org/10.1038/nature12477" TargetMode="External" /><Relationship Type="http://schemas.openxmlformats.org/officeDocument/2006/relationships/hyperlink" Id="rId400" Target="https://doi.org/10.1038/nature26000" TargetMode="External" /><Relationship Type="http://schemas.openxmlformats.org/officeDocument/2006/relationships/hyperlink" Id="rId438" Target="https://doi.org/10.1038/nbt1240" TargetMode="External" /><Relationship Type="http://schemas.openxmlformats.org/officeDocument/2006/relationships/hyperlink" Id="rId428" Target="https://doi.org/10.1038/ncomms6277" TargetMode="External" /><Relationship Type="http://schemas.openxmlformats.org/officeDocument/2006/relationships/hyperlink" Id="rId418" Target="https://doi.org/10.1038/nmeth.4256" TargetMode="External" /><Relationship Type="http://schemas.openxmlformats.org/officeDocument/2006/relationships/hyperlink" Id="rId464" Target="https://doi.org/10.1038/s41467-019-12187-5" TargetMode="External" /><Relationship Type="http://schemas.openxmlformats.org/officeDocument/2006/relationships/hyperlink" Id="rId348" Target="https://doi.org/10.1038/s41592-018-0051-x" TargetMode="External" /><Relationship Type="http://schemas.openxmlformats.org/officeDocument/2006/relationships/hyperlink" Id="rId355" Target="https://doi.org/10.1038/s42003-018-0023-9" TargetMode="External" /><Relationship Type="http://schemas.openxmlformats.org/officeDocument/2006/relationships/hyperlink" Id="rId370" Target="https://doi.org/10.1093/bioinformatics/btq635" TargetMode="External" /><Relationship Type="http://schemas.openxmlformats.org/officeDocument/2006/relationships/hyperlink" Id="rId365" Target="https://doi.org/10.1093/bioinformatics/btr670" TargetMode="External" /><Relationship Type="http://schemas.openxmlformats.org/officeDocument/2006/relationships/hyperlink" Id="rId423" Target="https://doi.org/10.1093/bioinformatics/btv437" TargetMode="External" /><Relationship Type="http://schemas.openxmlformats.org/officeDocument/2006/relationships/hyperlink" Id="rId385" Target="https://doi.org/10.1093/bioinformatics/btw691" TargetMode="External" /><Relationship Type="http://schemas.openxmlformats.org/officeDocument/2006/relationships/hyperlink" Id="rId360" Target="https://doi.org/10.1093/nar/gkw227" TargetMode="External" /><Relationship Type="http://schemas.openxmlformats.org/officeDocument/2006/relationships/hyperlink" Id="rId479" Target="https://doi.org/10.1093/nar/gkx193" TargetMode="External" /><Relationship Type="http://schemas.openxmlformats.org/officeDocument/2006/relationships/hyperlink" Id="rId459" Target="https://doi.org/10.1093/neuonc/noab106" TargetMode="External" /><Relationship Type="http://schemas.openxmlformats.org/officeDocument/2006/relationships/hyperlink" Id="rId469" Target="https://doi.org/10.1093/neuonc/noz235" TargetMode="External" /><Relationship Type="http://schemas.openxmlformats.org/officeDocument/2006/relationships/hyperlink" Id="rId410" Target="https://doi.org/10.1101/120295" TargetMode="External" /><Relationship Type="http://schemas.openxmlformats.org/officeDocument/2006/relationships/hyperlink" Id="rId352" Target="https://doi.org/10.1101/861054" TargetMode="External" /><Relationship Type="http://schemas.openxmlformats.org/officeDocument/2006/relationships/hyperlink" Id="rId380" Target="https://doi.org/10.1101/gr.107524.110" TargetMode="External" /><Relationship Type="http://schemas.openxmlformats.org/officeDocument/2006/relationships/hyperlink" Id="rId405" Target="https://doi.org/10.1101/gr.257246.119" TargetMode="External" /><Relationship Type="http://schemas.openxmlformats.org/officeDocument/2006/relationships/hyperlink" Id="rId433" Target="https://doi.org/10.1186/1471-2164-15-s1-s9" TargetMode="External" /><Relationship Type="http://schemas.openxmlformats.org/officeDocument/2006/relationships/hyperlink" Id="rId441" Target="https://doi.org/10.1186/gb-2011-12-4-r41" TargetMode="External" /><Relationship Type="http://schemas.openxmlformats.org/officeDocument/2006/relationships/hyperlink" Id="rId413" Target="https://doi.org/10.1186/s12859-020-03922-7" TargetMode="External" /><Relationship Type="http://schemas.openxmlformats.org/officeDocument/2006/relationships/hyperlink" Id="rId395" Target="https://doi.org/10.1186/s12864-015-2202-0" TargetMode="External" /><Relationship Type="http://schemas.openxmlformats.org/officeDocument/2006/relationships/hyperlink" Id="rId444" Target="https://doi.org/10.1186/s13059-016-0893-4" TargetMode="External" /><Relationship Type="http://schemas.openxmlformats.org/officeDocument/2006/relationships/hyperlink" Id="rId343" Target="https://doi.org/10.1186/s13059-016-0974-4" TargetMode="External" /><Relationship Type="http://schemas.openxmlformats.org/officeDocument/2006/relationships/hyperlink" Id="rId484" Target="https://doi.org/10.1186/s13073-020-00761-2" TargetMode="External" /><Relationship Type="http://schemas.openxmlformats.org/officeDocument/2006/relationships/hyperlink" Id="rId375" Target="https://doi.org/10.1371/journal.pcbi.1004873" TargetMode="External" /><Relationship Type="http://schemas.openxmlformats.org/officeDocument/2006/relationships/hyperlink" Id="rId474" Target="https://doi.org/10.1371/journal.pcbi.1008263" TargetMode="External" /><Relationship Type="http://schemas.openxmlformats.org/officeDocument/2006/relationships/hyperlink" Id="rId379" Target="https://doi.org/bnzbn6" TargetMode="External" /><Relationship Type="http://schemas.openxmlformats.org/officeDocument/2006/relationships/hyperlink" Id="rId369" Target="https://doi.org/c6bcps" TargetMode="External" /><Relationship Type="http://schemas.openxmlformats.org/officeDocument/2006/relationships/hyperlink" Id="rId374" Target="https://doi.org/c9pd" TargetMode="External" /><Relationship Type="http://schemas.openxmlformats.org/officeDocument/2006/relationships/hyperlink" Id="rId364" Target="https://doi.org/ckt4vz" TargetMode="External" /><Relationship Type="http://schemas.openxmlformats.org/officeDocument/2006/relationships/hyperlink" Id="rId437" Target="https://doi.org/dbwqf4" TargetMode="External" /><Relationship Type="http://schemas.openxmlformats.org/officeDocument/2006/relationships/hyperlink" Id="rId448" Target="https://doi.org/f22m2q" TargetMode="External" /><Relationship Type="http://schemas.openxmlformats.org/officeDocument/2006/relationships/hyperlink" Id="rId443" Target="https://doi.org/f8bdsq" TargetMode="External" /><Relationship Type="http://schemas.openxmlformats.org/officeDocument/2006/relationships/hyperlink" Id="rId359" Target="https://doi.org/f8v6qz" TargetMode="External" /><Relationship Type="http://schemas.openxmlformats.org/officeDocument/2006/relationships/hyperlink" Id="rId384" Target="https://doi.org/f9x7kd" TargetMode="External" /><Relationship Type="http://schemas.openxmlformats.org/officeDocument/2006/relationships/hyperlink" Id="rId478" Target="https://doi.org/f9xrq4" TargetMode="External" /><Relationship Type="http://schemas.openxmlformats.org/officeDocument/2006/relationships/hyperlink" Id="rId417" Target="https://doi.org/f9z6p7" TargetMode="External" /><Relationship Type="http://schemas.openxmlformats.org/officeDocument/2006/relationships/hyperlink" Id="rId432" Target="https://doi.org/gb3gzt" TargetMode="External" /><Relationship Type="http://schemas.openxmlformats.org/officeDocument/2006/relationships/hyperlink" Id="rId394" Target="https://doi.org/gb3h5r" TargetMode="External" /><Relationship Type="http://schemas.openxmlformats.org/officeDocument/2006/relationships/hyperlink" Id="rId422" Target="https://doi.org/gb5g57" TargetMode="External" /><Relationship Type="http://schemas.openxmlformats.org/officeDocument/2006/relationships/hyperlink" Id="rId389" Target="https://doi.org/gb9qvv" TargetMode="External" /><Relationship Type="http://schemas.openxmlformats.org/officeDocument/2006/relationships/hyperlink" Id="rId399" Target="https://doi.org/gc5t36" TargetMode="External" /><Relationship Type="http://schemas.openxmlformats.org/officeDocument/2006/relationships/hyperlink" Id="rId347" Target="https://doi.org/gdwrp4" TargetMode="External" /><Relationship Type="http://schemas.openxmlformats.org/officeDocument/2006/relationships/hyperlink" Id="rId342" Target="https://doi.org/gdz75c" TargetMode="External" /><Relationship Type="http://schemas.openxmlformats.org/officeDocument/2006/relationships/hyperlink" Id="rId409" Target="https://doi.org/gf5pc5" TargetMode="External" /><Relationship Type="http://schemas.openxmlformats.org/officeDocument/2006/relationships/hyperlink" Id="rId354" Target="https://doi.org/gfcfr8" TargetMode="External" /><Relationship Type="http://schemas.openxmlformats.org/officeDocument/2006/relationships/hyperlink" Id="rId325" Target="https://doi.org/gg596n" TargetMode="External" /><Relationship Type="http://schemas.openxmlformats.org/officeDocument/2006/relationships/hyperlink" Id="rId453" Target="https://doi.org/ggc8pj" TargetMode="External" /><Relationship Type="http://schemas.openxmlformats.org/officeDocument/2006/relationships/hyperlink" Id="rId427" Target="https://doi.org/ggkdq8" TargetMode="External" /><Relationship Type="http://schemas.openxmlformats.org/officeDocument/2006/relationships/hyperlink" Id="rId351" Target="https://doi.org/ggntwv" TargetMode="External" /><Relationship Type="http://schemas.openxmlformats.org/officeDocument/2006/relationships/hyperlink" Id="rId463" Target="https://doi.org/gh7bg8" TargetMode="External" /><Relationship Type="http://schemas.openxmlformats.org/officeDocument/2006/relationships/hyperlink" Id="rId337" Target="https://doi.org/gh7whf" TargetMode="External" /><Relationship Type="http://schemas.openxmlformats.org/officeDocument/2006/relationships/hyperlink" Id="rId332" Target="https://doi.org/ghqjkz" TargetMode="External" /><Relationship Type="http://schemas.openxmlformats.org/officeDocument/2006/relationships/hyperlink" Id="rId404" Target="https://doi.org/gjvdvp" TargetMode="External" /><Relationship Type="http://schemas.openxmlformats.org/officeDocument/2006/relationships/hyperlink" Id="rId473" Target="https://doi.org/gm84kq" TargetMode="External" /><Relationship Type="http://schemas.openxmlformats.org/officeDocument/2006/relationships/hyperlink" Id="rId412" Target="https://doi.org/gm84mh" TargetMode="External" /><Relationship Type="http://schemas.openxmlformats.org/officeDocument/2006/relationships/hyperlink" Id="rId458" Target="https://doi.org/gmqhbf" TargetMode="External" /><Relationship Type="http://schemas.openxmlformats.org/officeDocument/2006/relationships/hyperlink" Id="rId468" Target="https://doi.org/gn3kcm" TargetMode="External" /><Relationship Type="http://schemas.openxmlformats.org/officeDocument/2006/relationships/hyperlink" Id="rId320" Target="https://doi.org/gr92p6" TargetMode="External" /><Relationship Type="http://schemas.openxmlformats.org/officeDocument/2006/relationships/hyperlink" Id="rId483" Target="https://doi.org/gtsm62" TargetMode="External" /><Relationship Type="http://schemas.openxmlformats.org/officeDocument/2006/relationships/hyperlink" Id="rId293" Target="https://friendsofcancerresearch.org/tmb/" TargetMode="External" /><Relationship Type="http://schemas.openxmlformats.org/officeDocument/2006/relationships/hyperlink" Id="rId271" Target="https://genomebiology.biomedcentral.com/articles/10.1186/s13059-014-0550-8" TargetMode="External" /><Relationship Type="http://schemas.openxmlformats.org/officeDocument/2006/relationships/hyperlink" Id="rId308" Target="https://github.com/AlexsLemonade/OpenPBTA-analysis" TargetMode="External" /><Relationship Type="http://schemas.openxmlformats.org/officeDocument/2006/relationships/hyperlink" Id="rId291"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67" Target="https://github.com/HuangXiaoyan0106" TargetMode="External" /><Relationship Type="http://schemas.openxmlformats.org/officeDocument/2006/relationships/hyperlink" Id="rId209" Target="https://github.com/JosephDybas" TargetMode="External" /><Relationship Type="http://schemas.openxmlformats.org/officeDocument/2006/relationships/hyperlink" Id="rId113" Target="https://github.com/aadamk" TargetMode="External" /><Relationship Type="http://schemas.openxmlformats.org/officeDocument/2006/relationships/hyperlink" Id="rId119"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31"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76" Target="https://github.com/baileyckelly" TargetMode="External" /><Relationship Type="http://schemas.openxmlformats.org/officeDocument/2006/relationships/hyperlink" Id="rId188" Target="https://github.com/bmennis" TargetMode="External" /><Relationship Type="http://schemas.openxmlformats.org/officeDocument/2006/relationships/hyperlink" Id="rId152" Target="https://github.com/chinwallaa" TargetMode="External" /><Relationship Type="http://schemas.openxmlformats.org/officeDocument/2006/relationships/hyperlink" Id="rId273" Target="https://github.com/d3b-center/D3b-DGD-Collaboration/blob/main/scripts/update_gene_symbols.py" TargetMode="External" /><Relationship Type="http://schemas.openxmlformats.org/officeDocument/2006/relationships/hyperlink" Id="rId309" Target="https://github.com/d3b-center/OpenPedCan-analysis" TargetMode="External" /><Relationship Type="http://schemas.openxmlformats.org/officeDocument/2006/relationships/hyperlink" Id="rId310" Target="https://github.com/d3b-center/OpenPedCan-analysis/blob/fc87ad125aaae6d43f17e2baf94551c9a0444bde/tables/results/SuppTable3-List_Package_Table.xlsx" TargetMode="External" /><Relationship Type="http://schemas.openxmlformats.org/officeDocument/2006/relationships/hyperlink" Id="rId302" Target="https://github.com/d3b-center/OpenPedCan-analysis/tree/d397339d567ddeff17e7a8cdca892f6a9dd2a0ba/analyses/independent-samples" TargetMode="External" /><Relationship Type="http://schemas.openxmlformats.org/officeDocument/2006/relationships/hyperlink" Id="rId275" Target="https://github.com/d3b-center/OpenPedCan-analysis/tree/dev/analyses/collapse-rnaseq" TargetMode="External" /><Relationship Type="http://schemas.openxmlformats.org/officeDocument/2006/relationships/hyperlink" Id="rId287" Target="https://github.com/d3b-center/OpenPedCan-analysis/tree/dev/analyses/focal-cn-file-preparation" TargetMode="External" /><Relationship Type="http://schemas.openxmlformats.org/officeDocument/2006/relationships/hyperlink" Id="rId284" Target="https://github.com/d3b-center/OpenPedCan-analysis/tree/dev/analyses/fusion_filtering" TargetMode="External" /><Relationship Type="http://schemas.openxmlformats.org/officeDocument/2006/relationships/hyperlink" Id="rId267" Target="https://github.com/d3b-center/OpenPedCan-analysis/tree/dev/analyses/methylation-preprocessing" TargetMode="External" /><Relationship Type="http://schemas.openxmlformats.org/officeDocument/2006/relationships/hyperlink" Id="rId290" Target="https://github.com/d3b-center/OpenPedCan-analysis/tree/dev/analyses/tmb-calculation" TargetMode="External" /><Relationship Type="http://schemas.openxmlformats.org/officeDocument/2006/relationships/hyperlink" Id="rId270" Target="https://github.com/d3b-center/OpenPedCan-analysis/tree/dev/analyses/tumor-normal-differential-expression" TargetMode="External" /><Relationship Type="http://schemas.openxmlformats.org/officeDocument/2006/relationships/hyperlink" Id="rId276"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21"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9" Target="https://github.com/kids-first/kf-rnaseq-workflow/blob/master/workflow/rmats_wf.cwl" TargetMode="External" /><Relationship Type="http://schemas.openxmlformats.org/officeDocument/2006/relationships/hyperlink" Id="rId292" Target="https://github.com/kids-first/kf-somatic-workflow/blob/master/docs/kfdrc-consensus-calling.md" TargetMode="External" /><Relationship Type="http://schemas.openxmlformats.org/officeDocument/2006/relationships/hyperlink" Id="rId264" Target="https://github.com/kids-first/kf-tumor-workflow/blob/v0.3.0-beta/workflows/kfdrc_controlfreec_tumor_only_wf.cwl" TargetMode="External" /><Relationship Type="http://schemas.openxmlformats.org/officeDocument/2006/relationships/hyperlink" Id="rId259"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200"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137" Target="https://github.com/mkoptyra" TargetMode="External" /><Relationship Type="http://schemas.openxmlformats.org/officeDocument/2006/relationships/hyperlink" Id="rId158" Target="https://github.com/naqvia" TargetMode="External" /><Relationship Type="http://schemas.openxmlformats.org/officeDocument/2006/relationships/hyperlink" Id="rId125"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228" Target="https://github.com/rokitalab/OpenPedCan-Project-CNH/blob/af9e2bb87e552159309c277ff8fef88c16fe8dcf/tables/results/SuppTable1-Histologies.xlsx" TargetMode="External" /><Relationship Type="http://schemas.openxmlformats.org/officeDocument/2006/relationships/hyperlink" Id="rId295" Target="https://github.com/rokitalab/OpenPedCan-Project-CNH/blob/af9e2bb87e552159309c277ff8fef88c16fe8dcf/tables/results/SuppTable2-Molecular-Subtype-Table.xlsx" TargetMode="External" /><Relationship Type="http://schemas.openxmlformats.org/officeDocument/2006/relationships/hyperlink" Id="rId247" Target="https://github.com/rokitalab/OpenPedCan-Project-CNH/blob/dev/analyses/molecular-subtyping-integrate/results/tcga_cancer_groups.tsv" TargetMode="External" /><Relationship Type="http://schemas.openxmlformats.org/officeDocument/2006/relationships/hyperlink" Id="rId21" Target="https://github.com/rokitalab/OpenPedCan-manuscript/tree/d56f5f4b67e3a199bf179bf3e388b51283571871" TargetMode="External" /><Relationship Type="http://schemas.openxmlformats.org/officeDocument/2006/relationships/hyperlink" Id="rId47" Target="https://github.com/runjin326" TargetMode="External" /><Relationship Type="http://schemas.openxmlformats.org/officeDocument/2006/relationships/hyperlink" Id="rId194"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15" Target="https://github.com/taylordm" TargetMode="External" /><Relationship Type="http://schemas.openxmlformats.org/officeDocument/2006/relationships/hyperlink" Id="rId146" Target="https://github.com/yuankunzhu" TargetMode="External" /><Relationship Type="http://schemas.openxmlformats.org/officeDocument/2006/relationships/hyperlink" Id="rId182" Target="https://github.com/zhangb1" TargetMode="External" /><Relationship Type="http://schemas.openxmlformats.org/officeDocument/2006/relationships/hyperlink" Id="rId206"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45" Target="https://gtexportal.org/home/" TargetMode="External" /><Relationship Type="http://schemas.openxmlformats.org/officeDocument/2006/relationships/hyperlink" Id="rId274" Target="https://https://ftp.ebi.ac.uk/pub/databases/genenames/hgnc/archive/monthly/tsv/hgnc_complete_set_2021-06-01.txt" TargetMode="External" /><Relationship Type="http://schemas.openxmlformats.org/officeDocument/2006/relationships/hyperlink" Id="rId261" Target="https://kids-first-seq-data.s3.amazonaws.com/pipeline_references/dbSNP_v153_ucsc-compatible.converted.vt.decomp.norm.common_snps.vcf.gz" TargetMode="External" /><Relationship Type="http://schemas.openxmlformats.org/officeDocument/2006/relationships/hyperlink" Id="rId235" Target="https://kidsfirstdrc.org/" TargetMode="External" /><Relationship Type="http://schemas.openxmlformats.org/officeDocument/2006/relationships/hyperlink" Id="rId330" Target="https://mctp.med.umich.edu" TargetMode="External" /><Relationship Type="http://schemas.openxmlformats.org/officeDocument/2006/relationships/hyperlink" Id="rId227"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40" Target="https://orcid.org/0000-0001-6454-1285" TargetMode="External" /><Relationship Type="http://schemas.openxmlformats.org/officeDocument/2006/relationships/hyperlink" Id="rId173"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64"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49"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79" Target="https://orcid.org/0000-0002-0743-5379" TargetMode="External" /><Relationship Type="http://schemas.openxmlformats.org/officeDocument/2006/relationships/hyperlink" Id="rId161"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3" Target="https://orcid.org/0000-0002-2455-9525" TargetMode="External" /><Relationship Type="http://schemas.openxmlformats.org/officeDocument/2006/relationships/hyperlink" Id="rId185" Target="https://orcid.org/0000-0002-2653-5009" TargetMode="External" /><Relationship Type="http://schemas.openxmlformats.org/officeDocument/2006/relationships/hyperlink" Id="rId191" Target="https://orcid.org/0000-0002-2771-2572" TargetMode="External" /><Relationship Type="http://schemas.openxmlformats.org/officeDocument/2006/relationships/hyperlink" Id="rId212"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134" Target="https://orcid.org/0000-0002-3857-6633" TargetMode="External" /><Relationship Type="http://schemas.openxmlformats.org/officeDocument/2006/relationships/hyperlink" Id="rId95" Target="https://orcid.org/0000-0002-4928-090X" TargetMode="External" /><Relationship Type="http://schemas.openxmlformats.org/officeDocument/2006/relationships/hyperlink" Id="rId155" Target="https://orcid.org/0000-0002-6728-3450" TargetMode="External" /><Relationship Type="http://schemas.openxmlformats.org/officeDocument/2006/relationships/hyperlink" Id="rId170" Target="https://orcid.org/0000-0002-7200-8939" TargetMode="External" /><Relationship Type="http://schemas.openxmlformats.org/officeDocument/2006/relationships/hyperlink" Id="rId122"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16"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28" Target="https://orcid.org/0000-0003-1087-9840" TargetMode="External" /><Relationship Type="http://schemas.openxmlformats.org/officeDocument/2006/relationships/hyperlink" Id="rId218" Target="https://orcid.org/0000-0003-2171-3627" TargetMode="External" /><Relationship Type="http://schemas.openxmlformats.org/officeDocument/2006/relationships/hyperlink" Id="rId203" Target="https://orcid.org/0000-0003-2406-2735" TargetMode="External" /><Relationship Type="http://schemas.openxmlformats.org/officeDocument/2006/relationships/hyperlink" Id="rId197"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13" Target="https://pedcbioportal.kidsfirstdrc.org/study/summary?id=openpedcan_v15" TargetMode="External" /><Relationship Type="http://schemas.openxmlformats.org/officeDocument/2006/relationships/hyperlink" Id="rId242" Target="https://preclinicalpivot.org/about-pivot/" TargetMode="External" /><Relationship Type="http://schemas.openxmlformats.org/officeDocument/2006/relationships/hyperlink" Id="rId20" Target="https://rokitalab.github.io/OpenPedCan-manuscript/v/d56f5f4b67e3a199bf179bf3e388b51283571871/" TargetMode="External" /><Relationship Type="http://schemas.openxmlformats.org/officeDocument/2006/relationships/hyperlink" Id="rId262" Target="https://s3.amazonaws.com/kids-first-seq-data/pipeline_references/hg38_canonical_150.mappability" TargetMode="External" /><Relationship Type="http://schemas.openxmlformats.org/officeDocument/2006/relationships/hyperlink" Id="rId250" Target="https://www.childrensnational.org/" TargetMode="External" /><Relationship Type="http://schemas.openxmlformats.org/officeDocument/2006/relationships/hyperlink" Id="rId249" Target="https://www.chop.edu/" TargetMode="External" /><Relationship Type="http://schemas.openxmlformats.org/officeDocument/2006/relationships/hyperlink" Id="rId243" Target="https://www.chop.edu/cancer-panels" TargetMode="External" /><Relationship Type="http://schemas.openxmlformats.org/officeDocument/2006/relationships/hyperlink" Id="rId244" Target="https://www.chop.edu/centers-programs/division-genomic-diagnostics" TargetMode="External" /><Relationship Type="http://schemas.openxmlformats.org/officeDocument/2006/relationships/hyperlink" Id="rId240" Target="https://www.chordomafoundation.org" TargetMode="External" /><Relationship Type="http://schemas.openxmlformats.org/officeDocument/2006/relationships/hyperlink" Id="rId268" Target="https://www.molecularneuropathology.org/mnp/classifiers/11" TargetMode="External" /><Relationship Type="http://schemas.openxmlformats.org/officeDocument/2006/relationships/hyperlink" Id="rId323" Target="https://www.ncbi.nlm.nih.gov/pmc/articles/PMC10363844" TargetMode="External" /><Relationship Type="http://schemas.openxmlformats.org/officeDocument/2006/relationships/hyperlink" Id="rId382" Target="https://www.ncbi.nlm.nih.gov/pmc/articles/PMC2928508" TargetMode="External" /><Relationship Type="http://schemas.openxmlformats.org/officeDocument/2006/relationships/hyperlink" Id="rId372" Target="https://www.ncbi.nlm.nih.gov/pmc/articles/PMC3018818" TargetMode="External" /><Relationship Type="http://schemas.openxmlformats.org/officeDocument/2006/relationships/hyperlink" Id="rId367" Target="https://www.ncbi.nlm.nih.gov/pmc/articles/PMC3268243" TargetMode="External" /><Relationship Type="http://schemas.openxmlformats.org/officeDocument/2006/relationships/hyperlink" Id="rId451" Target="https://www.ncbi.nlm.nih.gov/pmc/articles/PMC3776390" TargetMode="External" /><Relationship Type="http://schemas.openxmlformats.org/officeDocument/2006/relationships/hyperlink" Id="rId392" Target="https://www.ncbi.nlm.nih.gov/pmc/articles/PMC3777004" TargetMode="External" /><Relationship Type="http://schemas.openxmlformats.org/officeDocument/2006/relationships/hyperlink" Id="rId435" Target="https://www.ncbi.nlm.nih.gov/pmc/articles/PMC4046700" TargetMode="External" /><Relationship Type="http://schemas.openxmlformats.org/officeDocument/2006/relationships/hyperlink" Id="rId425" Target="https://www.ncbi.nlm.nih.gov/pmc/articles/PMC4653383" TargetMode="External" /><Relationship Type="http://schemas.openxmlformats.org/officeDocument/2006/relationships/hyperlink" Id="rId397" Target="https://www.ncbi.nlm.nih.gov/pmc/articles/PMC4659175" TargetMode="External" /><Relationship Type="http://schemas.openxmlformats.org/officeDocument/2006/relationships/hyperlink" Id="rId446" Target="https://www.ncbi.nlm.nih.gov/pmc/articles/PMC4762164" TargetMode="External" /><Relationship Type="http://schemas.openxmlformats.org/officeDocument/2006/relationships/hyperlink" Id="rId377" Target="https://www.ncbi.nlm.nih.gov/pmc/articles/PMC4839673" TargetMode="External" /><Relationship Type="http://schemas.openxmlformats.org/officeDocument/2006/relationships/hyperlink" Id="rId345" Target="https://www.ncbi.nlm.nih.gov/pmc/articles/PMC4893825" TargetMode="External" /><Relationship Type="http://schemas.openxmlformats.org/officeDocument/2006/relationships/hyperlink" Id="rId362" Target="https://www.ncbi.nlm.nih.gov/pmc/articles/PMC4914105" TargetMode="External" /><Relationship Type="http://schemas.openxmlformats.org/officeDocument/2006/relationships/hyperlink" Id="rId430" Target="https://www.ncbi.nlm.nih.gov/pmc/articles/PMC5036525" TargetMode="External" /><Relationship Type="http://schemas.openxmlformats.org/officeDocument/2006/relationships/hyperlink" Id="rId387" Target="https://www.ncbi.nlm.nih.gov/pmc/articles/PMC5408810" TargetMode="External" /><Relationship Type="http://schemas.openxmlformats.org/officeDocument/2006/relationships/hyperlink" Id="rId420" Target="https://www.ncbi.nlm.nih.gov/pmc/articles/PMC5409104" TargetMode="External" /><Relationship Type="http://schemas.openxmlformats.org/officeDocument/2006/relationships/hyperlink" Id="rId481" Target="https://www.ncbi.nlm.nih.gov/pmc/articles/PMC5499645" TargetMode="External" /><Relationship Type="http://schemas.openxmlformats.org/officeDocument/2006/relationships/hyperlink" Id="rId402" Target="https://www.ncbi.nlm.nih.gov/pmc/articles/PMC6093218" TargetMode="External" /><Relationship Type="http://schemas.openxmlformats.org/officeDocument/2006/relationships/hyperlink" Id="rId357" Target="https://www.ncbi.nlm.nih.gov/pmc/articles/PMC6123722" TargetMode="External" /><Relationship Type="http://schemas.openxmlformats.org/officeDocument/2006/relationships/hyperlink" Id="rId456" Target="https://www.ncbi.nlm.nih.gov/pmc/articles/PMC6618007" TargetMode="External" /><Relationship Type="http://schemas.openxmlformats.org/officeDocument/2006/relationships/hyperlink" Id="rId466" Target="https://www.ncbi.nlm.nih.gov/pmc/articles/PMC6761184" TargetMode="External" /><Relationship Type="http://schemas.openxmlformats.org/officeDocument/2006/relationships/hyperlink" Id="rId328" Target="https://www.ncbi.nlm.nih.gov/pmc/articles/PMC6880934" TargetMode="External" /><Relationship Type="http://schemas.openxmlformats.org/officeDocument/2006/relationships/hyperlink" Id="rId471" Target="https://www.ncbi.nlm.nih.gov/pmc/articles/PMC7229260" TargetMode="External" /><Relationship Type="http://schemas.openxmlformats.org/officeDocument/2006/relationships/hyperlink" Id="rId486" Target="https://www.ncbi.nlm.nih.gov/pmc/articles/PMC7362544" TargetMode="External" /><Relationship Type="http://schemas.openxmlformats.org/officeDocument/2006/relationships/hyperlink" Id="rId476" Target="https://www.ncbi.nlm.nih.gov/pmc/articles/PMC7654754" TargetMode="External" /><Relationship Type="http://schemas.openxmlformats.org/officeDocument/2006/relationships/hyperlink" Id="rId415" Target="https://www.ncbi.nlm.nih.gov/pmc/articles/PMC7737294" TargetMode="External" /><Relationship Type="http://schemas.openxmlformats.org/officeDocument/2006/relationships/hyperlink" Id="rId407" Target="https://www.ncbi.nlm.nih.gov/pmc/articles/PMC7919457" TargetMode="External" /><Relationship Type="http://schemas.openxmlformats.org/officeDocument/2006/relationships/hyperlink" Id="rId340" Target="https://www.ncbi.nlm.nih.gov/pmc/articles/PMC8044053" TargetMode="External" /><Relationship Type="http://schemas.openxmlformats.org/officeDocument/2006/relationships/hyperlink" Id="rId335" Target="https://www.ncbi.nlm.nih.gov/pmc/articles/PMC8143193" TargetMode="External" /><Relationship Type="http://schemas.openxmlformats.org/officeDocument/2006/relationships/hyperlink" Id="rId461" Target="https://www.ncbi.nlm.nih.gov/pmc/articles/PMC8328013" TargetMode="External" /><Relationship Type="http://schemas.openxmlformats.org/officeDocument/2006/relationships/hyperlink" Id="rId246" Target="https://www.ncbi.nlm.nih.gov/projects/gap/cgi-bin/study.cgi?study_id=phs000178.v11.p8" TargetMode="External" /><Relationship Type="http://schemas.openxmlformats.org/officeDocument/2006/relationships/hyperlink" Id="rId237" Target="https://www.ncbi.nlm.nih.gov/projects/gap/cgi-bin/study.cgi?study_id=phs000218.v23.p8" TargetMode="External" /><Relationship Type="http://schemas.openxmlformats.org/officeDocument/2006/relationships/hyperlink" Id="rId238" Target="https://www.ncbi.nlm.nih.gov/projects/gap/cgi-bin/study.cgi?study_id=phs001436.v1.p1" TargetMode="External" /><Relationship Type="http://schemas.openxmlformats.org/officeDocument/2006/relationships/hyperlink" Id="rId239" Target="https://www.ncbi.nlm.nih.gov/projects/gap/cgi-bin/study.cgi?study_id=phs002517.v2.p2" TargetMode="External" /><Relationship Type="http://schemas.openxmlformats.org/officeDocument/2006/relationships/hyperlink" Id="rId490" Target="https://www.ncbi.nlm.nih.gov/projects/gap/cgi-bin/study.cgi?study_id=phs002517.v4.p2" TargetMode="External" /><Relationship Type="http://schemas.openxmlformats.org/officeDocument/2006/relationships/hyperlink" Id="rId439" Target="https://www.ncbi.nlm.nih.gov/pubmed/16964243" TargetMode="External" /><Relationship Type="http://schemas.openxmlformats.org/officeDocument/2006/relationships/hyperlink" Id="rId381" Target="https://www.ncbi.nlm.nih.gov/pubmed/20644199" TargetMode="External" /><Relationship Type="http://schemas.openxmlformats.org/officeDocument/2006/relationships/hyperlink" Id="rId371" Target="https://www.ncbi.nlm.nih.gov/pubmed/21081509" TargetMode="External" /><Relationship Type="http://schemas.openxmlformats.org/officeDocument/2006/relationships/hyperlink" Id="rId366" Target="https://www.ncbi.nlm.nih.gov/pubmed/22155870" TargetMode="External" /><Relationship Type="http://schemas.openxmlformats.org/officeDocument/2006/relationships/hyperlink" Id="rId450" Target="https://www.ncbi.nlm.nih.gov/pubmed/23945592" TargetMode="External" /><Relationship Type="http://schemas.openxmlformats.org/officeDocument/2006/relationships/hyperlink" Id="rId391" Target="https://www.ncbi.nlm.nih.gov/pubmed/23982603" TargetMode="External" /><Relationship Type="http://schemas.openxmlformats.org/officeDocument/2006/relationships/hyperlink" Id="rId434" Target="https://www.ncbi.nlm.nih.gov/pubmed/24564718" TargetMode="External" /><Relationship Type="http://schemas.openxmlformats.org/officeDocument/2006/relationships/hyperlink" Id="rId429" Target="https://www.ncbi.nlm.nih.gov/pubmed/25358478" TargetMode="External" /><Relationship Type="http://schemas.openxmlformats.org/officeDocument/2006/relationships/hyperlink" Id="rId424" Target="https://www.ncbi.nlm.nih.gov/pubmed/26243018" TargetMode="External" /><Relationship Type="http://schemas.openxmlformats.org/officeDocument/2006/relationships/hyperlink" Id="rId396" Target="https://www.ncbi.nlm.nih.gov/pubmed/26607064" TargetMode="External" /><Relationship Type="http://schemas.openxmlformats.org/officeDocument/2006/relationships/hyperlink" Id="rId445" Target="https://www.ncbi.nlm.nih.gov/pubmed/26899170" TargetMode="External" /><Relationship Type="http://schemas.openxmlformats.org/officeDocument/2006/relationships/hyperlink" Id="rId361" Target="https://www.ncbi.nlm.nih.gov/pubmed/27060149" TargetMode="External" /><Relationship Type="http://schemas.openxmlformats.org/officeDocument/2006/relationships/hyperlink" Id="rId376" Target="https://www.ncbi.nlm.nih.gov/pubmed/27100738" TargetMode="External" /><Relationship Type="http://schemas.openxmlformats.org/officeDocument/2006/relationships/hyperlink" Id="rId344" Target="https://www.ncbi.nlm.nih.gov/pubmed/27268795" TargetMode="External" /><Relationship Type="http://schemas.openxmlformats.org/officeDocument/2006/relationships/hyperlink" Id="rId386" Target="https://www.ncbi.nlm.nih.gov/pubmed/28035024" TargetMode="External" /><Relationship Type="http://schemas.openxmlformats.org/officeDocument/2006/relationships/hyperlink" Id="rId480" Target="https://www.ncbi.nlm.nih.gov/pubmed/28369524" TargetMode="External" /><Relationship Type="http://schemas.openxmlformats.org/officeDocument/2006/relationships/hyperlink" Id="rId419" Target="https://www.ncbi.nlm.nih.gov/pubmed/28394336" TargetMode="External" /><Relationship Type="http://schemas.openxmlformats.org/officeDocument/2006/relationships/hyperlink" Id="rId401" Target="https://www.ncbi.nlm.nih.gov/pubmed/29539639" TargetMode="External" /><Relationship Type="http://schemas.openxmlformats.org/officeDocument/2006/relationships/hyperlink" Id="rId349" Target="https://www.ncbi.nlm.nih.gov/pubmed/30013048" TargetMode="External" /><Relationship Type="http://schemas.openxmlformats.org/officeDocument/2006/relationships/hyperlink" Id="rId356" Target="https://www.ncbi.nlm.nih.gov/pubmed/30271907" TargetMode="External" /><Relationship Type="http://schemas.openxmlformats.org/officeDocument/2006/relationships/hyperlink" Id="rId455" Target="https://www.ncbi.nlm.nih.gov/pubmed/30664300" TargetMode="External" /><Relationship Type="http://schemas.openxmlformats.org/officeDocument/2006/relationships/hyperlink" Id="rId465" Target="https://www.ncbi.nlm.nih.gov/pubmed/31554817" TargetMode="External" /><Relationship Type="http://schemas.openxmlformats.org/officeDocument/2006/relationships/hyperlink" Id="rId327" Target="https://www.ncbi.nlm.nih.gov/pubmed/31693904" TargetMode="External" /><Relationship Type="http://schemas.openxmlformats.org/officeDocument/2006/relationships/hyperlink" Id="rId470" Target="https://www.ncbi.nlm.nih.gov/pubmed/31889194" TargetMode="External" /><Relationship Type="http://schemas.openxmlformats.org/officeDocument/2006/relationships/hyperlink" Id="rId485" Target="https://www.ncbi.nlm.nih.gov/pubmed/32664994" TargetMode="External" /><Relationship Type="http://schemas.openxmlformats.org/officeDocument/2006/relationships/hyperlink" Id="rId475" Target="https://www.ncbi.nlm.nih.gov/pubmed/33119584" TargetMode="External" /><Relationship Type="http://schemas.openxmlformats.org/officeDocument/2006/relationships/hyperlink" Id="rId334" Target="https://www.ncbi.nlm.nih.gov/pubmed/33242424" TargetMode="External" /><Relationship Type="http://schemas.openxmlformats.org/officeDocument/2006/relationships/hyperlink" Id="rId414" Target="https://www.ncbi.nlm.nih.gov/pubmed/33317447" TargetMode="External" /><Relationship Type="http://schemas.openxmlformats.org/officeDocument/2006/relationships/hyperlink" Id="rId406" Target="https://www.ncbi.nlm.nih.gov/pubmed/33441414" TargetMode="External" /><Relationship Type="http://schemas.openxmlformats.org/officeDocument/2006/relationships/hyperlink" Id="rId339" Target="https://www.ncbi.nlm.nih.gov/pubmed/33577785" TargetMode="External" /><Relationship Type="http://schemas.openxmlformats.org/officeDocument/2006/relationships/hyperlink" Id="rId460" Target="https://www.ncbi.nlm.nih.gov/pubmed/34185076" TargetMode="External" /><Relationship Type="http://schemas.openxmlformats.org/officeDocument/2006/relationships/hyperlink" Id="rId322" Target="https://www.ncbi.nlm.nih.gov/pubmed/37492101" TargetMode="External" /><Relationship Type="http://schemas.openxmlformats.org/officeDocument/2006/relationships/hyperlink" Id="rId277" Target="https://www.testmenu.com/chop/Tests/785504" TargetMode="External" /><Relationship Type="http://schemas.openxmlformats.org/officeDocument/2006/relationships/hyperlink" Id="rId223" Target="mailto:jrokita@childrensnational.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Open Pediatric Cancer Project</dc:title>
  <dc:creator/>
  <dc:language>en-US</dc:language>
  <cp:keywords>pediatric cancer, reproducibility, open science, multi-omics</cp:keywords>
  <dcterms:created xsi:type="dcterms:W3CDTF">2025-02-28T16:18:23Z</dcterms:created>
  <dcterms:modified xsi:type="dcterms:W3CDTF">2025-02-28T16:18:23Z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2025-02-28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