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权利要求书</w:t>
      </w:r>
    </w:p>
    <w:p>
      <w:pPr/>
      <w:r>
        <w:t>1. 一种【技术客体名称】，包括【构件A】和【构件B】，其特征在于，所述【构件A】通过【具体连接关系】与所述【构件B】连接；所述【构件B】在【明确条件】下执行【技术操作】，得到【技术中间结果】。</w:t>
      </w:r>
    </w:p>
    <w:p>
      <w:pPr/>
      <w:r>
        <w:t>2. 根据权利要求1所述的【技术客体名称】，其特征在于，所述【构件A】包括【可选子构件】。</w:t>
      </w:r>
    </w:p>
    <w:p>
      <w:pPr/>
      <w:r>
        <w:t>3. 根据权利要求1所述的【技术客体名称】，其特征在于，所述【技术操作】包括【真实且已确认的进一步限定】。</w:t>
      </w:r>
    </w:p>
    <w:sectPr w:rsidR="00FC693F" w:rsidRPr="0006063C" w:rsidSect="00034616">
      <w:footerReference w:type="default" r:id="rId9"/>
      <w:pgSz w:w="11906" w:h="16838"/>
      <w:pgMar w:top="1417" w:right="850" w:bottom="850" w:left="1417" w:header="652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