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pred tem pa na začetku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grafe z veliko točkami (&gt;1000) pa je bolje uporabiti</w:t>
      </w:r>
      <w:r>
        <w:t xml:space="preserve"> </w:t>
      </w:r>
      <w:r>
        <w:rPr>
          <w:rStyle w:val="VerbatimChar"/>
        </w:rPr>
        <w:t xml:space="preserve">.png</w:t>
      </w:r>
      <w:r>
        <w:t xml:space="preserve">, sicer je stavljenje dokumenta z LaTeXom lahko zelo počasno.</w:t>
      </w:r>
    </w:p>
    <w:p>
      <w:pPr>
        <w:numPr>
          <w:ilvl w:val="0"/>
          <w:numId w:val="1028"/>
        </w:numPr>
        <w:pStyle w:val="Compact"/>
      </w:pPr>
      <w:r>
        <w:t xml:space="preserve">Sliko shranimo v rastrskem formatu</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Sliko nato dodamo v LaTeX dokument z</w:t>
      </w:r>
      <w:r>
        <w:t xml:space="preserve"> </w:t>
      </w:r>
      <w:r>
        <w:rPr>
          <w:rStyle w:val="VerbatimChar"/>
        </w:rPr>
        <w:t xml:space="preserve">\includegraphics{pot.png}</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{'i', 'a', 'u', 'e'}</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2023-04-29T12:57:18Z</dcterms:created>
  <dcterms:modified xsi:type="dcterms:W3CDTF">2023-04-29T12:57:18Z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2023-04-29</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