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18653" w14:textId="77777777" w:rsidR="00D040DD" w:rsidRPr="00D040DD" w:rsidRDefault="00D040DD" w:rsidP="00D040DD">
      <w:r w:rsidRPr="00D040DD">
        <w:rPr>
          <w:b/>
          <w:bCs/>
        </w:rPr>
        <w:t>Resumen 1: Ingeniería y responsabilidad social: el impacto de la formación universitaria</w:t>
      </w:r>
      <w:r w:rsidRPr="00D040DD">
        <w:br/>
      </w:r>
      <w:r w:rsidRPr="00D040DD">
        <w:rPr>
          <w:i/>
          <w:iCs/>
        </w:rPr>
        <w:t xml:space="preserve">Macarena </w:t>
      </w:r>
      <w:proofErr w:type="spellStart"/>
      <w:r w:rsidRPr="00D040DD">
        <w:rPr>
          <w:i/>
          <w:iCs/>
        </w:rPr>
        <w:t>Perusset</w:t>
      </w:r>
      <w:proofErr w:type="spellEnd"/>
      <w:r w:rsidRPr="00D040DD">
        <w:rPr>
          <w:i/>
          <w:iCs/>
        </w:rPr>
        <w:t xml:space="preserve"> (Dos Puntas 10, junio 2014, págs. 145–156)</w:t>
      </w:r>
    </w:p>
    <w:p w14:paraId="005AE111" w14:textId="77777777" w:rsidR="00D040DD" w:rsidRPr="00D040DD" w:rsidRDefault="00D040DD" w:rsidP="00D040DD">
      <w:pPr>
        <w:numPr>
          <w:ilvl w:val="0"/>
          <w:numId w:val="1"/>
        </w:numPr>
      </w:pPr>
      <w:r w:rsidRPr="00D040DD">
        <w:rPr>
          <w:b/>
          <w:bCs/>
        </w:rPr>
        <w:t>Contexto y motivación</w:t>
      </w:r>
    </w:p>
    <w:p w14:paraId="39790485" w14:textId="77777777" w:rsidR="00D040DD" w:rsidRPr="00D040DD" w:rsidRDefault="00D040DD" w:rsidP="00D040DD">
      <w:pPr>
        <w:numPr>
          <w:ilvl w:val="1"/>
          <w:numId w:val="1"/>
        </w:numPr>
      </w:pPr>
      <w:r w:rsidRPr="00D040DD">
        <w:t>La autora parte de su experiencia con estudiantes avanzados de Ingeniería Industrial en la UTN</w:t>
      </w:r>
      <w:r w:rsidRPr="00D040DD">
        <w:rPr>
          <w:rFonts w:ascii="Cambria Math" w:hAnsi="Cambria Math" w:cs="Cambria Math"/>
        </w:rPr>
        <w:t>‐</w:t>
      </w:r>
      <w:r w:rsidRPr="00D040DD">
        <w:t>FRBA, quienes expresaban preocupaci</w:t>
      </w:r>
      <w:r w:rsidRPr="00D040DD">
        <w:rPr>
          <w:rFonts w:ascii="Aptos" w:hAnsi="Aptos" w:cs="Aptos"/>
        </w:rPr>
        <w:t>ó</w:t>
      </w:r>
      <w:r w:rsidRPr="00D040DD">
        <w:t>n por los efectos sociales y ambientales de su futura profesi</w:t>
      </w:r>
      <w:r w:rsidRPr="00D040DD">
        <w:rPr>
          <w:rFonts w:ascii="Aptos" w:hAnsi="Aptos" w:cs="Aptos"/>
        </w:rPr>
        <w:t>ó</w:t>
      </w:r>
      <w:r w:rsidRPr="00D040DD">
        <w:t xml:space="preserve">n, inquietudes que no eran abordadas en el plan de estudios tradicional </w:t>
      </w:r>
      <w:hyperlink r:id="rId5" w:tgtFrame="_blank" w:history="1">
        <w:r w:rsidRPr="00D040DD">
          <w:rPr>
            <w:rStyle w:val="Hipervnculo"/>
          </w:rPr>
          <w:t>Dialnet</w:t>
        </w:r>
      </w:hyperlink>
      <w:r w:rsidRPr="00D040DD">
        <w:t>.</w:t>
      </w:r>
    </w:p>
    <w:p w14:paraId="72AF36C2" w14:textId="77777777" w:rsidR="00D040DD" w:rsidRPr="00D040DD" w:rsidRDefault="00D040DD" w:rsidP="00D040DD">
      <w:pPr>
        <w:numPr>
          <w:ilvl w:val="1"/>
          <w:numId w:val="1"/>
        </w:numPr>
      </w:pPr>
      <w:r w:rsidRPr="00D040DD">
        <w:t xml:space="preserve">Se identifica un “vacío conceptual y práctico” en torno a la Responsabilidad Social Empresaria (RSE) y la ética profesional dentro de las asignaturas obligatorias, cuya inclusión en los programas existía solo en papel </w:t>
      </w:r>
      <w:hyperlink r:id="rId6" w:tgtFrame="_blank" w:history="1">
        <w:r w:rsidRPr="00D040DD">
          <w:rPr>
            <w:rStyle w:val="Hipervnculo"/>
          </w:rPr>
          <w:t>Dialnet</w:t>
        </w:r>
      </w:hyperlink>
      <w:r w:rsidRPr="00D040DD">
        <w:t>.</w:t>
      </w:r>
    </w:p>
    <w:p w14:paraId="46D4B3E7" w14:textId="77777777" w:rsidR="00D040DD" w:rsidRPr="00D040DD" w:rsidRDefault="00D040DD" w:rsidP="00D040DD">
      <w:pPr>
        <w:numPr>
          <w:ilvl w:val="0"/>
          <w:numId w:val="1"/>
        </w:numPr>
      </w:pPr>
      <w:r w:rsidRPr="00D040DD">
        <w:rPr>
          <w:b/>
          <w:bCs/>
        </w:rPr>
        <w:t>Diseño de la asignatura electiva “RSE para Ingenieros”</w:t>
      </w:r>
    </w:p>
    <w:p w14:paraId="69066F78" w14:textId="77777777" w:rsidR="00D040DD" w:rsidRPr="00D040DD" w:rsidRDefault="00D040DD" w:rsidP="00D040DD">
      <w:pPr>
        <w:numPr>
          <w:ilvl w:val="1"/>
          <w:numId w:val="1"/>
        </w:numPr>
      </w:pPr>
      <w:r w:rsidRPr="00D040DD">
        <w:t xml:space="preserve">En el primer semestre de 2013 se aprobó y dictó una materia optativa dirigida a estudiantes de cuarto y quinto año, con inscripción mínima de 12 alumnos y asistencia final de 24 </w:t>
      </w:r>
      <w:hyperlink r:id="rId7" w:tgtFrame="_blank" w:history="1">
        <w:r w:rsidRPr="00D040DD">
          <w:rPr>
            <w:rStyle w:val="Hipervnculo"/>
          </w:rPr>
          <w:t>Dialnet</w:t>
        </w:r>
      </w:hyperlink>
      <w:r w:rsidRPr="00D040DD">
        <w:t>.</w:t>
      </w:r>
    </w:p>
    <w:p w14:paraId="36EF4488" w14:textId="77777777" w:rsidR="00D040DD" w:rsidRPr="00D040DD" w:rsidRDefault="00D040DD" w:rsidP="00D040DD">
      <w:pPr>
        <w:numPr>
          <w:ilvl w:val="1"/>
          <w:numId w:val="1"/>
        </w:numPr>
      </w:pPr>
      <w:r w:rsidRPr="00D040DD">
        <w:t xml:space="preserve">El enfoque se aparta de la RSE entendida como herramienta de marketing y adopta una mirada crítica fundamentada en estándares internacionales (ISO 26000), derechos humanos y desarrollo sustentable </w:t>
      </w:r>
      <w:hyperlink r:id="rId8" w:tgtFrame="_blank" w:history="1">
        <w:proofErr w:type="spellStart"/>
        <w:r w:rsidRPr="00D040DD">
          <w:rPr>
            <w:rStyle w:val="Hipervnculo"/>
          </w:rPr>
          <w:t>Dialnet</w:t>
        </w:r>
      </w:hyperlink>
      <w:hyperlink r:id="rId9" w:tgtFrame="_blank" w:history="1">
        <w:r w:rsidRPr="00D040DD">
          <w:rPr>
            <w:rStyle w:val="Hipervnculo"/>
          </w:rPr>
          <w:t>Dialnet</w:t>
        </w:r>
        <w:proofErr w:type="spellEnd"/>
      </w:hyperlink>
      <w:r w:rsidRPr="00D040DD">
        <w:t>.</w:t>
      </w:r>
    </w:p>
    <w:p w14:paraId="1424EB80" w14:textId="77777777" w:rsidR="00D040DD" w:rsidRPr="00D040DD" w:rsidRDefault="00D040DD" w:rsidP="00D040DD">
      <w:pPr>
        <w:numPr>
          <w:ilvl w:val="1"/>
          <w:numId w:val="1"/>
        </w:numPr>
      </w:pPr>
      <w:r w:rsidRPr="00D040DD">
        <w:t>La metodología se organizó en cuatro etapas:</w:t>
      </w:r>
    </w:p>
    <w:p w14:paraId="676B5C06" w14:textId="77777777" w:rsidR="00D040DD" w:rsidRPr="00D040DD" w:rsidRDefault="00D040DD" w:rsidP="00D040DD">
      <w:pPr>
        <w:numPr>
          <w:ilvl w:val="2"/>
          <w:numId w:val="1"/>
        </w:numPr>
      </w:pPr>
      <w:r w:rsidRPr="00D040DD">
        <w:rPr>
          <w:b/>
          <w:bCs/>
        </w:rPr>
        <w:t>Planeamiento</w:t>
      </w:r>
      <w:r w:rsidRPr="00D040DD">
        <w:t>: diagnóstico del currículo y definición de objetivos y contenidos.</w:t>
      </w:r>
    </w:p>
    <w:p w14:paraId="1CB639CF" w14:textId="77777777" w:rsidR="00D040DD" w:rsidRPr="00D040DD" w:rsidRDefault="00D040DD" w:rsidP="00D040DD">
      <w:pPr>
        <w:numPr>
          <w:ilvl w:val="2"/>
          <w:numId w:val="1"/>
        </w:numPr>
      </w:pPr>
      <w:r w:rsidRPr="00D040DD">
        <w:rPr>
          <w:b/>
          <w:bCs/>
        </w:rPr>
        <w:t>Implementación</w:t>
      </w:r>
      <w:r w:rsidRPr="00D040DD">
        <w:t>: clases teórico</w:t>
      </w:r>
      <w:r w:rsidRPr="00D040DD">
        <w:rPr>
          <w:rFonts w:ascii="Cambria Math" w:hAnsi="Cambria Math" w:cs="Cambria Math"/>
        </w:rPr>
        <w:t>‐</w:t>
      </w:r>
      <w:r w:rsidRPr="00D040DD">
        <w:t>pr</w:t>
      </w:r>
      <w:r w:rsidRPr="00D040DD">
        <w:rPr>
          <w:rFonts w:ascii="Aptos" w:hAnsi="Aptos" w:cs="Aptos"/>
        </w:rPr>
        <w:t>á</w:t>
      </w:r>
      <w:r w:rsidRPr="00D040DD">
        <w:t xml:space="preserve">cticas con jornadas de </w:t>
      </w:r>
      <w:r w:rsidRPr="00D040DD">
        <w:rPr>
          <w:rFonts w:ascii="Aptos" w:hAnsi="Aptos" w:cs="Aptos"/>
        </w:rPr>
        <w:t>“</w:t>
      </w:r>
      <w:r w:rsidRPr="00D040DD">
        <w:t>cine debate</w:t>
      </w:r>
      <w:r w:rsidRPr="00D040DD">
        <w:rPr>
          <w:rFonts w:ascii="Aptos" w:hAnsi="Aptos" w:cs="Aptos"/>
        </w:rPr>
        <w:t>”</w:t>
      </w:r>
      <w:r w:rsidRPr="00D040DD">
        <w:t xml:space="preserve"> para promover el an</w:t>
      </w:r>
      <w:r w:rsidRPr="00D040DD">
        <w:rPr>
          <w:rFonts w:ascii="Aptos" w:hAnsi="Aptos" w:cs="Aptos"/>
        </w:rPr>
        <w:t>á</w:t>
      </w:r>
      <w:r w:rsidRPr="00D040DD">
        <w:t>lisis cr</w:t>
      </w:r>
      <w:r w:rsidRPr="00D040DD">
        <w:rPr>
          <w:rFonts w:ascii="Aptos" w:hAnsi="Aptos" w:cs="Aptos"/>
        </w:rPr>
        <w:t>í</w:t>
      </w:r>
      <w:r w:rsidRPr="00D040DD">
        <w:t>tico de casos reales.</w:t>
      </w:r>
    </w:p>
    <w:p w14:paraId="15D475B2" w14:textId="77777777" w:rsidR="00D040DD" w:rsidRPr="00D040DD" w:rsidRDefault="00D040DD" w:rsidP="00D040DD">
      <w:pPr>
        <w:numPr>
          <w:ilvl w:val="2"/>
          <w:numId w:val="1"/>
        </w:numPr>
      </w:pPr>
      <w:r w:rsidRPr="00D040DD">
        <w:rPr>
          <w:b/>
          <w:bCs/>
        </w:rPr>
        <w:t>Verificación y corrección</w:t>
      </w:r>
      <w:r w:rsidRPr="00D040DD">
        <w:t>: medición del impacto de las actividades y ajuste continuo.</w:t>
      </w:r>
    </w:p>
    <w:p w14:paraId="12B3E9AF" w14:textId="77777777" w:rsidR="00D040DD" w:rsidRPr="00D040DD" w:rsidRDefault="00D040DD" w:rsidP="00D040DD">
      <w:pPr>
        <w:numPr>
          <w:ilvl w:val="2"/>
          <w:numId w:val="1"/>
        </w:numPr>
      </w:pPr>
      <w:r w:rsidRPr="00D040DD">
        <w:rPr>
          <w:b/>
          <w:bCs/>
        </w:rPr>
        <w:t>Revisión y acción</w:t>
      </w:r>
      <w:r w:rsidRPr="00D040DD">
        <w:t xml:space="preserve">: elaboración de propuestas de mejora para futuras ediciones </w:t>
      </w:r>
      <w:hyperlink r:id="rId10" w:tgtFrame="_blank" w:history="1">
        <w:r w:rsidRPr="00D040DD">
          <w:rPr>
            <w:rStyle w:val="Hipervnculo"/>
          </w:rPr>
          <w:t>Redalyc.org</w:t>
        </w:r>
      </w:hyperlink>
      <w:r w:rsidRPr="00D040DD">
        <w:t>.</w:t>
      </w:r>
    </w:p>
    <w:p w14:paraId="1B18A502" w14:textId="77777777" w:rsidR="00D040DD" w:rsidRPr="00D040DD" w:rsidRDefault="00D040DD" w:rsidP="00D040DD">
      <w:pPr>
        <w:numPr>
          <w:ilvl w:val="0"/>
          <w:numId w:val="1"/>
        </w:numPr>
      </w:pPr>
      <w:r w:rsidRPr="00D040DD">
        <w:rPr>
          <w:b/>
          <w:bCs/>
        </w:rPr>
        <w:t>Resultados y conclusiones</w:t>
      </w:r>
    </w:p>
    <w:p w14:paraId="1B7F0DAD" w14:textId="77777777" w:rsidR="00D040DD" w:rsidRPr="00D040DD" w:rsidRDefault="00D040DD" w:rsidP="00D040DD">
      <w:pPr>
        <w:numPr>
          <w:ilvl w:val="1"/>
          <w:numId w:val="1"/>
        </w:numPr>
      </w:pPr>
      <w:r w:rsidRPr="00D040DD">
        <w:t xml:space="preserve">La materia superó las expectativas en términos de participación, calidad de evaluación y compromiso de los alumnos </w:t>
      </w:r>
      <w:hyperlink r:id="rId11" w:tgtFrame="_blank" w:history="1">
        <w:r w:rsidRPr="00D040DD">
          <w:rPr>
            <w:rStyle w:val="Hipervnculo"/>
          </w:rPr>
          <w:t>Dialnet</w:t>
        </w:r>
      </w:hyperlink>
      <w:r w:rsidRPr="00D040DD">
        <w:t>.</w:t>
      </w:r>
    </w:p>
    <w:p w14:paraId="743C786A" w14:textId="77777777" w:rsidR="00D040DD" w:rsidRPr="00D040DD" w:rsidRDefault="00D040DD" w:rsidP="00D040DD">
      <w:pPr>
        <w:numPr>
          <w:ilvl w:val="1"/>
          <w:numId w:val="1"/>
        </w:numPr>
      </w:pPr>
      <w:r w:rsidRPr="00D040DD">
        <w:lastRenderedPageBreak/>
        <w:t xml:space="preserve">Se destaca la necesidad de articular esfuerzos entre universidades y empresas para equilibrar conocimientos técnicos, visión de mercado y ética profesional, apuntando a formar ingenieros capaces de convertir desafíos socioambientales en oportunidades de beneficio para la sociedad </w:t>
      </w:r>
      <w:hyperlink r:id="rId12" w:tgtFrame="_blank" w:history="1">
        <w:r w:rsidRPr="00D040DD">
          <w:rPr>
            <w:rStyle w:val="Hipervnculo"/>
          </w:rPr>
          <w:t>Dialnet</w:t>
        </w:r>
      </w:hyperlink>
      <w:r w:rsidRPr="00D040DD">
        <w:t>.</w:t>
      </w:r>
    </w:p>
    <w:p w14:paraId="4EE48127" w14:textId="77777777" w:rsidR="00D040DD" w:rsidRPr="00D040DD" w:rsidRDefault="00D040DD" w:rsidP="00D040DD">
      <w:r w:rsidRPr="00D040DD">
        <w:pict w14:anchorId="1115B6C6">
          <v:rect id="_x0000_i1031" style="width:0;height:1.5pt" o:hralign="center" o:hrstd="t" o:hr="t" fillcolor="#a0a0a0" stroked="f"/>
        </w:pict>
      </w:r>
    </w:p>
    <w:p w14:paraId="2F3B9EBE" w14:textId="77777777" w:rsidR="00D040DD" w:rsidRPr="00D040DD" w:rsidRDefault="00D040DD" w:rsidP="00D040DD">
      <w:r w:rsidRPr="00D040DD">
        <w:rPr>
          <w:b/>
          <w:bCs/>
        </w:rPr>
        <w:t>Resumen 2: Compromiso Social Universitario: de la universidad posible a la universidad necesaria</w:t>
      </w:r>
      <w:r w:rsidRPr="00D040DD">
        <w:br/>
      </w:r>
      <w:r w:rsidRPr="00D040DD">
        <w:rPr>
          <w:i/>
          <w:iCs/>
        </w:rPr>
        <w:t xml:space="preserve">Néstor </w:t>
      </w:r>
      <w:proofErr w:type="spellStart"/>
      <w:r w:rsidRPr="00D040DD">
        <w:rPr>
          <w:i/>
          <w:iCs/>
        </w:rPr>
        <w:t>Cecchi</w:t>
      </w:r>
      <w:proofErr w:type="spellEnd"/>
      <w:r w:rsidRPr="00D040DD">
        <w:rPr>
          <w:i/>
          <w:iCs/>
        </w:rPr>
        <w:t xml:space="preserve">, Dora Alicia Pérez &amp; Pedro </w:t>
      </w:r>
      <w:proofErr w:type="spellStart"/>
      <w:r w:rsidRPr="00D040DD">
        <w:rPr>
          <w:i/>
          <w:iCs/>
        </w:rPr>
        <w:t>Sanllorenti</w:t>
      </w:r>
      <w:proofErr w:type="spellEnd"/>
      <w:r w:rsidRPr="00D040DD">
        <w:rPr>
          <w:i/>
          <w:iCs/>
        </w:rPr>
        <w:t xml:space="preserve"> (IEC-CONADU, 2ª ed. 2013; Introducción y “Primera Parte”, págs. 6–49)</w:t>
      </w:r>
    </w:p>
    <w:p w14:paraId="1D45B63E" w14:textId="77777777" w:rsidR="00D040DD" w:rsidRPr="00D040DD" w:rsidRDefault="00D040DD" w:rsidP="00D040DD">
      <w:pPr>
        <w:numPr>
          <w:ilvl w:val="0"/>
          <w:numId w:val="2"/>
        </w:numPr>
      </w:pPr>
      <w:r w:rsidRPr="00D040DD">
        <w:rPr>
          <w:b/>
          <w:bCs/>
        </w:rPr>
        <w:t>Introducción (págs. 10–16)</w:t>
      </w:r>
    </w:p>
    <w:p w14:paraId="166D2C7C" w14:textId="77777777" w:rsidR="00D040DD" w:rsidRPr="00D040DD" w:rsidRDefault="00D040DD" w:rsidP="00D040DD">
      <w:pPr>
        <w:numPr>
          <w:ilvl w:val="1"/>
          <w:numId w:val="2"/>
        </w:numPr>
      </w:pPr>
      <w:r w:rsidRPr="00D040DD">
        <w:t xml:space="preserve">El libro surge de la convicción de la Federación Nacional de Docentes Universitarios (CONADU) de que un sindicato debe contribuir también al debate sobre la función social de las universidades, más allá de la defensa gremial </w:t>
      </w:r>
      <w:hyperlink r:id="rId13" w:tgtFrame="_blank" w:history="1">
        <w:r w:rsidRPr="00D040DD">
          <w:rPr>
            <w:rStyle w:val="Hipervnculo"/>
          </w:rPr>
          <w:t>beu.extension.unicen.edu.ar</w:t>
        </w:r>
      </w:hyperlink>
      <w:r w:rsidRPr="00D040DD">
        <w:t>.</w:t>
      </w:r>
    </w:p>
    <w:p w14:paraId="75506138" w14:textId="77777777" w:rsidR="00D040DD" w:rsidRPr="00D040DD" w:rsidRDefault="00D040DD" w:rsidP="00D040DD">
      <w:pPr>
        <w:numPr>
          <w:ilvl w:val="1"/>
          <w:numId w:val="2"/>
        </w:numPr>
      </w:pPr>
      <w:r w:rsidRPr="00D040DD">
        <w:t xml:space="preserve">Se plantea la Educación Superior como “bien público social, derecho humano y deber del Estado” (CRES-2008) y se promueve el concepto de </w:t>
      </w:r>
      <w:r w:rsidRPr="00D040DD">
        <w:rPr>
          <w:b/>
          <w:bCs/>
        </w:rPr>
        <w:t>Compromiso Social Universitario (CSU)</w:t>
      </w:r>
      <w:r w:rsidRPr="00D040DD">
        <w:t xml:space="preserve">: la integración de las cuatro funciones universitarias (docencia, investigación, extensión y gestión) con una dimensión ética y de interacción bidireccional con la comunidad </w:t>
      </w:r>
      <w:hyperlink r:id="rId14" w:tgtFrame="_blank" w:history="1">
        <w:r w:rsidRPr="00D040DD">
          <w:rPr>
            <w:rStyle w:val="Hipervnculo"/>
          </w:rPr>
          <w:t>beu.extension.unicen.edu.ar</w:t>
        </w:r>
      </w:hyperlink>
      <w:r w:rsidRPr="00D040DD">
        <w:t>.</w:t>
      </w:r>
    </w:p>
    <w:p w14:paraId="27AE88D2" w14:textId="77777777" w:rsidR="00D040DD" w:rsidRPr="00D040DD" w:rsidRDefault="00D040DD" w:rsidP="00D040DD">
      <w:pPr>
        <w:numPr>
          <w:ilvl w:val="1"/>
          <w:numId w:val="2"/>
        </w:numPr>
      </w:pPr>
      <w:r w:rsidRPr="00D040DD">
        <w:t>Se critica la transmisión unidireccional del conocimiento y se aboga por modelos de investigación</w:t>
      </w:r>
      <w:r w:rsidRPr="00D040DD">
        <w:rPr>
          <w:rFonts w:ascii="Cambria Math" w:hAnsi="Cambria Math" w:cs="Cambria Math"/>
        </w:rPr>
        <w:t>‐</w:t>
      </w:r>
      <w:r w:rsidRPr="00D040DD">
        <w:t>acci</w:t>
      </w:r>
      <w:r w:rsidRPr="00D040DD">
        <w:rPr>
          <w:rFonts w:ascii="Aptos" w:hAnsi="Aptos" w:cs="Aptos"/>
        </w:rPr>
        <w:t>ó</w:t>
      </w:r>
      <w:r w:rsidRPr="00D040DD">
        <w:t xml:space="preserve">n participativa que generen beneficios sociales y construyan un nuevo contrato fundacional entre universidad y sociedad </w:t>
      </w:r>
      <w:hyperlink r:id="rId15" w:tgtFrame="_blank" w:history="1">
        <w:r w:rsidRPr="00D040DD">
          <w:rPr>
            <w:rStyle w:val="Hipervnculo"/>
          </w:rPr>
          <w:t>beu.extension.unicen.edu.ar</w:t>
        </w:r>
      </w:hyperlink>
      <w:r w:rsidRPr="00D040DD">
        <w:t>.</w:t>
      </w:r>
    </w:p>
    <w:p w14:paraId="6DC3B448" w14:textId="77777777" w:rsidR="00D040DD" w:rsidRPr="00D040DD" w:rsidRDefault="00D040DD" w:rsidP="00D040DD">
      <w:pPr>
        <w:numPr>
          <w:ilvl w:val="0"/>
          <w:numId w:val="2"/>
        </w:numPr>
      </w:pPr>
      <w:r w:rsidRPr="00D040DD">
        <w:rPr>
          <w:b/>
          <w:bCs/>
        </w:rPr>
        <w:t>Primera Parte: “Relación Universidad–Sociedad. Ayer y hoy” (págs. 20–49)</w:t>
      </w:r>
    </w:p>
    <w:p w14:paraId="07E81FC0" w14:textId="77777777" w:rsidR="00D040DD" w:rsidRPr="00D040DD" w:rsidRDefault="00D040DD" w:rsidP="00D040DD">
      <w:pPr>
        <w:numPr>
          <w:ilvl w:val="1"/>
          <w:numId w:val="2"/>
        </w:numPr>
      </w:pPr>
      <w:r w:rsidRPr="00D040DD">
        <w:rPr>
          <w:b/>
          <w:bCs/>
        </w:rPr>
        <w:t>Capítulo 1. La tradición (p. 21)</w:t>
      </w:r>
      <w:r w:rsidRPr="00D040DD">
        <w:t xml:space="preserve">: Se revisa el origen histórico de la universidad latinoamericana, con fuerte influencia liberal y visión elitista que vinculaba la autonomía universitaria a la defensa corporativa más que al compromiso social real </w:t>
      </w:r>
      <w:hyperlink r:id="rId16" w:tgtFrame="_blank" w:history="1">
        <w:r w:rsidRPr="00D040DD">
          <w:rPr>
            <w:rStyle w:val="Hipervnculo"/>
          </w:rPr>
          <w:t>beu.extension.unicen.edu.ar</w:t>
        </w:r>
      </w:hyperlink>
      <w:r w:rsidRPr="00D040DD">
        <w:t>.</w:t>
      </w:r>
    </w:p>
    <w:p w14:paraId="6F16CA4F" w14:textId="77777777" w:rsidR="00D040DD" w:rsidRPr="00D040DD" w:rsidRDefault="00D040DD" w:rsidP="00D040DD">
      <w:pPr>
        <w:numPr>
          <w:ilvl w:val="1"/>
          <w:numId w:val="2"/>
        </w:numPr>
      </w:pPr>
      <w:r w:rsidRPr="00D040DD">
        <w:rPr>
          <w:b/>
          <w:bCs/>
        </w:rPr>
        <w:t>Capítulo 2. Hacia la construcción de un modelo de Universidad latinoamericana (págs. 28–35)</w:t>
      </w:r>
      <w:r w:rsidRPr="00D040DD">
        <w:t>:</w:t>
      </w:r>
    </w:p>
    <w:p w14:paraId="585C366E" w14:textId="77777777" w:rsidR="00D040DD" w:rsidRPr="00D040DD" w:rsidRDefault="00D040DD" w:rsidP="00D040DD">
      <w:pPr>
        <w:numPr>
          <w:ilvl w:val="2"/>
          <w:numId w:val="2"/>
        </w:numPr>
      </w:pPr>
      <w:r w:rsidRPr="00D040DD">
        <w:rPr>
          <w:b/>
          <w:bCs/>
        </w:rPr>
        <w:lastRenderedPageBreak/>
        <w:t>a. Las dictaduras</w:t>
      </w:r>
      <w:r w:rsidRPr="00D040DD">
        <w:t>: Períodos de cooptación política que cercenaron la autonomía académica y distanciaron a la universidad de las demandas populares.</w:t>
      </w:r>
    </w:p>
    <w:p w14:paraId="64A0EC01" w14:textId="77777777" w:rsidR="00D040DD" w:rsidRPr="00D040DD" w:rsidRDefault="00D040DD" w:rsidP="00D040DD">
      <w:pPr>
        <w:numPr>
          <w:ilvl w:val="2"/>
          <w:numId w:val="2"/>
        </w:numPr>
      </w:pPr>
      <w:r w:rsidRPr="00D040DD">
        <w:rPr>
          <w:b/>
          <w:bCs/>
        </w:rPr>
        <w:t>b. El período neoliberal</w:t>
      </w:r>
      <w:r w:rsidRPr="00D040DD">
        <w:t>: Mercantilización de la educación, competitividad exacerbada y reducida inversión pública, que degradaron la función social de las instituciones.</w:t>
      </w:r>
    </w:p>
    <w:p w14:paraId="0C8ADE99" w14:textId="77777777" w:rsidR="00D040DD" w:rsidRPr="00D040DD" w:rsidRDefault="00D040DD" w:rsidP="00D040DD">
      <w:pPr>
        <w:numPr>
          <w:ilvl w:val="2"/>
          <w:numId w:val="2"/>
        </w:numPr>
      </w:pPr>
      <w:r w:rsidRPr="00D040DD">
        <w:rPr>
          <w:b/>
          <w:bCs/>
        </w:rPr>
        <w:t>c. Desafíos del Siglo XXI</w:t>
      </w:r>
      <w:r w:rsidRPr="00D040DD">
        <w:t xml:space="preserve">: Masificación del acceso, calidad, pertinencia social y democratización del conocimiento como retos esenciales para reconstruir una universidad verdaderamente inclusiva y transformadora </w:t>
      </w:r>
      <w:hyperlink r:id="rId17" w:tgtFrame="_blank" w:history="1">
        <w:r w:rsidRPr="00D040DD">
          <w:rPr>
            <w:rStyle w:val="Hipervnculo"/>
          </w:rPr>
          <w:t>beu.extension.unicen.edu.ar</w:t>
        </w:r>
      </w:hyperlink>
      <w:hyperlink r:id="rId18" w:tgtFrame="_blank" w:history="1">
        <w:r w:rsidRPr="00D040DD">
          <w:rPr>
            <w:rStyle w:val="Hipervnculo"/>
          </w:rPr>
          <w:t>beu.extension.unicen.edu.ar</w:t>
        </w:r>
      </w:hyperlink>
      <w:r w:rsidRPr="00D040DD">
        <w:t>.</w:t>
      </w:r>
    </w:p>
    <w:p w14:paraId="468A4D34" w14:textId="77777777" w:rsidR="00D040DD" w:rsidRPr="00D040DD" w:rsidRDefault="00D040DD" w:rsidP="00D040DD">
      <w:pPr>
        <w:numPr>
          <w:ilvl w:val="1"/>
          <w:numId w:val="2"/>
        </w:numPr>
      </w:pPr>
      <w:r w:rsidRPr="00D040DD">
        <w:rPr>
          <w:b/>
          <w:bCs/>
        </w:rPr>
        <w:t>Capítulo 3. La Universidad y el “territorio” (p. 42)</w:t>
      </w:r>
      <w:r w:rsidRPr="00D040DD">
        <w:t xml:space="preserve">: Se destaca la importancia de arraigar la acción universitaria en las necesidades y potencialidades del entorno local, promoviendo vínculos con actores gubernamentales, sociales y comunitarios para proyectos de desarrollo regional </w:t>
      </w:r>
      <w:hyperlink r:id="rId19" w:tgtFrame="_blank" w:history="1">
        <w:r w:rsidRPr="00D040DD">
          <w:rPr>
            <w:rStyle w:val="Hipervnculo"/>
          </w:rPr>
          <w:t>beu.extension.unicen.edu.ar</w:t>
        </w:r>
      </w:hyperlink>
      <w:r w:rsidRPr="00D040DD">
        <w:t>.</w:t>
      </w:r>
    </w:p>
    <w:p w14:paraId="42C09184" w14:textId="77777777" w:rsidR="00D040DD" w:rsidRPr="00D040DD" w:rsidRDefault="00D040DD" w:rsidP="00D040DD">
      <w:r w:rsidRPr="00D040DD">
        <w:t xml:space="preserve">En conjunto, ambos textos subrayan la urgencia de repensar la formación universitaria y su misión social: mientras </w:t>
      </w:r>
      <w:proofErr w:type="spellStart"/>
      <w:r w:rsidRPr="00D040DD">
        <w:t>Perusset</w:t>
      </w:r>
      <w:proofErr w:type="spellEnd"/>
      <w:r w:rsidRPr="00D040DD">
        <w:t xml:space="preserve"> propone un módulo curricular para sensibilizar a futuros ingenieros, </w:t>
      </w:r>
      <w:proofErr w:type="spellStart"/>
      <w:r w:rsidRPr="00D040DD">
        <w:t>Cecchi</w:t>
      </w:r>
      <w:proofErr w:type="spellEnd"/>
      <w:r w:rsidRPr="00D040DD">
        <w:t xml:space="preserve"> y cols. plantean un cambio estructural en la universidad pública latinoamericana, orientada por un compromiso ético con la sociedad.</w:t>
      </w:r>
    </w:p>
    <w:p w14:paraId="711267C6" w14:textId="77777777" w:rsidR="0017657B" w:rsidRDefault="0017657B"/>
    <w:sectPr w:rsidR="00176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F16E7"/>
    <w:multiLevelType w:val="multilevel"/>
    <w:tmpl w:val="9ACE4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5402E"/>
    <w:multiLevelType w:val="multilevel"/>
    <w:tmpl w:val="E29AB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043621">
    <w:abstractNumId w:val="0"/>
  </w:num>
  <w:num w:numId="2" w16cid:durableId="58773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56"/>
    <w:rsid w:val="0017657B"/>
    <w:rsid w:val="001E5153"/>
    <w:rsid w:val="00230456"/>
    <w:rsid w:val="00A40ABA"/>
    <w:rsid w:val="00D040DD"/>
    <w:rsid w:val="00E91081"/>
    <w:rsid w:val="00FF42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6E757-B38B-4721-966E-22603862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0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4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4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4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4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4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4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4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4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04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4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4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4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4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4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4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456"/>
    <w:rPr>
      <w:rFonts w:eastAsiaTheme="majorEastAsia" w:cstheme="majorBidi"/>
      <w:color w:val="272727" w:themeColor="text1" w:themeTint="D8"/>
    </w:rPr>
  </w:style>
  <w:style w:type="paragraph" w:styleId="Ttulo">
    <w:name w:val="Title"/>
    <w:basedOn w:val="Normal"/>
    <w:next w:val="Normal"/>
    <w:link w:val="TtuloCar"/>
    <w:uiPriority w:val="10"/>
    <w:qFormat/>
    <w:rsid w:val="00230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4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4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4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456"/>
    <w:pPr>
      <w:spacing w:before="160"/>
      <w:jc w:val="center"/>
    </w:pPr>
    <w:rPr>
      <w:i/>
      <w:iCs/>
      <w:color w:val="404040" w:themeColor="text1" w:themeTint="BF"/>
    </w:rPr>
  </w:style>
  <w:style w:type="character" w:customStyle="1" w:styleId="CitaCar">
    <w:name w:val="Cita Car"/>
    <w:basedOn w:val="Fuentedeprrafopredeter"/>
    <w:link w:val="Cita"/>
    <w:uiPriority w:val="29"/>
    <w:rsid w:val="00230456"/>
    <w:rPr>
      <w:i/>
      <w:iCs/>
      <w:color w:val="404040" w:themeColor="text1" w:themeTint="BF"/>
    </w:rPr>
  </w:style>
  <w:style w:type="paragraph" w:styleId="Prrafodelista">
    <w:name w:val="List Paragraph"/>
    <w:basedOn w:val="Normal"/>
    <w:uiPriority w:val="34"/>
    <w:qFormat/>
    <w:rsid w:val="00230456"/>
    <w:pPr>
      <w:ind w:left="720"/>
      <w:contextualSpacing/>
    </w:pPr>
  </w:style>
  <w:style w:type="character" w:styleId="nfasisintenso">
    <w:name w:val="Intense Emphasis"/>
    <w:basedOn w:val="Fuentedeprrafopredeter"/>
    <w:uiPriority w:val="21"/>
    <w:qFormat/>
    <w:rsid w:val="00230456"/>
    <w:rPr>
      <w:i/>
      <w:iCs/>
      <w:color w:val="0F4761" w:themeColor="accent1" w:themeShade="BF"/>
    </w:rPr>
  </w:style>
  <w:style w:type="paragraph" w:styleId="Citadestacada">
    <w:name w:val="Intense Quote"/>
    <w:basedOn w:val="Normal"/>
    <w:next w:val="Normal"/>
    <w:link w:val="CitadestacadaCar"/>
    <w:uiPriority w:val="30"/>
    <w:qFormat/>
    <w:rsid w:val="00230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456"/>
    <w:rPr>
      <w:i/>
      <w:iCs/>
      <w:color w:val="0F4761" w:themeColor="accent1" w:themeShade="BF"/>
    </w:rPr>
  </w:style>
  <w:style w:type="character" w:styleId="Referenciaintensa">
    <w:name w:val="Intense Reference"/>
    <w:basedOn w:val="Fuentedeprrafopredeter"/>
    <w:uiPriority w:val="32"/>
    <w:qFormat/>
    <w:rsid w:val="00230456"/>
    <w:rPr>
      <w:b/>
      <w:bCs/>
      <w:smallCaps/>
      <w:color w:val="0F4761" w:themeColor="accent1" w:themeShade="BF"/>
      <w:spacing w:val="5"/>
    </w:rPr>
  </w:style>
  <w:style w:type="character" w:styleId="Hipervnculo">
    <w:name w:val="Hyperlink"/>
    <w:basedOn w:val="Fuentedeprrafopredeter"/>
    <w:uiPriority w:val="99"/>
    <w:unhideWhenUsed/>
    <w:rsid w:val="00D040DD"/>
    <w:rPr>
      <w:color w:val="467886" w:themeColor="hyperlink"/>
      <w:u w:val="single"/>
    </w:rPr>
  </w:style>
  <w:style w:type="character" w:styleId="Mencinsinresolver">
    <w:name w:val="Unresolved Mention"/>
    <w:basedOn w:val="Fuentedeprrafopredeter"/>
    <w:uiPriority w:val="99"/>
    <w:semiHidden/>
    <w:unhideWhenUsed/>
    <w:rsid w:val="00D04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826618">
      <w:bodyDiv w:val="1"/>
      <w:marLeft w:val="0"/>
      <w:marRight w:val="0"/>
      <w:marTop w:val="0"/>
      <w:marBottom w:val="0"/>
      <w:divBdr>
        <w:top w:val="none" w:sz="0" w:space="0" w:color="auto"/>
        <w:left w:val="none" w:sz="0" w:space="0" w:color="auto"/>
        <w:bottom w:val="none" w:sz="0" w:space="0" w:color="auto"/>
        <w:right w:val="none" w:sz="0" w:space="0" w:color="auto"/>
      </w:divBdr>
    </w:div>
    <w:div w:id="213447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descarga/articulo/5068237.pdf" TargetMode="External"/><Relationship Id="rId13"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18"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alnet.unirioja.es/descarga/articulo/5068237.pdf" TargetMode="External"/><Relationship Id="rId12" Type="http://schemas.openxmlformats.org/officeDocument/2006/relationships/hyperlink" Target="https://dialnet.unirioja.es/descarga/articulo/5068237.pdf" TargetMode="External"/><Relationship Id="rId17"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2" Type="http://schemas.openxmlformats.org/officeDocument/2006/relationships/styles" Target="styles.xml"/><Relationship Id="rId16"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alnet.unirioja.es/descarga/articulo/5068237.pdf" TargetMode="External"/><Relationship Id="rId11" Type="http://schemas.openxmlformats.org/officeDocument/2006/relationships/hyperlink" Target="https://dialnet.unirioja.es/descarga/articulo/5068237.pdf" TargetMode="External"/><Relationship Id="rId5" Type="http://schemas.openxmlformats.org/officeDocument/2006/relationships/hyperlink" Target="https://dialnet.unirioja.es/descarga/articulo/5068237.pdf" TargetMode="External"/><Relationship Id="rId15"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10" Type="http://schemas.openxmlformats.org/officeDocument/2006/relationships/hyperlink" Target="https://www.redalyc.org/pdf/5641/564172836036.pdf" TargetMode="External"/><Relationship Id="rId19"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 Id="rId4" Type="http://schemas.openxmlformats.org/officeDocument/2006/relationships/webSettings" Target="webSettings.xml"/><Relationship Id="rId9" Type="http://schemas.openxmlformats.org/officeDocument/2006/relationships/hyperlink" Target="https://dialnet.unirioja.es/descarga/articulo/5068237.pdf" TargetMode="External"/><Relationship Id="rId14" Type="http://schemas.openxmlformats.org/officeDocument/2006/relationships/hyperlink" Target="https://beu.extension.unicen.edu.ar/xmlui/bitstream/handle/123456789/170/COMPROMISO%20%20SOCIAL%20%20UNIVERSITARIO%20%20De%20la%20Universidad%20posible%20a%20la%20Universidad%20necesaria.pdf?isAllowed=y&amp;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MENENDEZ TOMAS AGUSTIN</dc:creator>
  <cp:keywords/>
  <dc:description/>
  <cp:lastModifiedBy>MENENDEZ TOMAS AGUSTIN</cp:lastModifiedBy>
  <cp:revision>2</cp:revision>
  <dcterms:created xsi:type="dcterms:W3CDTF">2025-04-25T00:51:00Z</dcterms:created>
  <dcterms:modified xsi:type="dcterms:W3CDTF">2025-04-25T02:16:00Z</dcterms:modified>
</cp:coreProperties>
</file>