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860B"/>
          <w:sz w:val="44"/>
          <w:szCs w:val="44"/>
        </w:rPr>
        <w:t xml:space="preserve">AUDIT COMPLET</w:t>
      </w:r>
    </w:p>
    <w:p>
      <w:pPr>
        <w:spacing w:after="40"/>
      </w:pPr>
      <w:r>
        <w:rPr>
          <w:color w:val="1A1A1A"/>
          <w:sz w:val="26"/>
          <w:szCs w:val="26"/>
        </w:rPr>
        <w:t xml:space="preserve">Sécurité, modernisation &amp; handoff Claude Code</w:t>
      </w:r>
    </w:p>
    <w:p>
      <w:pPr>
        <w:spacing w:after="20"/>
      </w:pPr>
      <w:r>
        <w:rPr>
          <w:color w:val="666666"/>
          <w:sz w:val="20"/>
          <w:szCs w:val="20"/>
        </w:rPr>
        <w:t xml:space="preserve">Davis Sono Shop — Lomé, Togo</w:t>
      </w:r>
    </w:p>
    <w:p>
      <w:pPr>
        <w:spacing w:after="20"/>
      </w:pPr>
      <w:r>
        <w:rPr>
          <w:color w:val="666666"/>
          <w:sz w:val="20"/>
          <w:szCs w:val="20"/>
        </w:rPr>
        <w:t xml:space="preserve">Préparé pour Roland — 11 juillet 2026</w:t>
      </w:r>
    </w:p>
    <w:p>
      <w:pPr>
        <w:pBdr>
          <w:bottom w:val="single" w:color="B8860B" w:sz="8" w:space="4"/>
        </w:pBdr>
        <w:spacing w:after="300"/>
      </w:pPr>
      <w:r>
        <w:rPr>
          <w:sz w:val="4"/>
          <w:szCs w:val="4"/>
        </w:rPr>
        <w:t xml:space="preserve"/>
      </w:r>
    </w:p>
    <w:p>
      <w:pPr>
        <w:pStyle w:val="Heading1"/>
        <w:spacing w:after="160" w:before="360"/>
      </w:pPr>
      <w:r>
        <w:t xml:space="preserve">Résumé exécutif</w:t>
      </w:r>
    </w:p>
    <w:p>
      <w:pPr>
        <w:spacing w:after="140"/>
      </w:pPr>
      <w:r>
        <w:t xml:space="preserve">Le projet a évolué en profondeur depuis l'audit du 9 juillet : migration complète de Supabase vers Neon (Postgres + Neon Auth + Data API), passage à une connexion Postgres directe pour tout le trafic public, ajout d'un assistant IA (Claude), d'un export PDF et d'un rapport hebdomadaire automatique par email. La plupart des points signalés le 9 juillet sont corrigés : le HTML brut non filtré (dangerouslySetInnerHTML) a été remplacé par un rendu texte sûr, les fonctions de validation téléphone/email sont désormais réellement appelées au checkout, et le sitemap est généré automatiquement au build.</w:t>
      </w:r>
    </w:p>
    <w:p>
      <w:pPr>
        <w:spacing w:after="140"/>
      </w:pPr>
      <w:r>
        <w:t xml:space="preserve">Ce nouvel audit porte sur l'ensemble du code actuel (frontend React, fonctions serverless Vercel, schéma Postgres, configuration) avec un focus demandé sur la sécurité, ce qu'il faut ajouter et moderniser. Le constat principal : l'architecture est saine, mais deux failles de logique métier touchent directement l'argent et les droits d'accès (paiement non vérifié côté serveur, et n'importe quel compte authentifié traité comme administrateur) — à corriger avant toute mise en production réelle avec de vrais clients.</w:t>
      </w:r>
    </w:p>
    <w:p>
      <w:pPr>
        <w:pStyle w:val="Heading1"/>
        <w:spacing w:after="160" w:before="360"/>
      </w:pPr>
      <w:r>
        <w:t xml:space="preserve">1. Depuis le dernier audit (9 juillet) — ce qui a été corrigé</w:t>
      </w:r>
    </w:p>
    <w:p>
      <w:pPr>
        <w:pStyle w:val="ListParagraph"/>
        <w:numPr>
          <w:ilvl w:val="0"/>
          <w:numId w:val="2"/>
        </w:numPr>
        <w:spacing w:after="90"/>
      </w:pPr>
      <w:r>
        <w:t xml:space="preserve">Faille XSS corrigée : la description produit n'utilise plus dangerouslySetInnerHTML, remplacé par un rendu texte avec white-space: pre-line (src/pages/ProductDetail.tsx).</w:t>
      </w:r>
    </w:p>
    <w:p>
      <w:pPr>
        <w:pStyle w:val="ListParagraph"/>
        <w:numPr>
          <w:ilvl w:val="0"/>
          <w:numId w:val="2"/>
        </w:numPr>
        <w:spacing w:after="90"/>
      </w:pPr>
      <w:r>
        <w:t xml:space="preserve">Validation réellement appliquée : validatePhone/validateEmail, autrefois du code mort, sont maintenant appelées au checkout et à la demande de devis (Checkout.tsx, DevisRequest.tsx).</w:t>
      </w:r>
    </w:p>
    <w:p>
      <w:pPr>
        <w:pStyle w:val="ListParagraph"/>
        <w:numPr>
          <w:ilvl w:val="0"/>
          <w:numId w:val="2"/>
        </w:numPr>
        <w:spacing w:after="90"/>
      </w:pPr>
      <w:r>
        <w:t xml:space="preserve">Sitemap : généré automatiquement au build (scripts/generate-sitemap.mjs, appelé par npm run build) — le lien mort signalé le 9 juillet est résolu.</w:t>
      </w:r>
    </w:p>
    <w:p>
      <w:pPr>
        <w:pStyle w:val="ListParagraph"/>
        <w:numPr>
          <w:ilvl w:val="0"/>
          <w:numId w:val="2"/>
        </w:numPr>
        <w:spacing w:after="90"/>
      </w:pPr>
      <w:r>
        <w:t xml:space="preserve">Titres/meta dynamiques par page ajoutés via un hook dédié (useDocumentMeta), notamment sur les fiches produit.</w:t>
      </w:r>
    </w:p>
    <w:p>
      <w:pPr>
        <w:pStyle w:val="ListParagraph"/>
        <w:numPr>
          <w:ilvl w:val="0"/>
          <w:numId w:val="2"/>
        </w:numPr>
        <w:spacing w:after="90"/>
      </w:pPr>
      <w:r>
        <w:t xml:space="preserve">Migration Supabase → Neon assumée jusqu'au bout côté code, avec un contournement documenté et cohérent pour le trafic public (connexion Postgres directe) suite à l'indisponibilité du plugin d'authentification anonyme de Neon.</w:t>
      </w:r>
    </w:p>
    <w:p>
      <w:pPr>
        <w:pStyle w:val="Heading1"/>
        <w:spacing w:after="160" w:before="360"/>
      </w:pPr>
      <w:r>
        <w:t xml:space="preserve">2. Sécurité — constats priorisés</w:t>
      </w:r>
    </w:p>
    <w:p>
      <w:pPr>
        <w:spacing w:after="140"/>
      </w:pPr>
      <w:r>
        <w:t xml:space="preserve">Tableau des constats de sécurité, du plus urgent au moins urgent. Les deux premiers touchent directement l'intégrité financière et les droits d'accès et devraient être traités avant toute ouverture publique du site avec de vrais paiements.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900"/>
        <w:gridCol w:w="3600"/>
      </w:tblGrid>
      <w:tr>
        <w:trPr>
          <w:tblHeader/>
        </w:trPr>
        <w:tc>
          <w:tcPr>
            <w:tcW w:type="dxa" w:w="1300"/>
            <w:shd w:fill="0F1535" w:val="clear"/>
            <w:tcMar>
              <w:top w:type="dxa" w:w="80"/>
              <w:left w:type="dxa" w:w="100"/>
              <w:bottom w:type="dxa" w:w="80"/>
              <w:right w:type="dxa" w:w="100"/>
            </w:tcMar>
          </w:tcPr>
          <w:p>
            <w:r>
              <w:rPr>
                <w:b/>
                <w:bCs/>
                <w:color w:val="FFFFFF"/>
                <w:sz w:val="19"/>
                <w:szCs w:val="19"/>
              </w:rPr>
              <w:t xml:space="preserve">Priorité</w:t>
            </w:r>
          </w:p>
        </w:tc>
        <w:tc>
          <w:tcPr>
            <w:tcW w:type="dxa" w:w="3600"/>
            <w:shd w:fill="0F1535" w:val="clear"/>
            <w:tcMar>
              <w:top w:type="dxa" w:w="80"/>
              <w:left w:type="dxa" w:w="100"/>
              <w:bottom w:type="dxa" w:w="80"/>
              <w:right w:type="dxa" w:w="100"/>
            </w:tcMar>
          </w:tcPr>
          <w:p>
            <w:r>
              <w:rPr>
                <w:b/>
                <w:bCs/>
                <w:color w:val="FFFFFF"/>
                <w:sz w:val="19"/>
                <w:szCs w:val="19"/>
              </w:rPr>
              <w:t xml:space="preserve">Constat</w:t>
            </w:r>
          </w:p>
        </w:tc>
        <w:tc>
          <w:tcPr>
            <w:tcW w:type="dxa" w:w="1900"/>
            <w:shd w:fill="0F1535" w:val="clear"/>
            <w:tcMar>
              <w:top w:type="dxa" w:w="80"/>
              <w:left w:type="dxa" w:w="100"/>
              <w:bottom w:type="dxa" w:w="80"/>
              <w:right w:type="dxa" w:w="100"/>
            </w:tcMar>
          </w:tcPr>
          <w:p>
            <w:r>
              <w:rPr>
                <w:b/>
                <w:bCs/>
                <w:color w:val="FFFFFF"/>
                <w:sz w:val="19"/>
                <w:szCs w:val="19"/>
              </w:rPr>
              <w:t xml:space="preserve">Fichier(s)</w:t>
            </w:r>
          </w:p>
        </w:tc>
        <w:tc>
          <w:tcPr>
            <w:tcW w:type="dxa" w:w="3600"/>
            <w:shd w:fill="0F1535" w:val="clear"/>
            <w:tcMar>
              <w:top w:type="dxa" w:w="80"/>
              <w:left w:type="dxa" w:w="100"/>
              <w:bottom w:type="dxa" w:w="80"/>
              <w:right w:type="dxa" w:w="100"/>
            </w:tcMar>
          </w:tcPr>
          <w:p>
            <w:r>
              <w:rPr>
                <w:b/>
                <w:bCs/>
                <w:color w:val="FFFFFF"/>
                <w:sz w:val="19"/>
                <w:szCs w:val="19"/>
              </w:rPr>
              <w:t xml:space="preserve">Recommandation</w:t>
            </w:r>
          </w:p>
        </w:tc>
      </w:tr>
      <w:tr>
        <w:tc>
          <w:tcPr>
            <w:tcW w:type="dxa" w:w="1300"/>
            <w:shd w:fill="F5C5C5" w:val="clear"/>
            <w:tcMar>
              <w:top w:type="dxa" w:w="80"/>
              <w:left w:type="dxa" w:w="100"/>
              <w:bottom w:type="dxa" w:w="80"/>
              <w:right w:type="dxa" w:w="100"/>
            </w:tcMar>
          </w:tcPr>
          <w:p>
            <w:r>
              <w:rPr>
                <w:b/>
                <w:bCs/>
                <w:sz w:val="19"/>
                <w:szCs w:val="19"/>
              </w:rPr>
              <w:t xml:space="preserve">CRITIQUE</w:t>
            </w:r>
          </w:p>
        </w:tc>
        <w:tc>
          <w:tcPr>
            <w:tcW w:type="dxa" w:w="3600"/>
            <w:tcMar>
              <w:top w:type="dxa" w:w="80"/>
              <w:left w:type="dxa" w:w="100"/>
              <w:bottom w:type="dxa" w:w="80"/>
              <w:right w:type="dxa" w:w="100"/>
            </w:tcMar>
          </w:tcPr>
          <w:p>
            <w:r>
              <w:rPr>
                <w:b w:val="false"/>
                <w:bCs w:val="false"/>
                <w:sz w:val="19"/>
                <w:szCs w:val="19"/>
              </w:rPr>
              <w:t xml:space="preserve">Le checkout accepte tel quel le prix, le sous-total et le total envoyés par le navigateur, sans jamais les recalculer à partir du vrai prix produit en base. Un appel direct à l'API (curl, Postman) peut créer une commande à n'importe quel prix, y compris 0 FCFA.</w:t>
            </w:r>
          </w:p>
        </w:tc>
        <w:tc>
          <w:tcPr>
            <w:tcW w:type="dxa" w:w="1900"/>
            <w:tcMar>
              <w:top w:type="dxa" w:w="80"/>
              <w:left w:type="dxa" w:w="100"/>
              <w:bottom w:type="dxa" w:w="80"/>
              <w:right w:type="dxa" w:w="100"/>
            </w:tcMar>
          </w:tcPr>
          <w:p>
            <w:r>
              <w:rPr>
                <w:b w:val="false"/>
                <w:bCs w:val="false"/>
                <w:sz w:val="19"/>
                <w:szCs w:val="19"/>
              </w:rPr>
              <w:t xml:space="preserve">api/orders.ts (POST, lignes 69-108)</w:t>
            </w:r>
          </w:p>
        </w:tc>
        <w:tc>
          <w:tcPr>
            <w:tcW w:type="dxa" w:w="3600"/>
            <w:tcMar>
              <w:top w:type="dxa" w:w="80"/>
              <w:left w:type="dxa" w:w="100"/>
              <w:bottom w:type="dxa" w:w="80"/>
              <w:right w:type="dxa" w:w="100"/>
            </w:tcMar>
          </w:tcPr>
          <w:p>
            <w:r>
              <w:rPr>
                <w:b w:val="false"/>
                <w:bCs w:val="false"/>
                <w:sz w:val="19"/>
                <w:szCs w:val="19"/>
              </w:rPr>
              <w:t xml:space="preserve">Avant l'INSERT, relire chaque product_id en base (prix, stock réel), recalculer subtotal/total côté serveur et rejeter la commande si les valeurs envoyées par le client ne correspondent pas.</w:t>
            </w:r>
          </w:p>
        </w:tc>
      </w:tr>
      <w:tr>
        <w:tc>
          <w:tcPr>
            <w:tcW w:type="dxa" w:w="1300"/>
            <w:shd w:fill="FBD9B0" w:val="clear"/>
            <w:tcMar>
              <w:top w:type="dxa" w:w="80"/>
              <w:left w:type="dxa" w:w="100"/>
              <w:bottom w:type="dxa" w:w="80"/>
              <w:right w:type="dxa" w:w="100"/>
            </w:tcMar>
          </w:tcPr>
          <w:p>
            <w:r>
              <w:rPr>
                <w:b/>
                <w:bCs/>
                <w:sz w:val="19"/>
                <w:szCs w:val="19"/>
              </w:rPr>
              <w:t xml:space="preserve">HAUTE</w:t>
            </w:r>
          </w:p>
        </w:tc>
        <w:tc>
          <w:tcPr>
            <w:tcW w:type="dxa" w:w="3600"/>
            <w:tcMar>
              <w:top w:type="dxa" w:w="80"/>
              <w:left w:type="dxa" w:w="100"/>
              <w:bottom w:type="dxa" w:w="80"/>
              <w:right w:type="dxa" w:w="100"/>
            </w:tcMar>
          </w:tcPr>
          <w:p>
            <w:r>
              <w:rPr>
                <w:b w:val="false"/>
                <w:bCs w:val="false"/>
                <w:sz w:val="19"/>
                <w:szCs w:val="19"/>
              </w:rPr>
              <w:t xml:space="preserve">isAdmin = !!user : n'importe quel compte Neon Auth authentifié est traité comme administrateur complet. Les policies RLS ("TO authenticated USING (true)") donnent un accès total (lecture/écriture/suppression) sur products, orders, devis et stock_movements à tout jeton valide, sans second niveau de contrôle (rôle, claim admin).</w:t>
            </w:r>
          </w:p>
        </w:tc>
        <w:tc>
          <w:tcPr>
            <w:tcW w:type="dxa" w:w="1900"/>
            <w:tcMar>
              <w:top w:type="dxa" w:w="80"/>
              <w:left w:type="dxa" w:w="100"/>
              <w:bottom w:type="dxa" w:w="80"/>
              <w:right w:type="dxa" w:w="100"/>
            </w:tcMar>
          </w:tcPr>
          <w:p>
            <w:r>
              <w:rPr>
                <w:b w:val="false"/>
                <w:bCs w:val="false"/>
                <w:sz w:val="19"/>
                <w:szCs w:val="19"/>
              </w:rPr>
              <w:t xml:space="preserve">src/context/AuthContext.tsx (ligne 61), neon/schema.sql (policies *_all_admin)</w:t>
            </w:r>
          </w:p>
        </w:tc>
        <w:tc>
          <w:tcPr>
            <w:tcW w:type="dxa" w:w="3600"/>
            <w:tcMar>
              <w:top w:type="dxa" w:w="80"/>
              <w:left w:type="dxa" w:w="100"/>
              <w:bottom w:type="dxa" w:w="80"/>
              <w:right w:type="dxa" w:w="100"/>
            </w:tcMar>
          </w:tcPr>
          <w:p>
            <w:r>
              <w:rPr>
                <w:b w:val="false"/>
                <w:bCs w:val="false"/>
                <w:sz w:val="19"/>
                <w:szCs w:val="19"/>
              </w:rPr>
              <w:t xml:space="preserve">Confirmer dans la console Neon que l'auto-inscription (sign-up) est désactivée. Ajouter en plus un contrôle explicite (colonne/claim is_admin ou table admins) plutôt que de se reposer uniquement sur "authentifié = admin".</w:t>
            </w:r>
          </w:p>
        </w:tc>
      </w:tr>
      <w:tr>
        <w:tc>
          <w:tcPr>
            <w:tcW w:type="dxa" w:w="1300"/>
            <w:shd w:fill="FBEBB0" w:val="clear"/>
            <w:tcMar>
              <w:top w:type="dxa" w:w="80"/>
              <w:left w:type="dxa" w:w="100"/>
              <w:bottom w:type="dxa" w:w="80"/>
              <w:right w:type="dxa" w:w="100"/>
            </w:tcMar>
          </w:tcPr>
          <w:p>
            <w:r>
              <w:rPr>
                <w:b/>
                <w:bCs/>
                <w:sz w:val="19"/>
                <w:szCs w:val="19"/>
              </w:rPr>
              <w:t xml:space="preserve">MOYENNE</w:t>
            </w:r>
          </w:p>
        </w:tc>
        <w:tc>
          <w:tcPr>
            <w:tcW w:type="dxa" w:w="3600"/>
            <w:tcMar>
              <w:top w:type="dxa" w:w="80"/>
              <w:left w:type="dxa" w:w="100"/>
              <w:bottom w:type="dxa" w:w="80"/>
              <w:right w:type="dxa" w:w="100"/>
            </w:tcMar>
          </w:tcPr>
          <w:p>
            <w:r>
              <w:rPr>
                <w:b w:val="false"/>
                <w:bCs w:val="false"/>
                <w:sz w:val="19"/>
                <w:szCs w:val="19"/>
              </w:rPr>
              <w:t xml:space="preserve">Aucune limitation de débit sur les endpoints publics : /api/orders, /api/devis, /api/products et /api/ai (chat, recommend). Un script peut créer des centaines de fausses commandes/devis, épuiser le stock réel via des commandes bidons, ou générer une facture Anthropic imprévue.</w:t>
            </w:r>
          </w:p>
        </w:tc>
        <w:tc>
          <w:tcPr>
            <w:tcW w:type="dxa" w:w="1900"/>
            <w:tcMar>
              <w:top w:type="dxa" w:w="80"/>
              <w:left w:type="dxa" w:w="100"/>
              <w:bottom w:type="dxa" w:w="80"/>
              <w:right w:type="dxa" w:w="100"/>
            </w:tcMar>
          </w:tcPr>
          <w:p>
            <w:r>
              <w:rPr>
                <w:b w:val="false"/>
                <w:bCs w:val="false"/>
                <w:sz w:val="19"/>
                <w:szCs w:val="19"/>
              </w:rPr>
              <w:t xml:space="preserve">api/orders.ts, api/devis.ts, api/ai.ts</w:t>
            </w:r>
          </w:p>
        </w:tc>
        <w:tc>
          <w:tcPr>
            <w:tcW w:type="dxa" w:w="3600"/>
            <w:tcMar>
              <w:top w:type="dxa" w:w="80"/>
              <w:left w:type="dxa" w:w="100"/>
              <w:bottom w:type="dxa" w:w="80"/>
              <w:right w:type="dxa" w:w="100"/>
            </w:tcMar>
          </w:tcPr>
          <w:p>
            <w:r>
              <w:rPr>
                <w:b w:val="false"/>
                <w:bCs w:val="false"/>
                <w:sz w:val="19"/>
                <w:szCs w:val="19"/>
              </w:rPr>
              <w:t xml:space="preserve">Ajouter un rate limit par IP (ex. Upstash Ratelimit ou Vercel Edge Config) sur ces quatre routes, en priorité orders/devis (impact stock direct) et ai (impact coût direct).</w:t>
            </w:r>
          </w:p>
        </w:tc>
      </w:tr>
      <w:tr>
        <w:tc>
          <w:tcPr>
            <w:tcW w:type="dxa" w:w="1300"/>
            <w:shd w:fill="FBEBB0" w:val="clear"/>
            <w:tcMar>
              <w:top w:type="dxa" w:w="80"/>
              <w:left w:type="dxa" w:w="100"/>
              <w:bottom w:type="dxa" w:w="80"/>
              <w:right w:type="dxa" w:w="100"/>
            </w:tcMar>
          </w:tcPr>
          <w:p>
            <w:r>
              <w:rPr>
                <w:b/>
                <w:bCs/>
                <w:sz w:val="19"/>
                <w:szCs w:val="19"/>
              </w:rPr>
              <w:t xml:space="preserve">MOYENNE</w:t>
            </w:r>
          </w:p>
        </w:tc>
        <w:tc>
          <w:tcPr>
            <w:tcW w:type="dxa" w:w="3600"/>
            <w:tcMar>
              <w:top w:type="dxa" w:w="80"/>
              <w:left w:type="dxa" w:w="100"/>
              <w:bottom w:type="dxa" w:w="80"/>
              <w:right w:type="dxa" w:w="100"/>
            </w:tcMar>
          </w:tcPr>
          <w:p>
            <w:r>
              <w:rPr>
                <w:b w:val="false"/>
                <w:bCs w:val="false"/>
                <w:sz w:val="19"/>
                <w:szCs w:val="19"/>
              </w:rPr>
              <w:t xml:space="preserve">La décrémentation du stock ne vérifie jamais que la quantité commandée est disponible au moment de l'insertion (GREATEST(0, stock - quantity)) : deux commandes simultanées peuvent chacune être acceptées alors qu'il ne reste qu'une unité (survente), et une commande peut être créée pour une quantité supérieure au stock réel.</w:t>
            </w:r>
          </w:p>
        </w:tc>
        <w:tc>
          <w:tcPr>
            <w:tcW w:type="dxa" w:w="1900"/>
            <w:tcMar>
              <w:top w:type="dxa" w:w="80"/>
              <w:left w:type="dxa" w:w="100"/>
              <w:bottom w:type="dxa" w:w="80"/>
              <w:right w:type="dxa" w:w="100"/>
            </w:tcMar>
          </w:tcPr>
          <w:p>
            <w:r>
              <w:rPr>
                <w:b w:val="false"/>
                <w:bCs w:val="false"/>
                <w:sz w:val="19"/>
                <w:szCs w:val="19"/>
              </w:rPr>
              <w:t xml:space="preserve">api/orders.ts (lignes 112-118)</w:t>
            </w:r>
          </w:p>
        </w:tc>
        <w:tc>
          <w:tcPr>
            <w:tcW w:type="dxa" w:w="3600"/>
            <w:tcMar>
              <w:top w:type="dxa" w:w="80"/>
              <w:left w:type="dxa" w:w="100"/>
              <w:bottom w:type="dxa" w:w="80"/>
              <w:right w:type="dxa" w:w="100"/>
            </w:tcMar>
          </w:tcPr>
          <w:p>
            <w:r>
              <w:rPr>
                <w:b w:val="false"/>
                <w:bCs w:val="false"/>
                <w:sz w:val="19"/>
                <w:szCs w:val="19"/>
              </w:rPr>
              <w:t xml:space="preserve">Vérifier le stock disponible dans la même transaction que l'insertion de la commande (UPDATE ... WHERE stock &gt;= quantity RETURNING, ou transaction SQL explicite) et refuser/ajuster la commande si le stock est insuffisant.</w:t>
            </w:r>
          </w:p>
        </w:tc>
      </w:tr>
      <w:tr>
        <w:tc>
          <w:tcPr>
            <w:tcW w:type="dxa" w:w="1300"/>
            <w:shd w:fill="FBEBB0" w:val="clear"/>
            <w:tcMar>
              <w:top w:type="dxa" w:w="80"/>
              <w:left w:type="dxa" w:w="100"/>
              <w:bottom w:type="dxa" w:w="80"/>
              <w:right w:type="dxa" w:w="100"/>
            </w:tcMar>
          </w:tcPr>
          <w:p>
            <w:r>
              <w:rPr>
                <w:b/>
                <w:bCs/>
                <w:sz w:val="19"/>
                <w:szCs w:val="19"/>
              </w:rPr>
              <w:t xml:space="preserve">MOYENNE</w:t>
            </w:r>
          </w:p>
        </w:tc>
        <w:tc>
          <w:tcPr>
            <w:tcW w:type="dxa" w:w="3600"/>
            <w:tcMar>
              <w:top w:type="dxa" w:w="80"/>
              <w:left w:type="dxa" w:w="100"/>
              <w:bottom w:type="dxa" w:w="80"/>
              <w:right w:type="dxa" w:w="100"/>
            </w:tcMar>
          </w:tcPr>
          <w:p>
            <w:r>
              <w:rPr>
                <w:b w:val="false"/>
                <w:bCs w:val="false"/>
                <w:sz w:val="19"/>
                <w:szCs w:val="19"/>
              </w:rPr>
              <w:t xml:space="preserve">L'upload d'image (Vercel Blob) n'impose ni limite de taille ni liste blanche de types MIME : le content-type stocké est celui envoyé tel quel par le client.</w:t>
            </w:r>
          </w:p>
        </w:tc>
        <w:tc>
          <w:tcPr>
            <w:tcW w:type="dxa" w:w="1900"/>
            <w:tcMar>
              <w:top w:type="dxa" w:w="80"/>
              <w:left w:type="dxa" w:w="100"/>
              <w:bottom w:type="dxa" w:w="80"/>
              <w:right w:type="dxa" w:w="100"/>
            </w:tcMar>
          </w:tcPr>
          <w:p>
            <w:r>
              <w:rPr>
                <w:b w:val="false"/>
                <w:bCs w:val="false"/>
                <w:sz w:val="19"/>
                <w:szCs w:val="19"/>
              </w:rPr>
              <w:t xml:space="preserve">api/upload.ts</w:t>
            </w:r>
          </w:p>
        </w:tc>
        <w:tc>
          <w:tcPr>
            <w:tcW w:type="dxa" w:w="3600"/>
            <w:tcMar>
              <w:top w:type="dxa" w:w="80"/>
              <w:left w:type="dxa" w:w="100"/>
              <w:bottom w:type="dxa" w:w="80"/>
              <w:right w:type="dxa" w:w="100"/>
            </w:tcMar>
          </w:tcPr>
          <w:p>
            <w:r>
              <w:rPr>
                <w:b w:val="false"/>
                <w:bCs w:val="false"/>
                <w:sz w:val="19"/>
                <w:szCs w:val="19"/>
              </w:rPr>
              <w:t xml:space="preserve">Valider le content-type contre une liste blanche (image/jpeg, image/png, image/webp) et plafonner la taille du fichier (ex. 5 Mo) avant l'appel à put().</w:t>
            </w:r>
          </w:p>
        </w:tc>
      </w:tr>
      <w:tr>
        <w:tc>
          <w:tcPr>
            <w:tcW w:type="dxa" w:w="1300"/>
            <w:shd w:fill="E4E4E4" w:val="clear"/>
            <w:tcMar>
              <w:top w:type="dxa" w:w="80"/>
              <w:left w:type="dxa" w:w="100"/>
              <w:bottom w:type="dxa" w:w="80"/>
              <w:right w:type="dxa" w:w="100"/>
            </w:tcMar>
          </w:tcPr>
          <w:p>
            <w:r>
              <w:rPr>
                <w:b/>
                <w:bCs/>
                <w:sz w:val="19"/>
                <w:szCs w:val="19"/>
              </w:rPr>
              <w:t xml:space="preserve">BASSE</w:t>
            </w:r>
          </w:p>
        </w:tc>
        <w:tc>
          <w:tcPr>
            <w:tcW w:type="dxa" w:w="3600"/>
            <w:tcMar>
              <w:top w:type="dxa" w:w="80"/>
              <w:left w:type="dxa" w:w="100"/>
              <w:bottom w:type="dxa" w:w="80"/>
              <w:right w:type="dxa" w:w="100"/>
            </w:tcMar>
          </w:tcPr>
          <w:p>
            <w:r>
              <w:rPr>
                <w:b w:val="false"/>
                <w:bCs w:val="false"/>
                <w:sz w:val="19"/>
                <w:szCs w:val="19"/>
              </w:rPr>
              <w:t xml:space="preserve">Bons en-têtes de sécurité déjà en place (X-Frame-Options, HSTS, Referrer-Policy, Permissions-Policy) mais aucune Content-Security-Policy définie.</w:t>
            </w:r>
          </w:p>
        </w:tc>
        <w:tc>
          <w:tcPr>
            <w:tcW w:type="dxa" w:w="1900"/>
            <w:tcMar>
              <w:top w:type="dxa" w:w="80"/>
              <w:left w:type="dxa" w:w="100"/>
              <w:bottom w:type="dxa" w:w="80"/>
              <w:right w:type="dxa" w:w="100"/>
            </w:tcMar>
          </w:tcPr>
          <w:p>
            <w:r>
              <w:rPr>
                <w:b w:val="false"/>
                <w:bCs w:val="false"/>
                <w:sz w:val="19"/>
                <w:szCs w:val="19"/>
              </w:rPr>
              <w:t xml:space="preserve">vercel.json</w:t>
            </w:r>
          </w:p>
        </w:tc>
        <w:tc>
          <w:tcPr>
            <w:tcW w:type="dxa" w:w="3600"/>
            <w:tcMar>
              <w:top w:type="dxa" w:w="80"/>
              <w:left w:type="dxa" w:w="100"/>
              <w:bottom w:type="dxa" w:w="80"/>
              <w:right w:type="dxa" w:w="100"/>
            </w:tcMar>
          </w:tcPr>
          <w:p>
            <w:r>
              <w:rPr>
                <w:b w:val="false"/>
                <w:bCs w:val="false"/>
                <w:sz w:val="19"/>
                <w:szCs w:val="19"/>
              </w:rPr>
              <w:t xml:space="preserve">Ajouter un en-tête Content-Security-Policy (au minimum default-src 'self', en autorisant explicitement les domaines Neon/Vercel Blob/Anthropic utilisés).</w:t>
            </w:r>
          </w:p>
        </w:tc>
      </w:tr>
      <w:tr>
        <w:tc>
          <w:tcPr>
            <w:tcW w:type="dxa" w:w="1300"/>
            <w:shd w:fill="E4E4E4" w:val="clear"/>
            <w:tcMar>
              <w:top w:type="dxa" w:w="80"/>
              <w:left w:type="dxa" w:w="100"/>
              <w:bottom w:type="dxa" w:w="80"/>
              <w:right w:type="dxa" w:w="100"/>
            </w:tcMar>
          </w:tcPr>
          <w:p>
            <w:r>
              <w:rPr>
                <w:b/>
                <w:bCs/>
                <w:sz w:val="19"/>
                <w:szCs w:val="19"/>
              </w:rPr>
              <w:t xml:space="preserve">BASSE</w:t>
            </w:r>
          </w:p>
        </w:tc>
        <w:tc>
          <w:tcPr>
            <w:tcW w:type="dxa" w:w="3600"/>
            <w:tcMar>
              <w:top w:type="dxa" w:w="80"/>
              <w:left w:type="dxa" w:w="100"/>
              <w:bottom w:type="dxa" w:w="80"/>
              <w:right w:type="dxa" w:w="100"/>
            </w:tcMar>
          </w:tcPr>
          <w:p>
            <w:r>
              <w:rPr>
                <w:b w:val="false"/>
                <w:bCs w:val="false"/>
                <w:sz w:val="19"/>
                <w:szCs w:val="19"/>
              </w:rPr>
              <w:t xml:space="preserve">Le bouton "afficher/masquer le mot de passe" (Login) et le bouton menu mobile n'ont toujours pas d'aria-label — point déjà signalé dans l'audit du 9 juillet, non corrigé depuis.</w:t>
            </w:r>
          </w:p>
        </w:tc>
        <w:tc>
          <w:tcPr>
            <w:tcW w:type="dxa" w:w="1900"/>
            <w:tcMar>
              <w:top w:type="dxa" w:w="80"/>
              <w:left w:type="dxa" w:w="100"/>
              <w:bottom w:type="dxa" w:w="80"/>
              <w:right w:type="dxa" w:w="100"/>
            </w:tcMar>
          </w:tcPr>
          <w:p>
            <w:r>
              <w:rPr>
                <w:b w:val="false"/>
                <w:bCs w:val="false"/>
                <w:sz w:val="19"/>
                <w:szCs w:val="19"/>
              </w:rPr>
              <w:t xml:space="preserve">src/pages/admin/Login.tsx (ligne ~80), Navbar.tsx</w:t>
            </w:r>
          </w:p>
        </w:tc>
        <w:tc>
          <w:tcPr>
            <w:tcW w:type="dxa" w:w="3600"/>
            <w:tcMar>
              <w:top w:type="dxa" w:w="80"/>
              <w:left w:type="dxa" w:w="100"/>
              <w:bottom w:type="dxa" w:w="80"/>
              <w:right w:type="dxa" w:w="100"/>
            </w:tcMar>
          </w:tcPr>
          <w:p>
            <w:r>
              <w:rPr>
                <w:b w:val="false"/>
                <w:bCs w:val="false"/>
                <w:sz w:val="19"/>
                <w:szCs w:val="19"/>
              </w:rPr>
              <w:t xml:space="preserve">Ajouter aria-label="Afficher le mot de passe" / "Masquer le mot de passe" et un aria-label équivalent sur le bouton menu mobile.</w:t>
            </w:r>
          </w:p>
        </w:tc>
      </w:tr>
    </w:tbl>
    <w:p>
      <w:pPr>
        <w:spacing w:before="200"/>
      </w:pPr>
    </w:p>
    <w:p>
      <w:pPr>
        <w:pStyle w:val="Heading1"/>
        <w:spacing w:after="160" w:before="360"/>
      </w:pPr>
      <w:r>
        <w:t xml:space="preserve">3. Ce qu'il faut ajouter / moderniser</w:t>
      </w:r>
    </w:p>
    <w:p>
      <w:pPr>
        <w:pStyle w:val="Heading2"/>
        <w:spacing w:after="120" w:before="280"/>
      </w:pPr>
      <w:r>
        <w:t xml:space="preserve">3.1 Fiabilité et observabilité</w:t>
      </w:r>
    </w:p>
    <w:p>
      <w:pPr>
        <w:pStyle w:val="ListParagraph"/>
        <w:numPr>
          <w:ilvl w:val="0"/>
          <w:numId w:val="2"/>
        </w:numPr>
        <w:spacing w:after="90"/>
      </w:pPr>
      <w:r>
        <w:t xml:space="preserve">Aucun test automatisé dans le projet (aucun fichier *.test.*/*.spec.*) : ajouter au minimum un test bout-en-bout du parcours checkout (panier → commande → décrément stock), vu l'argent réel en jeu.</w:t>
      </w:r>
    </w:p>
    <w:p>
      <w:pPr>
        <w:pStyle w:val="ListParagraph"/>
        <w:numPr>
          <w:ilvl w:val="0"/>
          <w:numId w:val="2"/>
        </w:numPr>
        <w:spacing w:after="90"/>
      </w:pPr>
      <w:r>
        <w:t xml:space="preserve">Aucune intégration CI (pas de workflow GitHub Actions détecté) : ajouter un pipeline minimal (tsc -b, oxlint, build) qui tourne à chaque pull request, pour éviter qu'une régression parte directement en production.</w:t>
      </w:r>
    </w:p>
    <w:p>
      <w:pPr>
        <w:pStyle w:val="ListParagraph"/>
        <w:numPr>
          <w:ilvl w:val="0"/>
          <w:numId w:val="2"/>
        </w:numPr>
        <w:spacing w:after="90"/>
      </w:pPr>
      <w:r>
        <w:t xml:space="preserve">Aucun outil de suivi d'erreurs en production (Sentry ou équivalent) : les erreurs des fonctions serverless (api/*.ts) ne sont journalisées que dans les logs Vercel, difficiles à surveiller au quotidien.</w:t>
      </w:r>
    </w:p>
    <w:p>
      <w:pPr>
        <w:pStyle w:val="Heading2"/>
        <w:spacing w:after="120" w:before="280"/>
      </w:pPr>
      <w:r>
        <w:t xml:space="preserve">3.2 Dépendances et dette technique</w:t>
      </w:r>
    </w:p>
    <w:p>
      <w:pPr>
        <w:pStyle w:val="ListParagraph"/>
        <w:numPr>
          <w:ilvl w:val="0"/>
          <w:numId w:val="2"/>
        </w:numPr>
        <w:spacing w:after="90"/>
      </w:pPr>
      <w:r>
        <w:t xml:space="preserve">Plusieurs dépendances critiques sont en version bêta en production : @neondatabase/neon-js@^0.6.2-beta, et Neon Auth/Data API eux-mêmes sont documentés comme bêta côté Neon. À surveiller de près (changelog, breaking changes) tant qu'une version stable n'est pas sortie.</w:t>
      </w:r>
    </w:p>
    <w:p>
      <w:pPr>
        <w:pStyle w:val="ListParagraph"/>
        <w:numPr>
          <w:ilvl w:val="0"/>
          <w:numId w:val="2"/>
        </w:numPr>
        <w:spacing w:after="90"/>
      </w:pPr>
      <w:r>
        <w:t xml:space="preserve">src/lib/supabase.ts est un fichier mort (vidé intentionnellement après la migration) : à supprimer une fois confirmé qu'aucun import ne le référence plus.</w:t>
      </w:r>
    </w:p>
    <w:p>
      <w:pPr>
        <w:pStyle w:val="ListParagraph"/>
        <w:numPr>
          <w:ilvl w:val="0"/>
          <w:numId w:val="2"/>
        </w:numPr>
        <w:spacing w:after="90"/>
      </w:pPr>
      <w:r>
        <w:t xml:space="preserve">neon/schema.sql conserve les fonctions increment_views et decrement_stock (SECURITY DEFINER) qui ne sont plus utilisées : le code appelle désormais des UPDATE directs (api/products.ts, api/orders.ts). À supprimer ou documenter explicitement comme conservées pour compatibilité future, pour éviter la confusion.</w:t>
      </w:r>
    </w:p>
    <w:p>
      <w:pPr>
        <w:pStyle w:val="Heading2"/>
        <w:spacing w:after="120" w:before="280"/>
      </w:pPr>
      <w:r>
        <w:t xml:space="preserve">3.3 Défense en profondeur</w:t>
      </w:r>
    </w:p>
    <w:p>
      <w:pPr>
        <w:pStyle w:val="ListParagraph"/>
        <w:numPr>
          <w:ilvl w:val="0"/>
          <w:numId w:val="2"/>
        </w:numPr>
        <w:spacing w:after="90"/>
      </w:pPr>
      <w:r>
        <w:t xml:space="preserve">Ajouter un en-tête Content-Security-Policy (voir tableau sécurité) en complément des en-têtes déjà en place.</w:t>
      </w:r>
    </w:p>
    <w:p>
      <w:pPr>
        <w:pStyle w:val="ListParagraph"/>
        <w:numPr>
          <w:ilvl w:val="0"/>
          <w:numId w:val="2"/>
        </w:numPr>
        <w:spacing w:after="90"/>
      </w:pPr>
      <w:r>
        <w:t xml:space="preserve">Ajouter une vérification d'origine (Origin/Referer) sur les routes POST publiques (orders, devis) en complément du rate limiting, pour limiter les appels directs hors du site.</w:t>
      </w:r>
    </w:p>
    <w:p>
      <w:pPr>
        <w:pStyle w:val="ListParagraph"/>
        <w:numPr>
          <w:ilvl w:val="0"/>
          <w:numId w:val="2"/>
        </w:numPr>
        <w:spacing w:after="90"/>
      </w:pPr>
      <w:r>
        <w:t xml:space="preserve">Vérifier côté console Neon que le verrouillage après échecs de connexion (brute-force sur /admin/login) est actif — point déjà signalé le 9 juillet, toujours à vérifier manuellement.</w:t>
      </w:r>
    </w:p>
    <w:p>
      <w:pPr>
        <w:pStyle w:val="Heading2"/>
        <w:spacing w:after="120" w:before="280"/>
      </w:pPr>
      <w:r>
        <w:t xml:space="preserve">3.4 Expérience et accessibilité</w:t>
      </w:r>
    </w:p>
    <w:p>
      <w:pPr>
        <w:pStyle w:val="ListParagraph"/>
        <w:numPr>
          <w:ilvl w:val="0"/>
          <w:numId w:val="2"/>
        </w:numPr>
        <w:spacing w:after="90"/>
      </w:pPr>
      <w:r>
        <w:t xml:space="preserve">Aria-labels manquants sur les boutons icône seuls (mot de passe, menu mobile) — voir tableau sécurité, point bas mais rapide à corriger.</w:t>
      </w:r>
    </w:p>
    <w:p>
      <w:pPr>
        <w:pStyle w:val="ListParagraph"/>
        <w:numPr>
          <w:ilvl w:val="0"/>
          <w:numId w:val="2"/>
        </w:numPr>
        <w:spacing w:after="90"/>
      </w:pPr>
      <w:r>
        <w:t xml:space="preserve">Contraste et lisibilité du thème sombre doré/blanc non testés automatiquement — recommandé de passer un audit Lighthouse/axe DevTools une fois le site déployé.</w:t>
      </w:r>
    </w:p>
    <w:p>
      <w:pPr>
        <w:pStyle w:val="Heading1"/>
        <w:spacing w:after="160" w:before="360"/>
      </w:pPr>
      <w:r>
        <w:t xml:space="preserve">4. Qualité du code et architecture</w:t>
      </w:r>
    </w:p>
    <w:p>
      <w:pPr>
        <w:pStyle w:val="ListParagraph"/>
        <w:numPr>
          <w:ilvl w:val="0"/>
          <w:numId w:val="2"/>
        </w:numPr>
        <w:spacing w:after="90"/>
      </w:pPr>
      <w:r>
        <w:t xml:space="preserve">Architecture toujours claire et cohérente : hooks dédiés par ressource (useProducts, useOrders, useDevis), séparation service/état respectée, gestion d'erreur homogène (try/catch + toast, e: unknown).</w:t>
      </w:r>
    </w:p>
    <w:p>
      <w:pPr>
        <w:pStyle w:val="ListParagraph"/>
        <w:numPr>
          <w:ilvl w:val="0"/>
          <w:numId w:val="2"/>
        </w:numPr>
        <w:spacing w:after="90"/>
      </w:pPr>
      <w:r>
        <w:t xml:space="preserve">Aucune occurrence de : any, console.log ou TODO/FIXME retrouvée dans src/ — bon signe de discipline de code, amélioration par rapport au 9 juillet (9 occurrences de any relevées alors).</w:t>
      </w:r>
    </w:p>
    <w:p>
      <w:pPr>
        <w:pStyle w:val="ListParagraph"/>
        <w:numPr>
          <w:ilvl w:val="0"/>
          <w:numId w:val="2"/>
        </w:numPr>
        <w:spacing w:after="90"/>
      </w:pPr>
      <w:r>
        <w:t xml:space="preserve">Les fonctions serverless (api/*.ts) valident les champs obligatoires et renvoient des erreurs explicites (400/401/405/500) plutôt que de planter silencieusement — bonne pratique déjà en place, à conserver en ajoutant les recalculs serveur mentionnés en section 2.</w:t>
      </w:r>
    </w:p>
    <w:p>
      <w:pPr>
        <w:pStyle w:val="ListParagraph"/>
        <w:numPr>
          <w:ilvl w:val="0"/>
          <w:numId w:val="2"/>
        </w:numPr>
        <w:spacing w:after="90"/>
      </w:pPr>
      <w:r>
        <w:t xml:space="preserve">Panier persistant en localStorage avec gestion des erreurs de stockage (mode privé, quota) — bonne pratique déjà en place.</w:t>
      </w:r>
    </w:p>
    <w:p>
      <w:pPr>
        <w:pStyle w:val="Heading1"/>
        <w:spacing w:after="160" w:before="360"/>
      </w:pPr>
      <w:r>
        <w:t xml:space="preserve">5. Vérification technique dans cet environnement</w:t>
      </w:r>
    </w:p>
    <w:p>
      <w:pPr>
        <w:spacing w:after="140"/>
      </w:pPr>
      <w:r>
        <w:t xml:space="preserve">npm install, tsc -b, npm run build et npx oxlint ont été exécutés dans ce sandbox. tsc -b échoue uniquement sur un module jspdf partiellement installé, et oxlint échoue avec "Cannot find native binding" — la même limitation d'environnement (bug connu npm sur les dépendances optionnelles) déjà documentée dans HANDOFF_CLAUDE_CODE.md le 9 juillet, pas un problème de code. Aucune des deux erreurs n'est liée aux fichiers sources revus dans cet audit.</w:t>
      </w:r>
    </w:p>
    <w:p>
      <w:pPr>
        <w:spacing w:after="140"/>
      </w:pPr>
      <w:r>
        <w:rPr>
          <w:i/>
          <w:iCs/>
          <w:color w:val="666666"/>
        </w:rPr>
        <w:t xml:space="preserve">À confirmer obligatoirement en local ou par Claude Code avant mise en production : npm install propre, npm run build, npm run lint, et un test manuel du parcours complet (catalogue → panier → checkout → confirmation) contre une vraie instance Neon.</w:t>
      </w:r>
    </w:p>
    <w:p>
      <w:pPr>
        <w:pStyle w:val="Heading1"/>
        <w:spacing w:after="160" w:before="360"/>
      </w:pPr>
      <w:r>
        <w:t xml:space="preserve">6. Plan d'action priorisé — à transmettre à Claude Code</w:t>
      </w:r>
    </w:p>
    <w:p>
      <w:pPr>
        <w:spacing w:after="140"/>
      </w:pPr>
      <w:r>
        <w:t xml:space="preserve">Ordre recommandé, du plus critique au plus cosmétique :</w:t>
      </w:r>
    </w:p>
    <w:p>
      <w:pPr>
        <w:pStyle w:val="ListParagraph"/>
        <w:numPr>
          <w:ilvl w:val="0"/>
          <w:numId w:val="2"/>
        </w:numPr>
        <w:spacing w:after="90"/>
      </w:pPr>
      <w:r>
        <w:rPr>
          <w:b/>
          <w:bCs/>
        </w:rPr>
        <w:t xml:space="preserve">1. </w:t>
      </w:r>
      <w:r>
        <w:t xml:space="preserve">Corriger api/orders.ts : recalculer prix/sous-total/total côté serveur à partir de la table products avant d'insérer la commande, et vérifier le stock disponible dans la même opération (empêcher la survente).</w:t>
      </w:r>
    </w:p>
    <w:p>
      <w:pPr>
        <w:pStyle w:val="ListParagraph"/>
        <w:numPr>
          <w:ilvl w:val="0"/>
          <w:numId w:val="2"/>
        </w:numPr>
        <w:spacing w:after="90"/>
      </w:pPr>
      <w:r>
        <w:rPr>
          <w:b/>
          <w:bCs/>
        </w:rPr>
        <w:t xml:space="preserve">2. </w:t>
      </w:r>
      <w:r>
        <w:t xml:space="preserve">Revoir le modèle de droits admin : confirmer la désactivation du sign-up public sur Neon Auth, puis ajouter un contrôle explicite (claim ou table admins) au lieu de isAdmin = !!user.</w:t>
      </w:r>
    </w:p>
    <w:p>
      <w:pPr>
        <w:pStyle w:val="ListParagraph"/>
        <w:numPr>
          <w:ilvl w:val="0"/>
          <w:numId w:val="2"/>
        </w:numPr>
        <w:spacing w:after="90"/>
      </w:pPr>
      <w:r>
        <w:rPr>
          <w:b/>
          <w:bCs/>
        </w:rPr>
        <w:t xml:space="preserve">3. </w:t>
      </w:r>
      <w:r>
        <w:t xml:space="preserve">Ajouter un rate limiting basique sur /api/orders, /api/devis et /api/ai.</w:t>
      </w:r>
    </w:p>
    <w:p>
      <w:pPr>
        <w:pStyle w:val="ListParagraph"/>
        <w:numPr>
          <w:ilvl w:val="0"/>
          <w:numId w:val="2"/>
        </w:numPr>
        <w:spacing w:after="90"/>
      </w:pPr>
      <w:r>
        <w:rPr>
          <w:b/>
          <w:bCs/>
        </w:rPr>
        <w:t xml:space="preserve">4. </w:t>
      </w:r>
      <w:r>
        <w:t xml:space="preserve">Valider content-type et taille de fichier dans api/upload.ts.</w:t>
      </w:r>
    </w:p>
    <w:p>
      <w:pPr>
        <w:pStyle w:val="ListParagraph"/>
        <w:numPr>
          <w:ilvl w:val="0"/>
          <w:numId w:val="2"/>
        </w:numPr>
        <w:spacing w:after="90"/>
      </w:pPr>
      <w:r>
        <w:rPr>
          <w:b/>
          <w:bCs/>
        </w:rPr>
        <w:t xml:space="preserve">5. </w:t>
      </w:r>
      <w:r>
        <w:t xml:space="preserve">Ajouter l'en-tête Content-Security-Policy dans vercel.json.</w:t>
      </w:r>
    </w:p>
    <w:p>
      <w:pPr>
        <w:pStyle w:val="ListParagraph"/>
        <w:numPr>
          <w:ilvl w:val="0"/>
          <w:numId w:val="2"/>
        </w:numPr>
        <w:spacing w:after="90"/>
      </w:pPr>
      <w:r>
        <w:rPr>
          <w:b/>
          <w:bCs/>
        </w:rPr>
        <w:t xml:space="preserve">6. </w:t>
      </w:r>
      <w:r>
        <w:t xml:space="preserve">Nettoyer le code mort (src/lib/supabase.ts, fonctions SQL non utilisées) et ajouter les aria-label manquants.</w:t>
      </w:r>
    </w:p>
    <w:p>
      <w:pPr>
        <w:pStyle w:val="ListParagraph"/>
        <w:numPr>
          <w:ilvl w:val="0"/>
          <w:numId w:val="2"/>
        </w:numPr>
        <w:spacing w:after="90"/>
      </w:pPr>
      <w:r>
        <w:rPr>
          <w:b/>
          <w:bCs/>
        </w:rPr>
        <w:t xml:space="preserve">7. </w:t>
      </w:r>
      <w:r>
        <w:t xml:space="preserve">Mettre en place un pipeline CI minimal (tsc -b + oxlint + build) et un premier test bout-en-bout du checkout.</w:t>
      </w:r>
    </w:p>
    <w:p>
      <w:pPr>
        <w:pStyle w:val="ListParagraph"/>
        <w:numPr>
          <w:ilvl w:val="0"/>
          <w:numId w:val="2"/>
        </w:numPr>
        <w:spacing w:after="90"/>
      </w:pPr>
      <w:r>
        <w:rPr>
          <w:b/>
          <w:bCs/>
        </w:rPr>
        <w:t xml:space="preserve">8. </w:t>
      </w:r>
      <w:r>
        <w:t xml:space="preserve">Confirmer un npm install propre, puis exécuter build/lint/tests réels (impossibles à finaliser dans ce sandbox) et valider le parcours complet contre la vraie instance Neon en production.</w:t>
      </w:r>
    </w:p>
    <w:p>
      <w:pPr>
        <w:pStyle w:val="Heading1"/>
        <w:spacing w:after="160" w:before="360"/>
      </w:pPr>
      <w:r>
        <w:t xml:space="preserve">7. Méthodologie</w:t>
      </w:r>
    </w:p>
    <w:p>
      <w:pPr>
        <w:spacing w:after="140"/>
      </w:pPr>
      <w:r>
        <w:rPr>
          <w:color w:val="666666"/>
          <w:sz w:val="19"/>
          <w:szCs w:val="19"/>
        </w:rPr>
        <w:t xml:space="preserve">Audit réalisé par revue statique complète du code source (frontend src/, fonctions serverless api/, schéma neon/schema.sql, configuration vercel.json/.env.example), recherche de motifs à risque (any, dangerouslySetInnerHTML, console.log, TODO), et exécution de npm install / tsc -b / npm run build / npx oxlint dans un environnement cloud isolé. Comparé point par point à l'audit du 9 juillet et au document HANDOFF_CLAUDE_CODE.md existant. N'inclut pas de test dynamique contre une instance Neon réelle, ni de test de pénétration, ni d'audit de performance Lighthouse — une vérification manuelle en conditions réelles reste nécessaire avant mise en production, en particulier pour les points 1 et 2 de la section 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2026-07-11T06:23:22.161Z</dcterms:created>
  <dcterms:modified xsi:type="dcterms:W3CDTF">2026-07-11T06:23:22.161Z</dcterms:modified>
</cp:coreProperties>
</file>

<file path=docProps/custom.xml><?xml version="1.0" encoding="utf-8"?>
<Properties xmlns="http://schemas.openxmlformats.org/officeDocument/2006/custom-properties" xmlns:vt="http://schemas.openxmlformats.org/officeDocument/2006/docPropsVTypes"/>
</file>