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Rapport J15 — Clés, intégrité référentielle, normalisation et migration RAW → STAGING</w:t>
      </w:r>
    </w:p>
    <w:p>
      <w:r>
        <w:t xml:space="preserve">Plan d'exécution SQL/Data — 16 semaines  </w:t>
      </w:r>
    </w:p>
    <w:p>
      <w:r>
        <w:t xml:space="preserve">Semaine : 03  </w:t>
      </w:r>
    </w:p>
    <w:p>
      <w:r>
        <w:t xml:space="preserve">Jour : J15  </w:t>
      </w:r>
    </w:p>
    <w:p>
      <w:r>
        <w:t xml:space="preserve">Date d'exécution : 28 septembre 2026 (J15 du parcours commencé le 14 septembre 2026)  </w:t>
      </w:r>
    </w:p>
    <w:p>
      <w:r>
        <w:t xml:space="preserve">Durée prévue : 90 min  </w:t>
      </w:r>
    </w:p>
    <w:p>
      <w:r>
        <w:t xml:space="preserve">Durée réellement effectuée : 135 min  </w:t>
      </w:r>
    </w:p>
    <w:p>
      <w:r>
        <w:t xml:space="preserve">Écart prévu/réel : +45 min  </w:t>
      </w:r>
    </w:p>
    <w:p>
      <w:r>
        <w:t>Fin du timer : arrêtée après validation de J15-18</w:t>
      </w:r>
    </w:p>
    <w:p>
      <w:pPr>
        <w:pStyle w:val="Heading1"/>
      </w:pPr>
      <w:r>
        <w:t>1. Objectifs de la séance</w:t>
      </w:r>
    </w:p>
    <w:p>
      <w:pPr>
        <w:pStyle w:val="ListBullet"/>
      </w:pPr>
      <w:r>
        <w:t>Comprendre le rôle des clés primaires et étrangères dans un modèle relationnel.</w:t>
      </w:r>
    </w:p>
    <w:p>
      <w:pPr>
        <w:pStyle w:val="ListBullet"/>
      </w:pPr>
      <w:r>
        <w:t>Distinguer une clé métier (`source_code`) d'une clé technique (`source_id`).</w:t>
      </w:r>
    </w:p>
    <w:p>
      <w:pPr>
        <w:pStyle w:val="ListBullet"/>
      </w:pPr>
      <w:r>
        <w:t>Créer un référentiel `analytics.source_systems`.</w:t>
      </w:r>
    </w:p>
    <w:p>
      <w:pPr>
        <w:pStyle w:val="ListBullet"/>
      </w:pPr>
      <w:r>
        <w:t>Vérifier l'unicité des codes sources et l'auto-génération des identifiants.</w:t>
      </w:r>
    </w:p>
    <w:p>
      <w:pPr>
        <w:pStyle w:val="ListBullet"/>
      </w:pPr>
      <w:r>
        <w:t>Utiliser des `JOIN` pour relier les événements RAW au référentiel.</w:t>
      </w:r>
    </w:p>
    <w:p>
      <w:pPr>
        <w:pStyle w:val="ListBullet"/>
      </w:pPr>
      <w:r>
        <w:t>Détecter les événements orphelins avant une migration.</w:t>
      </w:r>
    </w:p>
    <w:p>
      <w:pPr>
        <w:pStyle w:val="ListBullet"/>
      </w:pPr>
      <w:r>
        <w:t>Expérimenter un backfill de `source_id`, `NOT NULL` et une contrainte `FOREIGN KEY`.</w:t>
      </w:r>
    </w:p>
    <w:p>
      <w:pPr>
        <w:pStyle w:val="ListBullet"/>
      </w:pPr>
      <w:r>
        <w:t>Démontrer le risque de redondance/incohérence lorsque clé métier et clé technique coexistent.</w:t>
      </w:r>
    </w:p>
    <w:p>
      <w:pPr>
        <w:pStyle w:val="ListBullet"/>
      </w:pPr>
      <w:r>
        <w:t>Revenir à une couche RAW non normalisée et créer une table STAGING normalisée.</w:t>
      </w:r>
    </w:p>
    <w:p>
      <w:pPr>
        <w:pStyle w:val="ListBullet"/>
      </w:pPr>
      <w:r>
        <w:t>Migrer les 15 événements RAW vers STAGING en conservant leur identité d'origine.</w:t>
      </w:r>
    </w:p>
    <w:p>
      <w:pPr>
        <w:pStyle w:val="Heading1"/>
      </w:pPr>
      <w:r>
        <w:t>2. État initial validé</w:t>
      </w:r>
    </w:p>
    <w:p>
      <w:r>
        <w:t>Le dépôt Git était propre et synchronisé avec origin/main. La base utilisée est sql_training sous PostgreSQL 17.5.</w:t>
      </w:r>
    </w:p>
    <w:p>
      <w:r>
        <w:t>Dataset RAW de référence :</w:t>
      </w:r>
    </w:p>
    <w:p>
      <w:pPr>
        <w:pStyle w:val="ListBullet"/>
      </w:pPr>
      <w:r>
        <w:t>`total_rows = 15`</w:t>
      </w:r>
    </w:p>
    <w:p>
      <w:pPr>
        <w:pStyle w:val="ListBullet"/>
      </w:pPr>
      <w:r>
        <w:t>`source_count = 4`</w:t>
      </w:r>
    </w:p>
    <w:p>
      <w:pPr>
        <w:pStyle w:val="ListBullet"/>
      </w:pPr>
      <w:r>
        <w:t>`event_type_count = 6`</w:t>
      </w:r>
    </w:p>
    <w:p>
      <w:pPr>
        <w:pStyle w:val="ListBullet"/>
      </w:pPr>
      <w:r>
        <w:t>`min_event_id = 1`</w:t>
      </w:r>
    </w:p>
    <w:p>
      <w:pPr>
        <w:pStyle w:val="ListBullet"/>
      </w:pPr>
      <w:r>
        <w:t>`max_event_id = 18`</w:t>
      </w:r>
    </w:p>
    <w:p>
      <w:pPr>
        <w:pStyle w:val="ListBullet"/>
      </w:pPr>
      <w:r>
        <w:t>`total_value = 1583.40`</w:t>
      </w:r>
    </w:p>
    <w:p>
      <w:r>
        <w:t>La table raw.training_events possédait initialement event_id comme clé primaire.</w:t>
      </w:r>
    </w:p>
    <w:p>
      <w:pPr>
        <w:pStyle w:val="Heading1"/>
      </w:pPr>
      <w:r>
        <w:t>3. Notions étudiées</w:t>
      </w:r>
    </w:p>
    <w:p>
      <w:pPr>
        <w:pStyle w:val="Heading2"/>
      </w:pPr>
      <w:r>
        <w:t>PRIMARY KEY</w:t>
      </w:r>
    </w:p>
    <w:p>
      <w:r>
        <w:t>Une clé primaire identifie de manière unique chaque ligne d'une table.</w:t>
      </w:r>
    </w:p>
    <w:p>
      <w:pPr>
        <w:pStyle w:val="Heading2"/>
      </w:pPr>
      <w:r>
        <w:t>UNIQUE</w:t>
      </w:r>
    </w:p>
    <w:p>
      <w:r>
        <w:t>Une contrainte UNIQUE empêche plusieurs lignes de partager la même valeur pour une clé métier comme source_code.</w:t>
      </w:r>
    </w:p>
    <w:p>
      <w:pPr>
        <w:pStyle w:val="Heading2"/>
      </w:pPr>
      <w:r>
        <w:t>Clé métier et clé technique</w:t>
      </w:r>
    </w:p>
    <w:p>
      <w:r>
        <w:t>source_code représente l'identité métier de la source et est connue avant stockage. source_id est une clé technique générée automatiquement et adaptée aux relations entre tables.</w:t>
      </w:r>
    </w:p>
    <w:p>
      <w:pPr>
        <w:pStyle w:val="Heading2"/>
      </w:pPr>
      <w:r>
        <w:t>FOREIGN KEY</w:t>
      </w:r>
    </w:p>
    <w:p>
      <w:r>
        <w:t>Une clé étrangère assure l'intégrité référentielle : une valeur référencée dans la table enfant doit exister dans la table parent.</w:t>
      </w:r>
    </w:p>
    <w:p>
      <w:pPr>
        <w:pStyle w:val="Heading2"/>
      </w:pPr>
      <w:r>
        <w:t>JOIN</w:t>
      </w:r>
    </w:p>
    <w:p>
      <w:r>
        <w:t>Un JOIN est une opération effectuée lors d'une requête afin de relier les lignes de plusieurs tables selon une condition.</w:t>
      </w:r>
    </w:p>
    <w:p>
      <w:pPr>
        <w:pStyle w:val="Heading2"/>
      </w:pPr>
      <w:r>
        <w:t>Backfill</w:t>
      </w:r>
    </w:p>
    <w:p>
      <w:r>
        <w:t>Le backfill consiste à renseigner une nouvelle colonne pour les lignes historiques avant de lui appliquer des contraintes plus strictes.</w:t>
      </w:r>
    </w:p>
    <w:p>
      <w:pPr>
        <w:pStyle w:val="Heading2"/>
      </w:pPr>
      <w:r>
        <w:t>RAW et STAGING</w:t>
      </w:r>
    </w:p>
    <w:p>
      <w:r>
        <w:t>La couche RAW conserve la donnée telle qu'elle a été reçue, notamment source_system. La couche STAGING peut porter une structure normalisée et contrôlée, notamment source_id.</w:t>
      </w:r>
    </w:p>
    <w:p>
      <w:pPr>
        <w:pStyle w:val="Heading1"/>
      </w:pPr>
      <w:r>
        <w:t>4. Création du référentiel des systèmes sources</w:t>
      </w:r>
    </w:p>
    <w:p>
      <w:r>
        <w:t>Table créée :</w:t>
      </w:r>
    </w:p>
    <w:p>
      <w:pPr>
        <w:spacing w:before="40" w:after="80"/>
      </w:pPr>
      <w:r>
        <w:rPr>
          <w:rFonts w:ascii="Consolas" w:hAnsi="Consolas"/>
          <w:sz w:val="16"/>
        </w:rPr>
        <w:t>CREATE TABLE analytics.source_systems (</w:t>
        <w:br/>
        <w:t xml:space="preserve">    source_id BIGINT GENERATED ALWAYS AS IDENTITY,</w:t>
        <w:br/>
        <w:t xml:space="preserve">    source_code VARCHAR(100) NOT NULL,</w:t>
        <w:br/>
        <w:t xml:space="preserve">    source_name VARCHAR(100) NOT NULL,</w:t>
        <w:br/>
        <w:t xml:space="preserve">    source_category VARCHAR(50) NOT NULL,</w:t>
        <w:br/>
        <w:t xml:space="preserve">    is_active BOOLEAN NOT NULL DEFAULT TRUE,</w:t>
        <w:br/>
        <w:br/>
        <w:t xml:space="preserve">    CONSTRAINT source_systems_pkey</w:t>
        <w:br/>
        <w:t xml:space="preserve">        PRIMARY KEY (source_id),</w:t>
        <w:br/>
        <w:br/>
        <w:t xml:space="preserve">    CONSTRAINT source_systems_source_code_key</w:t>
        <w:br/>
        <w:t xml:space="preserve">        UNIQUE (source_code)</w:t>
        <w:br/>
        <w:t>);</w:t>
      </w:r>
    </w:p>
    <w:p>
      <w:r>
        <w:t>Un test avec test_system a confirmé :</w:t>
      </w:r>
    </w:p>
    <w:p>
      <w:pPr>
        <w:pStyle w:val="ListBullet"/>
      </w:pPr>
      <w:r>
        <w:t>`source_id = 1`</w:t>
      </w:r>
    </w:p>
    <w:p>
      <w:pPr>
        <w:pStyle w:val="ListBullet"/>
      </w:pPr>
      <w:r>
        <w:t>`is_active = TRUE`</w:t>
      </w:r>
    </w:p>
    <w:p>
      <w:pPr>
        <w:pStyle w:val="ListBullet"/>
      </w:pPr>
      <w:r>
        <w:t>le second `INSERT` identique échoue avec une violation de `source_systems_source_code_key`</w:t>
      </w:r>
    </w:p>
    <w:p>
      <w:pPr>
        <w:pStyle w:val="ListBullet"/>
      </w:pPr>
      <w:r>
        <w:t>une seule ligne subsiste.</w:t>
      </w:r>
    </w:p>
    <w:p>
      <w:r>
        <w:t>Le test a ensuite été supprimé avant le chargement métier.</w:t>
      </w:r>
    </w:p>
    <w:p>
      <w:pPr>
        <w:pStyle w:val="Heading1"/>
      </w:pPr>
      <w:r>
        <w:t>5. Chargement du référentiel</w:t>
      </w:r>
    </w:p>
    <w:p>
      <w:r>
        <w:t>Les quatre systèmes sources ont été chargés :</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source_id</w:t>
            </w:r>
          </w:p>
        </w:tc>
        <w:tc>
          <w:tcPr>
            <w:tcW w:type="dxa" w:w="2556"/>
          </w:tcPr>
          <w:p>
            <w:r>
              <w:rPr>
                <w:b/>
              </w:rPr>
              <w:t>source_code</w:t>
            </w:r>
          </w:p>
        </w:tc>
        <w:tc>
          <w:tcPr>
            <w:tcW w:type="dxa" w:w="2556"/>
          </w:tcPr>
          <w:p>
            <w:r>
              <w:rPr>
                <w:b/>
              </w:rPr>
              <w:t>source_name</w:t>
            </w:r>
          </w:p>
        </w:tc>
        <w:tc>
          <w:tcPr>
            <w:tcW w:type="dxa" w:w="2556"/>
          </w:tcPr>
          <w:p>
            <w:r>
              <w:rPr>
                <w:b/>
              </w:rPr>
              <w:t>catégorie</w:t>
            </w:r>
          </w:p>
        </w:tc>
      </w:tr>
      <w:tr>
        <w:tc>
          <w:tcPr>
            <w:tcW w:type="dxa" w:w="2556"/>
          </w:tcPr>
          <w:p>
            <w:r>
              <w:t>3</w:t>
            </w:r>
          </w:p>
        </w:tc>
        <w:tc>
          <w:tcPr>
            <w:tcW w:type="dxa" w:w="2556"/>
          </w:tcPr>
          <w:p>
            <w:r>
              <w:t>manual_psql</w:t>
            </w:r>
          </w:p>
        </w:tc>
        <w:tc>
          <w:tcPr>
            <w:tcW w:type="dxa" w:w="2556"/>
          </w:tcPr>
          <w:p>
            <w:r>
              <w:t>Manual PSQL</w:t>
            </w:r>
          </w:p>
        </w:tc>
        <w:tc>
          <w:tcPr>
            <w:tcW w:type="dxa" w:w="2556"/>
          </w:tcPr>
          <w:p>
            <w:r>
              <w:t>training</w:t>
            </w:r>
          </w:p>
        </w:tc>
      </w:tr>
      <w:tr>
        <w:tc>
          <w:tcPr>
            <w:tcW w:type="dxa" w:w="2556"/>
          </w:tcPr>
          <w:p>
            <w:r>
              <w:t>4</w:t>
            </w:r>
          </w:p>
        </w:tc>
        <w:tc>
          <w:tcPr>
            <w:tcW w:type="dxa" w:w="2556"/>
          </w:tcPr>
          <w:p>
            <w:r>
              <w:t>microgrid_poc</w:t>
            </w:r>
          </w:p>
        </w:tc>
        <w:tc>
          <w:tcPr>
            <w:tcW w:type="dxa" w:w="2556"/>
          </w:tcPr>
          <w:p>
            <w:r>
              <w:t>Microgrid POC</w:t>
            </w:r>
          </w:p>
        </w:tc>
        <w:tc>
          <w:tcPr>
            <w:tcW w:type="dxa" w:w="2556"/>
          </w:tcPr>
          <w:p>
            <w:r>
              <w:t>energy</w:t>
            </w:r>
          </w:p>
        </w:tc>
      </w:tr>
      <w:tr>
        <w:tc>
          <w:tcPr>
            <w:tcW w:type="dxa" w:w="2556"/>
          </w:tcPr>
          <w:p>
            <w:r>
              <w:t>5</w:t>
            </w:r>
          </w:p>
        </w:tc>
        <w:tc>
          <w:tcPr>
            <w:tcW w:type="dxa" w:w="2556"/>
          </w:tcPr>
          <w:p>
            <w:r>
              <w:t>sensor_gateway</w:t>
            </w:r>
          </w:p>
        </w:tc>
        <w:tc>
          <w:tcPr>
            <w:tcW w:type="dxa" w:w="2556"/>
          </w:tcPr>
          <w:p>
            <w:r>
              <w:t>Sensor Gateway</w:t>
            </w:r>
          </w:p>
        </w:tc>
        <w:tc>
          <w:tcPr>
            <w:tcW w:type="dxa" w:w="2556"/>
          </w:tcPr>
          <w:p>
            <w:r>
              <w:t>iot</w:t>
            </w:r>
          </w:p>
        </w:tc>
      </w:tr>
      <w:tr>
        <w:tc>
          <w:tcPr>
            <w:tcW w:type="dxa" w:w="2556"/>
          </w:tcPr>
          <w:p>
            <w:r>
              <w:t>6</w:t>
            </w:r>
          </w:p>
        </w:tc>
        <w:tc>
          <w:tcPr>
            <w:tcW w:type="dxa" w:w="2556"/>
          </w:tcPr>
          <w:p>
            <w:r>
              <w:t>tomra_training</w:t>
            </w:r>
          </w:p>
        </w:tc>
        <w:tc>
          <w:tcPr>
            <w:tcW w:type="dxa" w:w="2556"/>
          </w:tcPr>
          <w:p>
            <w:r>
              <w:t>TOMRA Training</w:t>
            </w:r>
          </w:p>
        </w:tc>
        <w:tc>
          <w:tcPr>
            <w:tcW w:type="dxa" w:w="2556"/>
          </w:tcPr>
          <w:p>
            <w:r>
              <w:t>industrial</w:t>
            </w:r>
          </w:p>
        </w:tc>
      </w:tr>
    </w:tbl>
    <w:p>
      <w:r>
        <w:t>Validation :</w:t>
      </w:r>
    </w:p>
    <w:p>
      <w:pPr>
        <w:pStyle w:val="ListBullet"/>
      </w:pPr>
      <w:r>
        <w:t>systèmes = 4</w:t>
      </w:r>
    </w:p>
    <w:p>
      <w:pPr>
        <w:pStyle w:val="ListBullet"/>
      </w:pPr>
      <w:r>
        <w:t>codes distincts = 4</w:t>
      </w:r>
    </w:p>
    <w:p>
      <w:pPr>
        <w:pStyle w:val="ListBullet"/>
      </w:pPr>
      <w:r>
        <w:t>systèmes actifs = 4</w:t>
      </w:r>
    </w:p>
    <w:p>
      <w:pPr>
        <w:pStyle w:val="ListBullet"/>
      </w:pPr>
      <w:r>
        <w:t>premier `source_id = 3`</w:t>
      </w:r>
    </w:p>
    <w:p>
      <w:pPr>
        <w:pStyle w:val="ListBullet"/>
      </w:pPr>
      <w:r>
        <w:t>dernier `source_id = 6`</w:t>
      </w:r>
    </w:p>
    <w:p>
      <w:r>
        <w:t>Les identifiants 1 et 2 non réutilisés illustrent le comportement normal d'une séquence/IDENTITY PostgreSQL : la suppression ou l'échec d'une opération ne garantit pas la réutilisation des valeurs.</w:t>
      </w:r>
    </w:p>
    <w:p>
      <w:pPr>
        <w:pStyle w:val="Heading1"/>
      </w:pPr>
      <w:r>
        <w:t>6. Premier JOIN de validation</w:t>
      </w:r>
    </w:p>
    <w:p>
      <w:r>
        <w:t>Le INNER JOIN entre raw.training_events.source_system et analytics.source_systems.source_code a retourné les 15 événements.</w:t>
      </w:r>
    </w:p>
    <w:p>
      <w:r>
        <w:t>Résultats observés :</w:t>
      </w:r>
    </w:p>
    <w:p>
      <w:pPr>
        <w:pStyle w:val="ListBullet"/>
      </w:pPr>
      <w:r>
        <w:t>nombre de lignes = 15</w:t>
      </w:r>
    </w:p>
    <w:p>
      <w:pPr>
        <w:pStyle w:val="ListBullet"/>
      </w:pPr>
      <w:r>
        <w:t>premier `event_id = 1`</w:t>
      </w:r>
    </w:p>
    <w:p>
      <w:pPr>
        <w:pStyle w:val="ListBullet"/>
      </w:pPr>
      <w:r>
        <w:t>premier `source_name = Manual PSQL`</w:t>
      </w:r>
    </w:p>
    <w:p>
      <w:pPr>
        <w:pStyle w:val="ListBullet"/>
      </w:pPr>
      <w:r>
        <w:t>dernier `event_id = 18`</w:t>
      </w:r>
    </w:p>
    <w:p>
      <w:pPr>
        <w:pStyle w:val="ListBullet"/>
      </w:pPr>
      <w:r>
        <w:t>dernier `source_name = Microgrid POC`</w:t>
      </w:r>
    </w:p>
    <w:p>
      <w:pPr>
        <w:pStyle w:val="Heading1"/>
      </w:pPr>
      <w:r>
        <w:t>7. Contrôle des orphelins</w:t>
      </w:r>
    </w:p>
    <w:p>
      <w:r>
        <w:t>Un LEFT JOIN suivi de WHERE ss.source_id IS NULL a été utilisé pour rechercher des sources RAW sans correspondance dans le référentiel.</w:t>
      </w:r>
    </w:p>
    <w:p>
      <w:r>
        <w:t>Résultat :</w:t>
      </w:r>
    </w:p>
    <w:p>
      <w:pPr>
        <w:spacing w:before="40" w:after="80"/>
      </w:pPr>
      <w:r>
        <w:rPr>
          <w:rFonts w:ascii="Consolas" w:hAnsi="Consolas"/>
          <w:sz w:val="16"/>
        </w:rPr>
        <w:t>orphan_events = 0</w:t>
      </w:r>
    </w:p>
    <w:p>
      <w:r>
        <w:t>La migration pouvait donc être préparée sans perte de lignes due à une source inconnue.</w:t>
      </w:r>
    </w:p>
    <w:p>
      <w:pPr>
        <w:pStyle w:val="Heading1"/>
      </w:pPr>
      <w:r>
        <w:t>8. Expérience de migration dans RAW : ajout et backfill de source_id</w:t>
      </w:r>
    </w:p>
    <w:p>
      <w:r>
        <w:t>Une colonne temporaire a été ajoutée :</w:t>
      </w:r>
    </w:p>
    <w:p>
      <w:pPr>
        <w:spacing w:before="40" w:after="80"/>
      </w:pPr>
      <w:r>
        <w:rPr>
          <w:rFonts w:ascii="Consolas" w:hAnsi="Consolas"/>
          <w:sz w:val="16"/>
        </w:rPr>
        <w:t>ALTER TABLE raw.training_events</w:t>
        <w:br/>
        <w:t>ADD COLUMN source_id BIGINT;</w:t>
      </w:r>
    </w:p>
    <w:p>
      <w:r>
        <w:t>Avant backfill :</w:t>
      </w:r>
    </w:p>
    <w:p>
      <w:pPr>
        <w:pStyle w:val="ListBullet"/>
      </w:pPr>
      <w:r>
        <w:t>15 lignes</w:t>
      </w:r>
    </w:p>
    <w:p>
      <w:pPr>
        <w:pStyle w:val="ListBullet"/>
      </w:pPr>
      <w:r>
        <w:t>`source_id` à `NULL`</w:t>
      </w:r>
    </w:p>
    <w:p>
      <w:pPr>
        <w:pStyle w:val="ListBullet"/>
      </w:pPr>
      <w:r>
        <w:t>appliquer immédiatement `NOT NULL` aurait provoqué une erreur.</w:t>
      </w:r>
    </w:p>
    <w:p>
      <w:r>
        <w:t>Backfill :</w:t>
      </w:r>
    </w:p>
    <w:p>
      <w:pPr>
        <w:spacing w:before="40" w:after="80"/>
      </w:pPr>
      <w:r>
        <w:rPr>
          <w:rFonts w:ascii="Consolas" w:hAnsi="Consolas"/>
          <w:sz w:val="16"/>
        </w:rPr>
        <w:t>UPDATE raw.training_events AS te</w:t>
        <w:br/>
        <w:t>SET source_id = ss.source_id</w:t>
        <w:br/>
        <w:t>FROM analytics.source_systems AS ss</w:t>
        <w:br/>
        <w:t>WHERE te.source_system = ss.source_code;</w:t>
      </w:r>
    </w:p>
    <w:p>
      <w:r>
        <w:t>Résultat :</w:t>
      </w:r>
    </w:p>
    <w:p>
      <w:pPr>
        <w:spacing w:before="40" w:after="80"/>
      </w:pPr>
      <w:r>
        <w:rPr>
          <w:rFonts w:ascii="Consolas" w:hAnsi="Consolas"/>
          <w:sz w:val="16"/>
        </w:rPr>
        <w:t>UPDATE 15</w:t>
        <w:br/>
        <w:t>manual_psql    -&gt; source_id = 3</w:t>
        <w:br/>
        <w:t>microgrid_poc  -&gt; source_id = 4</w:t>
        <w:br/>
        <w:t>sensor_gateway -&gt; source_id = 5</w:t>
        <w:br/>
        <w:t>tomra_training -&gt; source_id = 6</w:t>
      </w:r>
    </w:p>
    <w:p>
      <w:r>
        <w:t>Contrôle :</w:t>
      </w:r>
    </w:p>
    <w:p>
      <w:pPr>
        <w:pStyle w:val="ListBullet"/>
      </w:pPr>
      <w:r>
        <w:t>`total_rows = 15`</w:t>
      </w:r>
    </w:p>
    <w:p>
      <w:pPr>
        <w:pStyle w:val="ListBullet"/>
      </w:pPr>
      <w:r>
        <w:t>`rows_with_source_id = 15`</w:t>
      </w:r>
    </w:p>
    <w:p>
      <w:pPr>
        <w:pStyle w:val="ListBullet"/>
      </w:pPr>
      <w:r>
        <w:t>`null_source_ids = 0`</w:t>
      </w:r>
    </w:p>
    <w:p>
      <w:pPr>
        <w:pStyle w:val="ListBullet"/>
      </w:pPr>
      <w:r>
        <w:t>`distinct_source_ids = 4`</w:t>
      </w:r>
    </w:p>
    <w:p>
      <w:r>
        <w:t>Après ce backfill, source_id a pu être passé en NOT NULL.</w:t>
      </w:r>
    </w:p>
    <w:p>
      <w:pPr>
        <w:pStyle w:val="Heading1"/>
      </w:pPr>
      <w:r>
        <w:t>9. FOREIGN KEY et tests d'intégrité</w:t>
      </w:r>
    </w:p>
    <w:p>
      <w:r>
        <w:t>Contrainte ajoutée :</w:t>
      </w:r>
    </w:p>
    <w:p>
      <w:pPr>
        <w:spacing w:before="40" w:after="80"/>
      </w:pPr>
      <w:r>
        <w:rPr>
          <w:rFonts w:ascii="Consolas" w:hAnsi="Consolas"/>
          <w:sz w:val="16"/>
        </w:rPr>
        <w:t>ALTER TABLE raw.training_events</w:t>
        <w:br/>
        <w:t>ADD CONSTRAINT training_events_source_id_fkey</w:t>
        <w:br/>
        <w:t>FOREIGN KEY (source_id)</w:t>
        <w:br/>
        <w:t>REFERENCES analytics.source_systems(source_id);</w:t>
      </w:r>
    </w:p>
    <w:p>
      <w:r>
        <w:t>Un test transactionnel avec source_id = 999999 a échoué comme attendu :</w:t>
      </w:r>
    </w:p>
    <w:p>
      <w:pPr>
        <w:spacing w:before="40" w:after="80"/>
      </w:pPr>
      <w:r>
        <w:rPr>
          <w:rFonts w:ascii="Consolas" w:hAnsi="Consolas"/>
          <w:sz w:val="16"/>
        </w:rPr>
        <w:t>ERROR: insert or update on table "training_events"</w:t>
        <w:br/>
        <w:t>violates foreign key constraint "training_events_source_id_fkey"</w:t>
      </w:r>
    </w:p>
    <w:p>
      <w:r>
        <w:t>La transaction a été annulée et le dataset est resté à 15 lignes.</w:t>
      </w:r>
    </w:p>
    <w:p>
      <w:r>
        <w:t>Un second test avec source_id = 4 a réussi temporairement dans une transaction, faisant passer le total à 16 lignes, puis ROLLBACK a restauré les 15 lignes.</w:t>
      </w:r>
    </w:p>
    <w:p>
      <w:pPr>
        <w:pStyle w:val="Heading1"/>
      </w:pPr>
      <w:r>
        <w:t>10. Mise en évidence du risque de redondance</w:t>
      </w:r>
    </w:p>
    <w:p>
      <w:r>
        <w:t>Une ligne de test a volontairement utilisé :</w:t>
      </w:r>
    </w:p>
    <w:p>
      <w:pPr>
        <w:pStyle w:val="ListBullet"/>
      </w:pPr>
      <w:r>
        <w:t>`source_system = 'sensor_gateway'`</w:t>
      </w:r>
    </w:p>
    <w:p>
      <w:pPr>
        <w:pStyle w:val="ListBullet"/>
      </w:pPr>
      <w:r>
        <w:t>`source_id = 4`</w:t>
      </w:r>
    </w:p>
    <w:p>
      <w:r>
        <w:t>Or source_id = 4 référence microgrid_poc.</w:t>
      </w:r>
    </w:p>
    <w:p>
      <w:r>
        <w:t>La contrainte FK seule accepte cette ligne parce que 4 existe bien dans la table parent. Le JOIN par source_id montre alors :</w:t>
      </w:r>
    </w:p>
    <w:p>
      <w:pPr>
        <w:spacing w:before="40" w:after="80"/>
      </w:pPr>
      <w:r>
        <w:rPr>
          <w:rFonts w:ascii="Consolas" w:hAnsi="Consolas"/>
          <w:sz w:val="16"/>
        </w:rPr>
        <w:t>event_source_system = sensor_gateway</w:t>
        <w:br/>
        <w:t>referenced_source_code = microgrid_poc</w:t>
      </w:r>
    </w:p>
    <w:p>
      <w:r>
        <w:t>Conclusion : stocker simultanément une clé métier textuelle et une clé technique sans contrainte de cohérence peut créer deux vérités contradictoires. La transaction a été annulée.</w:t>
      </w:r>
    </w:p>
    <w:p>
      <w:pPr>
        <w:pStyle w:val="Heading1"/>
      </w:pPr>
      <w:r>
        <w:t>11. Décision de modélisation</w:t>
      </w:r>
    </w:p>
    <w:p>
      <w:r>
        <w:t>Décision retenue :</w:t>
      </w:r>
    </w:p>
    <w:p>
      <w:pPr>
        <w:ind w:left="432"/>
      </w:pPr>
      <w:r>
        <w:rPr>
          <w:i/>
        </w:rPr>
        <w:t>Conserver `raw.training_events` dans sa forme RAW avec `source_system`, et créer une table normalisée des événements dans `staging`.</w:t>
      </w:r>
    </w:p>
    <w:p>
      <w:r>
        <w:t>La colonne expérimentale source_id a donc été retirée de RAW :</w:t>
      </w:r>
    </w:p>
    <w:p>
      <w:pPr>
        <w:spacing w:before="40" w:after="80"/>
      </w:pPr>
      <w:r>
        <w:rPr>
          <w:rFonts w:ascii="Consolas" w:hAnsi="Consolas"/>
          <w:sz w:val="16"/>
        </w:rPr>
        <w:t>ALTER TABLE raw.training_events</w:t>
        <w:br/>
        <w:t>DROP COLUMN source_id;</w:t>
      </w:r>
    </w:p>
    <w:p>
      <w:r>
        <w:t>Le dataset RAW a été revérifié : 15 lignes, données métier intactes.</w:t>
      </w:r>
    </w:p>
    <w:p>
      <w:pPr>
        <w:pStyle w:val="Heading1"/>
      </w:pPr>
      <w:r>
        <w:t>12. Création de staging.training_events</w:t>
      </w:r>
    </w:p>
    <w:p>
      <w:r>
        <w:t>DDL final :</w:t>
      </w:r>
    </w:p>
    <w:p>
      <w:pPr>
        <w:spacing w:before="40" w:after="80"/>
      </w:pPr>
      <w:r>
        <w:rPr>
          <w:rFonts w:ascii="Consolas" w:hAnsi="Consolas"/>
          <w:sz w:val="16"/>
        </w:rPr>
        <w:t>CREATE TABLE staging.training_events (</w:t>
        <w:br/>
        <w:t xml:space="preserve">    event_id BIGINT NOT NULL,</w:t>
        <w:br/>
        <w:t xml:space="preserve">    source_id BIGINT NOT NULL,</w:t>
        <w:br/>
        <w:t xml:space="preserve">    event_type VARCHAR(50) NOT NULL,</w:t>
        <w:br/>
        <w:t xml:space="preserve">    event_value NUMERIC(12,2),</w:t>
        <w:br/>
        <w:t xml:space="preserve">    event_timestamp TIMESTAMPTZ NOT NULL,</w:t>
        <w:br/>
        <w:t xml:space="preserve">    ingested_at TIMESTAMPTZ NOT NULL,</w:t>
        <w:br/>
        <w:br/>
        <w:t xml:space="preserve">    CONSTRAINT staging_training_events_pkey</w:t>
        <w:br/>
        <w:t xml:space="preserve">        PRIMARY KEY (event_id),</w:t>
        <w:br/>
        <w:br/>
        <w:t xml:space="preserve">    CONSTRAINT staging_training_events_source_id_fkey</w:t>
        <w:br/>
        <w:t xml:space="preserve">        FOREIGN KEY (source_id)</w:t>
        <w:br/>
        <w:t xml:space="preserve">        REFERENCES analytics.source_systems(source_id)</w:t>
        <w:br/>
        <w:t>);</w:t>
      </w:r>
    </w:p>
    <w:p>
      <w:r>
        <w:t>event_id n'est pas GENERATED ALWAYS AS IDENTITY dans STAGING : il s'agit de l'identifiant original déjà créé dans RAW. Sa conservation assure la traçabilité de l'événement entre couches.</w:t>
      </w:r>
    </w:p>
    <w:p>
      <w:r>
        <w:t>La table était vide immédiatement après création : 0 rows.</w:t>
      </w:r>
    </w:p>
    <w:p>
      <w:pPr>
        <w:pStyle w:val="Heading1"/>
      </w:pPr>
      <w:r>
        <w:t>13. J15-18 — Migration RAW → STAGING</w:t>
      </w:r>
    </w:p>
    <w:p>
      <w:r>
        <w:t>Requête exécutée :</w:t>
      </w:r>
    </w:p>
    <w:p>
      <w:pPr>
        <w:spacing w:before="40" w:after="80"/>
      </w:pPr>
      <w:r>
        <w:rPr>
          <w:rFonts w:ascii="Consolas" w:hAnsi="Consolas"/>
          <w:sz w:val="16"/>
        </w:rPr>
        <w:t>INSERT INTO staging.training_events (</w:t>
        <w:br/>
        <w:t xml:space="preserve">    event_id,</w:t>
        <w:br/>
        <w:t xml:space="preserve">    source_id,</w:t>
        <w:br/>
        <w:t xml:space="preserve">    event_type,</w:t>
        <w:br/>
        <w:t xml:space="preserve">    event_value,</w:t>
        <w:br/>
        <w:t xml:space="preserve">    event_timestamp,</w:t>
        <w:br/>
        <w:t xml:space="preserve">    ingested_at</w:t>
        <w:br/>
        <w:t>)</w:t>
        <w:br/>
        <w:t>SELECT</w:t>
        <w:br/>
        <w:t xml:space="preserve">    te.event_id,</w:t>
        <w:br/>
        <w:t xml:space="preserve">    ss.source_id,</w:t>
        <w:br/>
        <w:t xml:space="preserve">    te.event_type,</w:t>
        <w:br/>
        <w:t xml:space="preserve">    te.event_value,</w:t>
        <w:br/>
        <w:t xml:space="preserve">    te.event_timestamp,</w:t>
        <w:br/>
        <w:t xml:space="preserve">    te.ingested_at</w:t>
        <w:br/>
        <w:t>FROM raw.training_events AS te</w:t>
        <w:br/>
        <w:t>INNER JOIN analytics.source_systems AS ss</w:t>
        <w:br/>
        <w:t xml:space="preserve">    ON te.source_system = ss.source_code</w:t>
        <w:br/>
        <w:t>ORDER BY te.event_id ASC;</w:t>
      </w:r>
    </w:p>
    <w:p>
      <w:r>
        <w:t>Résultat :</w:t>
      </w:r>
    </w:p>
    <w:p>
      <w:pPr>
        <w:spacing w:before="40" w:after="80"/>
      </w:pPr>
      <w:r>
        <w:rPr>
          <w:rFonts w:ascii="Consolas" w:hAnsi="Consolas"/>
          <w:sz w:val="16"/>
        </w:rPr>
        <w:t>INSERT 0 15</w:t>
      </w:r>
    </w:p>
    <w:p>
      <w:r>
        <w:t>Validation finale :</w:t>
      </w:r>
    </w:p>
    <w:p>
      <w:pPr>
        <w:spacing w:before="40" w:after="80"/>
      </w:pPr>
      <w:r>
        <w:rPr>
          <w:rFonts w:ascii="Consolas" w:hAnsi="Consolas"/>
          <w:sz w:val="16"/>
        </w:rPr>
        <w:t>total_rows          = 15</w:t>
        <w:br/>
        <w:t>rows_with_source_id = 15</w:t>
        <w:br/>
        <w:t>null_source_ids     = 0</w:t>
        <w:br/>
        <w:t>distinct_source_ids = 4</w:t>
        <w:br/>
        <w:t>min_event_id        = 1</w:t>
        <w:br/>
        <w:t>max_event_id        = 18</w:t>
      </w:r>
    </w:p>
    <w:p>
      <w:r>
        <w:t>Le JOIN de contrôle STAGING → référentiel a restitué les 15 événements avec leur source_code, source_name, event_type et event_value.</w:t>
      </w:r>
    </w:p>
    <w:p>
      <w:pPr>
        <w:pStyle w:val="Heading1"/>
      </w:pPr>
      <w:r>
        <w:t>14. Erreurs, corrections et apprentissages</w:t>
      </w:r>
    </w:p>
    <w:p>
      <w:pPr>
        <w:pStyle w:val="Heading2"/>
      </w:pPr>
      <w:r>
        <w:t>Double déclaration potentielle de PRIMARY KEY</w:t>
      </w:r>
    </w:p>
    <w:p>
      <w:r>
        <w:t>Lors de la préparation du DDL STAGING, event_id BIGINT NOT NULL PRIMARY KEY et une contrainte nommée PRIMARY KEY(event_id) ne devaient pas être utilisées simultanément. La version finale conserve la contrainte nommée.</w:t>
      </w:r>
    </w:p>
    <w:p>
      <w:pPr>
        <w:pStyle w:val="Heading2"/>
      </w:pPr>
      <w:r>
        <w:t>DEFAULT de ingested_at</w:t>
      </w:r>
    </w:p>
    <w:p>
      <w:r>
        <w:t>La forme TIMESTAMPTZ NOT NULL CURRENT_TIMESTAMP n'est pas une déclaration de valeur par défaut valide. Pour STAGING, aucun nouveau DEFAULT n'a été ajouté afin de recopier l'horodatage d'ingestion RAW.</w:t>
      </w:r>
    </w:p>
    <w:p>
      <w:pPr>
        <w:pStyle w:val="Heading2"/>
      </w:pPr>
      <w:r>
        <w:t>Qualification des colonnes dans le JOIN</w:t>
      </w:r>
    </w:p>
    <w:p>
      <w:r>
        <w:t>La requête de migration finale qualifie explicitement les colonnes : te.event_id, ss.source_id, etc. Cela documente leur provenance et évite les ambiguïtés.</w:t>
      </w:r>
    </w:p>
    <w:p>
      <w:pPr>
        <w:pStyle w:val="Heading2"/>
      </w:pPr>
      <w:r>
        <w:t>source_id et non source_code comme FK</w:t>
      </w:r>
    </w:p>
    <w:p>
      <w:r>
        <w:t>La clé primaire technique de la table parent (source_id) devient la clé étrangère de la table enfant. source_code reste une clé métier unique.</w:t>
      </w:r>
    </w:p>
    <w:p>
      <w:pPr>
        <w:pStyle w:val="Heading1"/>
      </w:pPr>
      <w:r>
        <w:t>15. Captures d'écran / preuves</w:t>
      </w:r>
    </w:p>
    <w:p>
      <w:r>
        <w:t>Captures importantes à conserver dans documentation/semaine-03/jour-15/captures/ :</w:t>
      </w:r>
    </w:p>
    <w:p>
      <w:pPr>
        <w:pStyle w:val="ListBullet"/>
      </w:pPr>
      <w:r>
        <w:t>validation environnement / dataset initial</w:t>
      </w:r>
    </w:p>
    <w:p>
      <w:pPr>
        <w:pStyle w:val="ListBullet"/>
      </w:pPr>
      <w:r>
        <w:t>structure de `raw.training_events`</w:t>
      </w:r>
    </w:p>
    <w:p>
      <w:pPr>
        <w:pStyle w:val="ListBullet"/>
      </w:pPr>
      <w:r>
        <w:t>création et structure de `analytics.source_systems`</w:t>
      </w:r>
    </w:p>
    <w:p>
      <w:pPr>
        <w:pStyle w:val="ListBullet"/>
      </w:pPr>
      <w:r>
        <w:t>test `UNIQUE` sur `source_code`</w:t>
      </w:r>
    </w:p>
    <w:p>
      <w:pPr>
        <w:pStyle w:val="ListBullet"/>
      </w:pPr>
      <w:r>
        <w:t>chargement des 4 systèmes sources</w:t>
      </w:r>
    </w:p>
    <w:p>
      <w:pPr>
        <w:pStyle w:val="ListBullet"/>
      </w:pPr>
      <w:r>
        <w:t>premier `INNER JOIN`</w:t>
      </w:r>
    </w:p>
    <w:p>
      <w:pPr>
        <w:pStyle w:val="ListBullet"/>
      </w:pPr>
      <w:r>
        <w:t>contrôle des événements orphelins</w:t>
      </w:r>
    </w:p>
    <w:p>
      <w:pPr>
        <w:pStyle w:val="ListBullet"/>
      </w:pPr>
      <w:r>
        <w:t>`J15-09_add-source-id-column-1.png`</w:t>
      </w:r>
    </w:p>
    <w:p>
      <w:pPr>
        <w:pStyle w:val="ListBullet"/>
      </w:pPr>
      <w:r>
        <w:t>`J15-09_add-source-id-column-2.png`</w:t>
      </w:r>
    </w:p>
    <w:p>
      <w:pPr>
        <w:pStyle w:val="ListBullet"/>
      </w:pPr>
      <w:r>
        <w:t>backfill de `source_id`</w:t>
      </w:r>
    </w:p>
    <w:p>
      <w:pPr>
        <w:pStyle w:val="ListBullet"/>
      </w:pPr>
      <w:r>
        <w:t>passage en `NOT NULL`</w:t>
      </w:r>
    </w:p>
    <w:p>
      <w:pPr>
        <w:pStyle w:val="ListBullet"/>
      </w:pPr>
      <w:r>
        <w:t>ajout/test de la `FOREIGN KEY`</w:t>
      </w:r>
    </w:p>
    <w:p>
      <w:pPr>
        <w:pStyle w:val="ListBullet"/>
      </w:pPr>
      <w:r>
        <w:t>test valide + `ROLLBACK`</w:t>
      </w:r>
    </w:p>
    <w:p>
      <w:pPr>
        <w:pStyle w:val="ListBullet"/>
      </w:pPr>
      <w:r>
        <w:t>test de redondance/incohérence</w:t>
      </w:r>
    </w:p>
    <w:p>
      <w:pPr>
        <w:pStyle w:val="ListBullet"/>
      </w:pPr>
      <w:r>
        <w:t>suppression de `source_id` dans RAW</w:t>
      </w:r>
    </w:p>
    <w:p>
      <w:pPr>
        <w:pStyle w:val="ListBullet"/>
      </w:pPr>
      <w:r>
        <w:t>`J15-17_create-staging-training-events.png`</w:t>
      </w:r>
    </w:p>
    <w:p>
      <w:pPr>
        <w:pStyle w:val="ListBullet"/>
      </w:pPr>
      <w:r>
        <w:t>`J15-18_raw-to-staging-migration.png`</w:t>
      </w:r>
    </w:p>
    <w:p>
      <w:pPr>
        <w:pStyle w:val="Heading1"/>
      </w:pPr>
      <w:r>
        <w:t>16. Challenge autonome et validation</w:t>
      </w:r>
    </w:p>
    <w:p>
      <w:r>
        <w:t>Le challenge a consisté à raisonner sur une migration progressive :</w:t>
      </w:r>
    </w:p>
    <w:p>
      <w:r>
        <w:t>1. créer un référentiel source ;</w:t>
      </w:r>
    </w:p>
    <w:p>
      <w:r>
        <w:t>2. vérifier l'unicité ;</w:t>
      </w:r>
    </w:p>
    <w:p>
      <w:r>
        <w:t>3. relier les données existantes ;</w:t>
      </w:r>
    </w:p>
    <w:p>
      <w:r>
        <w:t>4. rechercher les orphelins ;</w:t>
      </w:r>
    </w:p>
    <w:p>
      <w:r>
        <w:t>5. effectuer un backfill ;</w:t>
      </w:r>
    </w:p>
    <w:p>
      <w:r>
        <w:t>6. renforcer les contraintes ;</w:t>
      </w:r>
    </w:p>
    <w:p>
      <w:r>
        <w:t>7. tester les violations ;</w:t>
      </w:r>
    </w:p>
    <w:p>
      <w:r>
        <w:t>8. détecter le risque de redondance ;</w:t>
      </w:r>
    </w:p>
    <w:p>
      <w:r>
        <w:t>9. choisir la bonne couche pour la normalisation ;</w:t>
      </w:r>
    </w:p>
    <w:p>
      <w:r>
        <w:t>10. migrer RAW vers STAGING ;</w:t>
      </w:r>
    </w:p>
    <w:p>
      <w:r>
        <w:t>11. valider les KPI de qualité.</w:t>
      </w:r>
    </w:p>
    <w:p>
      <w:r>
        <w:t>Validation : réussie.</w:t>
      </w:r>
    </w:p>
    <w:p>
      <w:pPr>
        <w:pStyle w:val="Heading1"/>
      </w:pPr>
      <w:r>
        <w:t>17. KPI de progression J15</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KPI</w:t>
            </w:r>
          </w:p>
        </w:tc>
        <w:tc>
          <w:tcPr>
            <w:tcW w:type="dxa" w:w="5112"/>
          </w:tcPr>
          <w:p>
            <w:r>
              <w:rPr>
                <w:b/>
              </w:rPr>
              <w:t>Résultat</w:t>
            </w:r>
          </w:p>
        </w:tc>
      </w:tr>
      <w:tr>
        <w:tc>
          <w:tcPr>
            <w:tcW w:type="dxa" w:w="5112"/>
          </w:tcPr>
          <w:p>
            <w:r>
              <w:t>Lignes RAW préservées</w:t>
            </w:r>
          </w:p>
        </w:tc>
        <w:tc>
          <w:tcPr>
            <w:tcW w:type="dxa" w:w="5112"/>
          </w:tcPr>
          <w:p>
            <w:r>
              <w:t>15/15</w:t>
            </w:r>
          </w:p>
        </w:tc>
      </w:tr>
      <w:tr>
        <w:tc>
          <w:tcPr>
            <w:tcW w:type="dxa" w:w="5112"/>
          </w:tcPr>
          <w:p>
            <w:r>
              <w:t>Systèmes référencés</w:t>
            </w:r>
          </w:p>
        </w:tc>
        <w:tc>
          <w:tcPr>
            <w:tcW w:type="dxa" w:w="5112"/>
          </w:tcPr>
          <w:p>
            <w:r>
              <w:t>4/4</w:t>
            </w:r>
          </w:p>
        </w:tc>
      </w:tr>
      <w:tr>
        <w:tc>
          <w:tcPr>
            <w:tcW w:type="dxa" w:w="5112"/>
          </w:tcPr>
          <w:p>
            <w:r>
              <w:t>Codes sources distincts</w:t>
            </w:r>
          </w:p>
        </w:tc>
        <w:tc>
          <w:tcPr>
            <w:tcW w:type="dxa" w:w="5112"/>
          </w:tcPr>
          <w:p>
            <w:r>
              <w:t>4</w:t>
            </w:r>
          </w:p>
        </w:tc>
      </w:tr>
      <w:tr>
        <w:tc>
          <w:tcPr>
            <w:tcW w:type="dxa" w:w="5112"/>
          </w:tcPr>
          <w:p>
            <w:r>
              <w:t>Événements orphelins avant migration</w:t>
            </w:r>
          </w:p>
        </w:tc>
        <w:tc>
          <w:tcPr>
            <w:tcW w:type="dxa" w:w="5112"/>
          </w:tcPr>
          <w:p>
            <w:r>
              <w:t>0</w:t>
            </w:r>
          </w:p>
        </w:tc>
      </w:tr>
      <w:tr>
        <w:tc>
          <w:tcPr>
            <w:tcW w:type="dxa" w:w="5112"/>
          </w:tcPr>
          <w:p>
            <w:r>
              <w:t>Lignes migrées vers STAGING</w:t>
            </w:r>
          </w:p>
        </w:tc>
        <w:tc>
          <w:tcPr>
            <w:tcW w:type="dxa" w:w="5112"/>
          </w:tcPr>
          <w:p>
            <w:r>
              <w:t>15/15</w:t>
            </w:r>
          </w:p>
        </w:tc>
      </w:tr>
      <w:tr>
        <w:tc>
          <w:tcPr>
            <w:tcW w:type="dxa" w:w="5112"/>
          </w:tcPr>
          <w:p>
            <w:r>
              <w:t>`source_id` NULL dans STAGING</w:t>
            </w:r>
          </w:p>
        </w:tc>
        <w:tc>
          <w:tcPr>
            <w:tcW w:type="dxa" w:w="5112"/>
          </w:tcPr>
          <w:p>
            <w:r>
              <w:t>0</w:t>
            </w:r>
          </w:p>
        </w:tc>
      </w:tr>
      <w:tr>
        <w:tc>
          <w:tcPr>
            <w:tcW w:type="dxa" w:w="5112"/>
          </w:tcPr>
          <w:p>
            <w:r>
              <w:t>`source_id` distincts dans STAGING</w:t>
            </w:r>
          </w:p>
        </w:tc>
        <w:tc>
          <w:tcPr>
            <w:tcW w:type="dxa" w:w="5112"/>
          </w:tcPr>
          <w:p>
            <w:r>
              <w:t>4</w:t>
            </w:r>
          </w:p>
        </w:tc>
      </w:tr>
      <w:tr>
        <w:tc>
          <w:tcPr>
            <w:tcW w:type="dxa" w:w="5112"/>
          </w:tcPr>
          <w:p>
            <w:r>
              <w:t>Plage event_id préservée</w:t>
            </w:r>
          </w:p>
        </w:tc>
        <w:tc>
          <w:tcPr>
            <w:tcW w:type="dxa" w:w="5112"/>
          </w:tcPr>
          <w:p>
            <w:r>
              <w:t>1 à 18</w:t>
            </w:r>
          </w:p>
        </w:tc>
      </w:tr>
      <w:tr>
        <w:tc>
          <w:tcPr>
            <w:tcW w:type="dxa" w:w="5112"/>
          </w:tcPr>
          <w:p>
            <w:r>
              <w:t>Test FK invalide bloqué</w:t>
            </w:r>
          </w:p>
        </w:tc>
        <w:tc>
          <w:tcPr>
            <w:tcW w:type="dxa" w:w="5112"/>
          </w:tcPr>
          <w:p>
            <w:r>
              <w:t>Oui</w:t>
            </w:r>
          </w:p>
        </w:tc>
      </w:tr>
      <w:tr>
        <w:tc>
          <w:tcPr>
            <w:tcW w:type="dxa" w:w="5112"/>
          </w:tcPr>
          <w:p>
            <w:r>
              <w:t>Test transactionnel restauré</w:t>
            </w:r>
          </w:p>
        </w:tc>
        <w:tc>
          <w:tcPr>
            <w:tcW w:type="dxa" w:w="5112"/>
          </w:tcPr>
          <w:p>
            <w:r>
              <w:t>Oui</w:t>
            </w:r>
          </w:p>
        </w:tc>
      </w:tr>
      <w:tr>
        <w:tc>
          <w:tcPr>
            <w:tcW w:type="dxa" w:w="5112"/>
          </w:tcPr>
          <w:p>
            <w:r>
              <w:t>Incohérence de redondance démontrée</w:t>
            </w:r>
          </w:p>
        </w:tc>
        <w:tc>
          <w:tcPr>
            <w:tcW w:type="dxa" w:w="5112"/>
          </w:tcPr>
          <w:p>
            <w:r>
              <w:t>Oui</w:t>
            </w:r>
          </w:p>
        </w:tc>
      </w:tr>
    </w:tbl>
    <w:p>
      <w:pPr>
        <w:pStyle w:val="Heading1"/>
      </w:pPr>
      <w:r>
        <w:t>18. Git / commit de clôture</w:t>
      </w:r>
    </w:p>
    <w:p>
      <w:r>
        <w:t>Après placement du script, des captures et des trois rapports dans documentation/semaine-03/jour-15/, effectuer :</w:t>
      </w:r>
    </w:p>
    <w:p>
      <w:pPr>
        <w:spacing w:before="40" w:after="80"/>
      </w:pPr>
      <w:r>
        <w:rPr>
          <w:rFonts w:ascii="Consolas" w:hAnsi="Consolas"/>
          <w:sz w:val="16"/>
        </w:rPr>
        <w:t>git status --short</w:t>
        <w:br/>
        <w:t>git add .\documentation\semaine-03\jour-15\</w:t>
        <w:br/>
        <w:t>git status</w:t>
        <w:br/>
        <w:t>git diff --cached --stat</w:t>
        <w:br/>
        <w:t>git diff --cached --name-status</w:t>
      </w:r>
    </w:p>
    <w:p>
      <w:r>
        <w:t>Commit recommandé :</w:t>
      </w:r>
    </w:p>
    <w:p>
      <w:pPr>
        <w:spacing w:before="40" w:after="80"/>
      </w:pPr>
      <w:r>
        <w:rPr>
          <w:rFonts w:ascii="Consolas" w:hAnsi="Consolas"/>
          <w:sz w:val="16"/>
        </w:rPr>
        <w:t>git commit -m "docs: complete J15 relational keys normalization and RAW to STAGING migration"</w:t>
        <w:br/>
        <w:t>git push</w:t>
      </w:r>
    </w:p>
    <w:p>
      <w:r>
        <w:t>Validation finale :</w:t>
      </w:r>
    </w:p>
    <w:p>
      <w:pPr>
        <w:spacing w:before="40" w:after="80"/>
      </w:pPr>
      <w:r>
        <w:rPr>
          <w:rFonts w:ascii="Consolas" w:hAnsi="Consolas"/>
          <w:sz w:val="16"/>
        </w:rPr>
        <w:t>git status</w:t>
        <w:br/>
        <w:t>git log --oneline --decorate -8</w:t>
      </w:r>
    </w:p>
    <w:p>
      <w:r>
        <w:t>La journée ne sera considérée totalement archivée dans le dépôt qu'après cette validation Git.</w:t>
      </w:r>
    </w:p>
    <w:p>
      <w:pPr>
        <w:pStyle w:val="Heading1"/>
      </w:pPr>
      <w:r>
        <w:t>19. Bilan temps</w:t>
      </w:r>
    </w:p>
    <w:p>
      <w:pPr>
        <w:pStyle w:val="ListBullet"/>
      </w:pPr>
      <w:r>
        <w:t>Durée prévue : **90 min**</w:t>
      </w:r>
    </w:p>
    <w:p>
      <w:pPr>
        <w:pStyle w:val="ListBullet"/>
      </w:pPr>
      <w:r>
        <w:t>Durée réelle : **135 min**</w:t>
      </w:r>
    </w:p>
    <w:p>
      <w:pPr>
        <w:pStyle w:val="ListBullet"/>
      </w:pPr>
      <w:r>
        <w:t>Dépassement : **+45 min**</w:t>
      </w:r>
    </w:p>
    <w:p>
      <w:pPr>
        <w:pStyle w:val="ListBullet"/>
      </w:pPr>
      <w:r>
        <w:t>Ratio réel/prévu : **150 %**</w:t>
      </w:r>
    </w:p>
    <w:p>
      <w:r>
        <w:t>Le timer est arrêté à la fin de J15-18. Aucun temps Git ultérieur n'est ajouté à la durée réelle de la séance.</w:t>
      </w:r>
    </w:p>
    <w:p>
      <w:pPr>
        <w:pStyle w:val="Heading1"/>
      </w:pPr>
      <w:r>
        <w:t>20. Conclusion</w:t>
      </w:r>
    </w:p>
    <w:p>
      <w:r>
        <w:t>J15 marque le passage des requêtes SQL d'analyse vers la modélisation relationnelle et la qualité structurelle des données. La séance a permis de manipuler concrètement clés primaires, clés métier, clés techniques, contraintes UNIQUE, NOT NULL, FOREIGN KEY, intégrité référentielle, JOIN, contrôle des orphelins, backfill et migration entre couches.</w:t>
      </w:r>
    </w:p>
    <w:p>
      <w:r>
        <w:t>Le résultat architectural retenu est cohérent avec une chaîne de données professionnelle : RAW préserve la donnée source, le référentiel ANALYTICS porte l'identité normalisée des systèmes et STAGING reçoit les événements enrichis avec une clé technique fiable.</w:t>
      </w:r>
    </w:p>
    <w:p>
      <w:pPr>
        <w:pStyle w:val="Heading1"/>
      </w:pPr>
      <w:r>
        <w:t>21. Prochaines étapes</w:t>
      </w:r>
    </w:p>
    <w:p>
      <w:r>
        <w:t>J16 partira de cette base normalisée et poursuivra le plan de la semaine 03. La séance J16 devra démarrer avec son propre timer, son objectif précis et une nouvelle documentation quotidienne.</w:t>
      </w:r>
    </w:p>
    <w:p>
      <w:pPr>
        <w:pStyle w:val="Heading1"/>
      </w:pPr>
      <w:r>
        <w:t>22. Potentiel de réutilisation</w:t>
      </w:r>
    </w:p>
    <w:p>
      <w:r>
        <w:t>Cette journée peut devenir :</w:t>
      </w:r>
    </w:p>
    <w:p>
      <w:pPr>
        <w:pStyle w:val="ListBullet"/>
      </w:pPr>
      <w:r>
        <w:t>un tutoriel « Clé métier vs clé technique dans PostgreSQL » ;</w:t>
      </w:r>
    </w:p>
    <w:p>
      <w:pPr>
        <w:pStyle w:val="ListBullet"/>
      </w:pPr>
      <w:r>
        <w:t>une vidéo « Pourquoi une FOREIGN KEY ne suffit pas toujours à empêcher les incohérences » ;</w:t>
      </w:r>
    </w:p>
    <w:p>
      <w:pPr>
        <w:pStyle w:val="ListBullet"/>
      </w:pPr>
      <w:r>
        <w:t>un atelier « Migrer progressivement une table existante vers un modèle normalisé » ;</w:t>
      </w:r>
    </w:p>
    <w:p>
      <w:pPr>
        <w:pStyle w:val="ListBullet"/>
      </w:pPr>
      <w:r>
        <w:t>un module de formation sur `PRIMARY KEY`, `UNIQUE`, `FOREIGN KEY`, backfill et transactions ;</w:t>
      </w:r>
    </w:p>
    <w:p>
      <w:pPr>
        <w:pStyle w:val="ListBullet"/>
      </w:pPr>
      <w:r>
        <w:t>une démonstration portfolio de migration RAW → STAGING avec contrôles de qualité.</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