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6E2C" w:rsidRDefault="004E6E2C">
      <w:bookmarkStart w:id="0" w:name="_GoBack"/>
      <w:bookmarkEnd w:id="0"/>
      <w:r>
        <w:t>Especificacion Tecnica y Guia Metodologica</w:t>
      </w:r>
    </w:p>
    <w:p w:rsidR="004E6E2C" w:rsidRDefault="004E6E2C" w:rsidP="004E6E2C">
      <w:pPr>
        <w:spacing w:after="120"/>
        <w:rPr>
          <w:rFonts w:ascii="Calibri" w:hAnsi="Calibri" w:cs="Calibri"/>
          <w:b/>
          <w:color w:val="A729A8"/>
          <w:sz w:val="40"/>
        </w:rPr>
      </w:pPr>
      <w:r w:rsidRPr="004E6E2C">
        <w:rPr>
          <w:rFonts w:ascii="Calibri" w:hAnsi="Calibri" w:cs="Calibri"/>
          <w:b/>
          <w:color w:val="A729A8"/>
          <w:sz w:val="40"/>
        </w:rPr>
        <w:t>Modelo Predictivo CPGI (Exclusivo Bases Administrativas SIIS)</w:t>
      </w:r>
    </w:p>
    <w:p w:rsidR="004E6E2C" w:rsidRDefault="004E6E2C" w:rsidP="004E6E2C">
      <w:pPr>
        <w:spacing w:after="360"/>
        <w:rPr>
          <w:rFonts w:ascii="Calibri" w:hAnsi="Calibri" w:cs="Calibri"/>
          <w:b/>
          <w:i/>
          <w:color w:val="666666"/>
          <w:sz w:val="24"/>
        </w:rPr>
      </w:pPr>
      <w:r w:rsidRPr="004E6E2C">
        <w:rPr>
          <w:rFonts w:ascii="Calibri" w:hAnsi="Calibri" w:cs="Calibri"/>
          <w:b/>
          <w:i/>
          <w:color w:val="666666"/>
          <w:sz w:val="24"/>
        </w:rPr>
        <w:t>Sistema de Informacion Integrado Social (SIIS) - Ministerio de Capital Humano</w:t>
      </w:r>
    </w:p>
    <w:p w:rsidR="004E6E2C" w:rsidRDefault="004E6E2C" w:rsidP="004E6E2C">
      <w:pPr>
        <w:spacing w:before="240" w:after="200"/>
        <w:rPr>
          <w:rFonts w:ascii="Calibri" w:hAnsi="Calibri" w:cs="Calibri"/>
          <w:b/>
          <w:i/>
          <w:color w:val="A729A8"/>
          <w:sz w:val="30"/>
        </w:rPr>
      </w:pPr>
      <w:r w:rsidRPr="004E6E2C">
        <w:rPr>
          <w:rFonts w:ascii="Calibri" w:hAnsi="Calibri" w:cs="Calibri"/>
          <w:b/>
          <w:i/>
          <w:color w:val="A729A8"/>
          <w:sz w:val="30"/>
        </w:rPr>
        <w:t>SECCION 1: Vision General y Fundamento Operativo del CPGI</w:t>
      </w:r>
    </w:p>
    <w:p w:rsidR="004E6E2C" w:rsidRDefault="004E6E2C" w:rsidP="004E6E2C">
      <w:pPr>
        <w:spacing w:before="240" w:after="200"/>
        <w:rPr>
          <w:rFonts w:ascii="Calibri" w:hAnsi="Calibri" w:cs="Calibri"/>
          <w:b/>
          <w:i/>
          <w:color w:val="A729A8"/>
          <w:sz w:val="30"/>
        </w:rPr>
      </w:pPr>
      <w:r>
        <w:rPr>
          <w:rFonts w:ascii="Calibri" w:hAnsi="Calibri" w:cs="Calibri"/>
          <w:b/>
          <w:i/>
          <w:color w:val="A729A8"/>
          <w:sz w:val="30"/>
        </w:rPr>
        <w:t>1.1 Que es la Capacidad Potencial de Generacion de Ingresos (CPGI)?</w:t>
      </w:r>
    </w:p>
    <w:p w:rsidR="004E6E2C" w:rsidRDefault="004E6E2C" w:rsidP="004E6E2C">
      <w:pPr>
        <w:spacing w:before="240" w:after="200"/>
        <w:rPr>
          <w:rFonts w:ascii="Calibri" w:hAnsi="Calibri" w:cs="Calibri"/>
          <w:b/>
          <w:i/>
          <w:color w:val="A729A8"/>
          <w:sz w:val="30"/>
        </w:rPr>
      </w:pPr>
      <w:r>
        <w:rPr>
          <w:rFonts w:ascii="Calibri" w:hAnsi="Calibri" w:cs="Calibri"/>
          <w:b/>
          <w:i/>
          <w:color w:val="A729A8"/>
          <w:sz w:val="30"/>
        </w:rPr>
        <w:t>La CPGI es un indicador continuo que estima la capacidad economica del hogar utilizando exclusivamente informacion de registros de bases administrativas integradas en el SIIS (ANSES, ARCA ex-AFIP, STESS, SINTyS, RASE, SENAF). En lugar de requerir auto-reportes de ingresos mensuales de encuestas, el modelo evalua atributos estructurales del hogar y de sus integrantes.</w:t>
      </w:r>
    </w:p>
    <w:p w:rsidR="004E6E2C" w:rsidRDefault="004E6E2C" w:rsidP="004E6E2C">
      <w:pPr>
        <w:spacing w:before="240" w:after="200"/>
        <w:rPr>
          <w:rFonts w:ascii="Calibri" w:hAnsi="Calibri" w:cs="Calibri"/>
          <w:b/>
          <w:i/>
          <w:color w:val="A729A8"/>
          <w:sz w:val="30"/>
        </w:rPr>
      </w:pPr>
    </w:p>
    <w:p w:rsidR="004E6E2C" w:rsidRDefault="004E6E2C" w:rsidP="004E6E2C">
      <w:pPr>
        <w:spacing w:before="240" w:after="200"/>
        <w:rPr>
          <w:rFonts w:ascii="Calibri" w:hAnsi="Calibri" w:cs="Calibri"/>
          <w:b/>
          <w:i/>
          <w:color w:val="A729A8"/>
          <w:sz w:val="30"/>
        </w:rPr>
      </w:pPr>
      <w:r>
        <w:rPr>
          <w:rFonts w:ascii="Calibri" w:hAnsi="Calibri" w:cs="Calibri"/>
          <w:b/>
          <w:i/>
          <w:color w:val="A729A8"/>
          <w:sz w:val="30"/>
        </w:rPr>
        <w:t>1.2 Umbral de Corte y Clasificacion Binaria</w:t>
      </w:r>
    </w:p>
    <w:p w:rsidR="004E6E2C" w:rsidRDefault="004E6E2C" w:rsidP="004E6E2C">
      <w:pPr>
        <w:spacing w:before="240" w:after="200"/>
        <w:rPr>
          <w:rFonts w:ascii="Calibri" w:hAnsi="Calibri" w:cs="Calibri"/>
          <w:b/>
          <w:i/>
          <w:color w:val="A729A8"/>
          <w:sz w:val="30"/>
        </w:rPr>
      </w:pPr>
      <w:r>
        <w:rPr>
          <w:rFonts w:ascii="Calibri" w:hAnsi="Calibri" w:cs="Calibri"/>
          <w:b/>
          <w:i/>
          <w:color w:val="A729A8"/>
          <w:sz w:val="30"/>
        </w:rPr>
        <w:t>El cociente CPGI expresa la relacion entre la capacidad de ingreso estimada del hogar y la Canasta Basica Total (CBT) regionalizada:</w:t>
      </w:r>
    </w:p>
    <w:p w:rsidR="004E6E2C" w:rsidRDefault="004E6E2C" w:rsidP="004E6E2C">
      <w:pPr>
        <w:spacing w:before="240" w:after="200"/>
        <w:rPr>
          <w:rFonts w:ascii="Calibri" w:hAnsi="Calibri" w:cs="Calibri"/>
          <w:b/>
          <w:i/>
          <w:color w:val="A729A8"/>
          <w:sz w:val="30"/>
        </w:rPr>
      </w:pPr>
      <w:r>
        <w:rPr>
          <w:rFonts w:ascii="Calibri" w:hAnsi="Calibri" w:cs="Calibri"/>
          <w:b/>
          <w:i/>
          <w:color w:val="A729A8"/>
          <w:sz w:val="30"/>
        </w:rPr>
        <w:t>- Hogar Pobre (Linea de Pobreza LP): CPGI &lt; 1.00 (El ingreso potencial no cubre la CBT).</w:t>
      </w:r>
    </w:p>
    <w:p w:rsidR="004E6E2C" w:rsidRDefault="004E6E2C" w:rsidP="004E6E2C">
      <w:pPr>
        <w:spacing w:before="240" w:after="200"/>
        <w:rPr>
          <w:rFonts w:ascii="Calibri" w:hAnsi="Calibri" w:cs="Calibri"/>
          <w:b/>
          <w:i/>
          <w:color w:val="A729A8"/>
          <w:sz w:val="30"/>
        </w:rPr>
      </w:pPr>
      <w:r>
        <w:rPr>
          <w:rFonts w:ascii="Calibri" w:hAnsi="Calibri" w:cs="Calibri"/>
          <w:b/>
          <w:i/>
          <w:color w:val="A729A8"/>
          <w:sz w:val="30"/>
        </w:rPr>
        <w:t>- Hogar No Pobre: CPGI &gt;= 1.00 (El ingreso potencial iguala o supera la CBT).</w:t>
      </w:r>
    </w:p>
    <w:p w:rsidR="004E6E2C" w:rsidRDefault="004E6E2C" w:rsidP="004E6E2C">
      <w:pPr>
        <w:spacing w:before="240" w:after="320"/>
        <w:rPr>
          <w:rFonts w:ascii="Calibri" w:hAnsi="Calibri" w:cs="Calibri"/>
          <w:b/>
          <w:i/>
          <w:color w:val="A729A8"/>
          <w:sz w:val="21"/>
        </w:rPr>
      </w:pPr>
      <w:r w:rsidRPr="004E6E2C">
        <w:rPr>
          <w:rFonts w:ascii="Calibri" w:hAnsi="Calibri" w:cs="Calibri"/>
          <w:b/>
          <w:i/>
          <w:color w:val="A729A8"/>
          <w:sz w:val="21"/>
        </w:rPr>
        <w:t>- Tasa de Vulnerabilidad Hogares (%) = (Hogares con CPGI &lt; 1.00 / Total Hogares Bases SIIS) x 100</w:t>
      </w:r>
    </w:p>
    <w:p w:rsidR="004E6E2C" w:rsidRDefault="004E6E2C" w:rsidP="004E6E2C">
      <w:pPr>
        <w:spacing w:before="280" w:after="200"/>
        <w:rPr>
          <w:rFonts w:ascii="Calibri" w:hAnsi="Calibri" w:cs="Calibri"/>
          <w:b/>
          <w:i/>
          <w:color w:val="A729A8"/>
          <w:sz w:val="30"/>
        </w:rPr>
      </w:pPr>
      <w:r w:rsidRPr="004E6E2C">
        <w:rPr>
          <w:rFonts w:ascii="Calibri" w:hAnsi="Calibri" w:cs="Calibri"/>
          <w:b/>
          <w:i/>
          <w:color w:val="A729A8"/>
          <w:sz w:val="30"/>
        </w:rPr>
        <w:t>SECCION 2: Ecuacion Matematica Ajustada a Bases Administrativas SIIS</w:t>
      </w:r>
    </w:p>
    <w:p w:rsidR="004E6E2C" w:rsidRDefault="004E6E2C" w:rsidP="004E6E2C">
      <w:pPr>
        <w:spacing w:before="280" w:after="200"/>
        <w:rPr>
          <w:rFonts w:ascii="Calibri" w:hAnsi="Calibri" w:cs="Calibri"/>
          <w:b/>
          <w:i/>
          <w:color w:val="A729A8"/>
          <w:sz w:val="30"/>
        </w:rPr>
      </w:pPr>
      <w:r>
        <w:rPr>
          <w:rFonts w:ascii="Calibri" w:hAnsi="Calibri" w:cs="Calibri"/>
          <w:b/>
          <w:i/>
          <w:color w:val="A729A8"/>
          <w:sz w:val="30"/>
        </w:rPr>
        <w:t>2.1 Ecuacion Predictiva (MCO + Lasso)</w:t>
      </w:r>
    </w:p>
    <w:p w:rsidR="004E6E2C" w:rsidRDefault="004E6E2C" w:rsidP="004E6E2C">
      <w:pPr>
        <w:spacing w:before="280" w:after="200"/>
        <w:rPr>
          <w:rFonts w:ascii="Calibri" w:hAnsi="Calibri" w:cs="Calibri"/>
          <w:b/>
          <w:i/>
          <w:color w:val="A729A8"/>
          <w:sz w:val="30"/>
        </w:rPr>
      </w:pPr>
      <w:r>
        <w:rPr>
          <w:rFonts w:ascii="Calibri" w:hAnsi="Calibri" w:cs="Calibri"/>
          <w:b/>
          <w:i/>
          <w:color w:val="A729A8"/>
          <w:sz w:val="30"/>
        </w:rPr>
        <w:t>ln(CPGI) = b0 + b1*(Cant_personas) + b2*(Jefa_mujer_menores) + b3*(Jubilados_pensionados) + b4*(Sin_Patrimonio_SINTYS) + b5*(Cat_Monotributo_ARCA) + b6*(Tasa_dependencia) + b7*(Tasa_menores) + b8*(Monto_Adicional_ANSES) + b9*(Asalariados_registrados) + b10*(Clima_educativo^2) + b11*(Jefe_superior_completo) + b12*(Edad_jefe) + b13*(Ingreso_real_medio_provincial)</w:t>
      </w:r>
    </w:p>
    <w:p w:rsidR="004E6E2C" w:rsidRDefault="004E6E2C" w:rsidP="004E6E2C">
      <w:pPr>
        <w:spacing w:before="280" w:after="200"/>
        <w:rPr>
          <w:rFonts w:ascii="Calibri" w:hAnsi="Calibri" w:cs="Calibri"/>
          <w:b/>
          <w:i/>
          <w:color w:val="A729A8"/>
          <w:sz w:val="30"/>
        </w:rPr>
      </w:pPr>
    </w:p>
    <w:p w:rsidR="004E6E2C" w:rsidRDefault="004E6E2C" w:rsidP="004E6E2C">
      <w:pPr>
        <w:spacing w:before="280" w:after="200"/>
        <w:rPr>
          <w:rFonts w:ascii="Calibri" w:hAnsi="Calibri" w:cs="Calibri"/>
          <w:b/>
          <w:i/>
          <w:color w:val="A729A8"/>
          <w:sz w:val="30"/>
        </w:rPr>
      </w:pPr>
      <w:r>
        <w:rPr>
          <w:rFonts w:ascii="Calibri" w:hAnsi="Calibri" w:cs="Calibri"/>
          <w:b/>
          <w:i/>
          <w:color w:val="A729A8"/>
          <w:sz w:val="30"/>
        </w:rPr>
        <w:t>2.2 Sustitucion de Variables de Vivienda EPH por Registros Administrativos</w:t>
      </w:r>
    </w:p>
    <w:p w:rsidR="004E6E2C" w:rsidRDefault="004E6E2C" w:rsidP="004E6E2C">
      <w:pPr>
        <w:spacing w:before="280" w:after="200"/>
        <w:rPr>
          <w:rFonts w:ascii="Calibri" w:hAnsi="Calibri" w:cs="Calibri"/>
          <w:b/>
          <w:i/>
          <w:color w:val="A729A8"/>
          <w:sz w:val="30"/>
        </w:rPr>
      </w:pPr>
      <w:r>
        <w:rPr>
          <w:rFonts w:ascii="Calibri" w:hAnsi="Calibri" w:cs="Calibri"/>
          <w:b/>
          <w:i/>
          <w:color w:val="A729A8"/>
          <w:sz w:val="30"/>
        </w:rPr>
        <w:t>Para operar 100% con bases administrativas sin dependencia de encuestas EPH, se removieron las variables habitacionales (Saneamiento_deficiente, Tenencia_regular, Piso_precario, Techo_precario) y se incorporaron tres variables de registros administrativos SIIS:</w:t>
      </w:r>
    </w:p>
    <w:p w:rsidR="004E6E2C" w:rsidRDefault="004E6E2C" w:rsidP="004E6E2C">
      <w:pPr>
        <w:spacing w:before="280" w:after="200"/>
        <w:rPr>
          <w:rFonts w:ascii="Calibri" w:hAnsi="Calibri" w:cs="Calibri"/>
          <w:b/>
          <w:i/>
          <w:color w:val="A729A8"/>
          <w:sz w:val="30"/>
        </w:rPr>
      </w:pPr>
      <w:r>
        <w:rPr>
          <w:rFonts w:ascii="Calibri" w:hAnsi="Calibri" w:cs="Calibri"/>
          <w:b/>
          <w:i/>
          <w:color w:val="A729A8"/>
          <w:sz w:val="30"/>
        </w:rPr>
        <w:t>1. Sin_Patrimonio_SINTYS (SINTyS): Ausencia de bienes registrables (inmuebles y automotores 0 a 3 anos de antiguedad).</w:t>
      </w:r>
    </w:p>
    <w:p w:rsidR="004E6E2C" w:rsidRDefault="004E6E2C" w:rsidP="004E6E2C">
      <w:pPr>
        <w:spacing w:before="280" w:after="200"/>
        <w:rPr>
          <w:rFonts w:ascii="Calibri" w:hAnsi="Calibri" w:cs="Calibri"/>
          <w:b/>
          <w:i/>
          <w:color w:val="A729A8"/>
          <w:sz w:val="30"/>
        </w:rPr>
      </w:pPr>
      <w:r>
        <w:rPr>
          <w:rFonts w:ascii="Calibri" w:hAnsi="Calibri" w:cs="Calibri"/>
          <w:b/>
          <w:i/>
          <w:color w:val="A729A8"/>
          <w:sz w:val="30"/>
        </w:rPr>
        <w:t>2. Cat_Monotributo_ARCA (ARCA): Categoria contributiva del monotributista (A a L) o regimen de autonomos.</w:t>
      </w:r>
    </w:p>
    <w:p w:rsidR="004E6E2C" w:rsidRDefault="004E6E2C" w:rsidP="004E6E2C">
      <w:pPr>
        <w:spacing w:before="280" w:after="320"/>
        <w:rPr>
          <w:rFonts w:ascii="Calibri" w:hAnsi="Calibri" w:cs="Calibri"/>
          <w:b/>
          <w:i/>
          <w:color w:val="A729A8"/>
          <w:sz w:val="21"/>
        </w:rPr>
      </w:pPr>
      <w:r w:rsidRPr="004E6E2C">
        <w:rPr>
          <w:rFonts w:ascii="Calibri" w:hAnsi="Calibri" w:cs="Calibri"/>
          <w:b/>
          <w:i/>
          <w:color w:val="A729A8"/>
          <w:sz w:val="21"/>
        </w:rPr>
        <w:t>3. Monto_Adicional_ANSES (ANSES): Adicionales liquidados por prestaciones de AUH/AUD o Asignaciones Familiares (Monto_Adicional_Vl).</w:t>
      </w:r>
    </w:p>
    <w:p w:rsidR="004E6E2C" w:rsidRDefault="004E6E2C" w:rsidP="004E6E2C">
      <w:pPr>
        <w:spacing w:before="280" w:after="200"/>
        <w:rPr>
          <w:rFonts w:ascii="Calibri" w:hAnsi="Calibri" w:cs="Calibri"/>
          <w:b/>
          <w:i/>
          <w:color w:val="A729A8"/>
          <w:sz w:val="30"/>
        </w:rPr>
      </w:pPr>
      <w:r w:rsidRPr="004E6E2C">
        <w:rPr>
          <w:rFonts w:ascii="Calibri" w:hAnsi="Calibri" w:cs="Calibri"/>
          <w:b/>
          <w:i/>
          <w:color w:val="A729A8"/>
          <w:sz w:val="30"/>
        </w:rPr>
        <w:t>SECCION 3: Calculo Paso a Paso y Simulacion de Casos Ficticios</w:t>
      </w:r>
    </w:p>
    <w:p w:rsidR="004E6E2C" w:rsidRDefault="004E6E2C" w:rsidP="004E6E2C">
      <w:pPr>
        <w:spacing w:before="280" w:after="200"/>
        <w:rPr>
          <w:rFonts w:ascii="Calibri" w:hAnsi="Calibri" w:cs="Calibri"/>
          <w:b/>
          <w:i/>
          <w:color w:val="A729A8"/>
          <w:sz w:val="30"/>
        </w:rPr>
      </w:pPr>
      <w:r>
        <w:rPr>
          <w:rFonts w:ascii="Calibri" w:hAnsi="Calibri" w:cs="Calibri"/>
          <w:b/>
          <w:i/>
          <w:color w:val="A729A8"/>
          <w:sz w:val="30"/>
        </w:rPr>
        <w:t>Parametros de Ejemplo Calibrados:</w:t>
      </w:r>
    </w:p>
    <w:p w:rsidR="004E6E2C" w:rsidRDefault="004E6E2C" w:rsidP="004E6E2C">
      <w:pPr>
        <w:spacing w:before="280" w:after="200"/>
        <w:rPr>
          <w:rFonts w:ascii="Calibri" w:hAnsi="Calibri" w:cs="Calibri"/>
          <w:b/>
          <w:i/>
          <w:color w:val="A729A8"/>
          <w:sz w:val="30"/>
        </w:rPr>
      </w:pPr>
      <w:r>
        <w:rPr>
          <w:rFonts w:ascii="Calibri" w:hAnsi="Calibri" w:cs="Calibri"/>
          <w:b/>
          <w:i/>
          <w:color w:val="A729A8"/>
          <w:sz w:val="30"/>
        </w:rPr>
        <w:t>b0 = -0.35 | b1 = -0.08 | b2 = -0.25 | b3 = +0.20 | b4 = -0.15 | b5 = +0.05 | b6 = -0.15 | b7 = -0.10 | b8 = +0.12 | b9 = +0.35 | b10 = +0.002 | b11 = +0.30 | b12 = +0.005</w:t>
      </w:r>
    </w:p>
    <w:p w:rsidR="004E6E2C" w:rsidRDefault="004E6E2C" w:rsidP="004E6E2C">
      <w:pPr>
        <w:spacing w:before="280" w:after="200"/>
        <w:rPr>
          <w:rFonts w:ascii="Calibri" w:hAnsi="Calibri" w:cs="Calibri"/>
          <w:b/>
          <w:i/>
          <w:color w:val="A729A8"/>
          <w:sz w:val="30"/>
        </w:rPr>
      </w:pPr>
    </w:p>
    <w:p w:rsidR="004E6E2C" w:rsidRDefault="004E6E2C" w:rsidP="004E6E2C">
      <w:pPr>
        <w:spacing w:before="280" w:after="200"/>
        <w:rPr>
          <w:rFonts w:ascii="Calibri" w:hAnsi="Calibri" w:cs="Calibri"/>
          <w:b/>
          <w:i/>
          <w:color w:val="A729A8"/>
          <w:sz w:val="30"/>
        </w:rPr>
      </w:pPr>
      <w:r>
        <w:rPr>
          <w:rFonts w:ascii="Calibri" w:hAnsi="Calibri" w:cs="Calibri"/>
          <w:b/>
          <w:i/>
          <w:color w:val="A729A8"/>
          <w:sz w:val="30"/>
        </w:rPr>
        <w:t>CASO A: Hogar en Indigencia Extrema</w:t>
      </w:r>
    </w:p>
    <w:p w:rsidR="004E6E2C" w:rsidRDefault="004E6E2C" w:rsidP="004E6E2C">
      <w:pPr>
        <w:spacing w:before="280" w:after="200"/>
        <w:rPr>
          <w:rFonts w:ascii="Calibri" w:hAnsi="Calibri" w:cs="Calibri"/>
          <w:b/>
          <w:i/>
          <w:color w:val="A729A8"/>
          <w:sz w:val="30"/>
        </w:rPr>
      </w:pPr>
      <w:r>
        <w:rPr>
          <w:rFonts w:ascii="Calibri" w:hAnsi="Calibri" w:cs="Calibri"/>
          <w:b/>
          <w:i/>
          <w:color w:val="A729A8"/>
          <w:sz w:val="30"/>
        </w:rPr>
        <w:t>- Madre soltera (32 anos) con 3 hijos (4 integrantes en La Matanza). Sin empleo registrado en ARCA/STESS. Cobrando AUH + Adicional en ANSES. Sin bienes en SINTyS. Clima educativo de 8 anos.</w:t>
      </w:r>
    </w:p>
    <w:p w:rsidR="004E6E2C" w:rsidRDefault="004E6E2C" w:rsidP="004E6E2C">
      <w:pPr>
        <w:spacing w:before="280" w:after="200"/>
        <w:rPr>
          <w:rFonts w:ascii="Calibri" w:hAnsi="Calibri" w:cs="Calibri"/>
          <w:b/>
          <w:i/>
          <w:color w:val="A729A8"/>
          <w:sz w:val="30"/>
        </w:rPr>
      </w:pPr>
      <w:r>
        <w:rPr>
          <w:rFonts w:ascii="Calibri" w:hAnsi="Calibri" w:cs="Calibri"/>
          <w:b/>
          <w:i/>
          <w:color w:val="A729A8"/>
          <w:sz w:val="30"/>
        </w:rPr>
        <w:t>Calculo:</w:t>
      </w:r>
    </w:p>
    <w:p w:rsidR="004E6E2C" w:rsidRDefault="004E6E2C" w:rsidP="004E6E2C">
      <w:pPr>
        <w:spacing w:before="280" w:after="200"/>
        <w:rPr>
          <w:rFonts w:ascii="Calibri" w:hAnsi="Calibri" w:cs="Calibri"/>
          <w:b/>
          <w:i/>
          <w:color w:val="A729A8"/>
          <w:sz w:val="30"/>
        </w:rPr>
      </w:pPr>
      <w:r>
        <w:rPr>
          <w:rFonts w:ascii="Calibri" w:hAnsi="Calibri" w:cs="Calibri"/>
          <w:b/>
          <w:i/>
          <w:color w:val="A729A8"/>
          <w:sz w:val="30"/>
        </w:rPr>
        <w:t>ln(CPGI) = -0.35 - 0.32 - 0.25 - 0.15 - 0.11 - 0.08 + 0.12 + 0.13 + 0.16 = -0.85</w:t>
      </w:r>
    </w:p>
    <w:p w:rsidR="004E6E2C" w:rsidRDefault="004E6E2C" w:rsidP="004E6E2C">
      <w:pPr>
        <w:spacing w:before="280" w:after="200"/>
        <w:rPr>
          <w:rFonts w:ascii="Calibri" w:hAnsi="Calibri" w:cs="Calibri"/>
          <w:b/>
          <w:i/>
          <w:color w:val="A729A8"/>
          <w:sz w:val="30"/>
        </w:rPr>
      </w:pPr>
      <w:r>
        <w:rPr>
          <w:rFonts w:ascii="Calibri" w:hAnsi="Calibri" w:cs="Calibri"/>
          <w:b/>
          <w:i/>
          <w:color w:val="A729A8"/>
          <w:sz w:val="30"/>
        </w:rPr>
        <w:t>CPGI = exp(-0.85) = 0.43</w:t>
      </w:r>
    </w:p>
    <w:p w:rsidR="004E6E2C" w:rsidRDefault="004E6E2C" w:rsidP="004E6E2C">
      <w:pPr>
        <w:spacing w:before="280" w:after="200"/>
        <w:rPr>
          <w:rFonts w:ascii="Calibri" w:hAnsi="Calibri" w:cs="Calibri"/>
          <w:b/>
          <w:i/>
          <w:color w:val="A729A8"/>
          <w:sz w:val="30"/>
        </w:rPr>
      </w:pPr>
      <w:r>
        <w:rPr>
          <w:rFonts w:ascii="Calibri" w:hAnsi="Calibri" w:cs="Calibri"/>
          <w:b/>
          <w:i/>
          <w:color w:val="A729A8"/>
          <w:sz w:val="30"/>
        </w:rPr>
        <w:t>Resultado Caso A: CPGI = 0.43 (&lt; 1.00). El ingreso potencial del hogar solo cubre el 43% de la Canasta Basica Total (CBT), clasificando como Indigencia Extrema.</w:t>
      </w:r>
    </w:p>
    <w:p w:rsidR="004E6E2C" w:rsidRDefault="004E6E2C" w:rsidP="004E6E2C">
      <w:pPr>
        <w:spacing w:before="280" w:after="200"/>
        <w:rPr>
          <w:rFonts w:ascii="Calibri" w:hAnsi="Calibri" w:cs="Calibri"/>
          <w:b/>
          <w:i/>
          <w:color w:val="A729A8"/>
          <w:sz w:val="30"/>
        </w:rPr>
      </w:pPr>
    </w:p>
    <w:p w:rsidR="004E6E2C" w:rsidRDefault="004E6E2C" w:rsidP="004E6E2C">
      <w:pPr>
        <w:spacing w:before="280" w:after="200"/>
        <w:rPr>
          <w:rFonts w:ascii="Calibri" w:hAnsi="Calibri" w:cs="Calibri"/>
          <w:b/>
          <w:i/>
          <w:color w:val="A729A8"/>
          <w:sz w:val="30"/>
        </w:rPr>
      </w:pPr>
      <w:r>
        <w:rPr>
          <w:rFonts w:ascii="Calibri" w:hAnsi="Calibri" w:cs="Calibri"/>
          <w:b/>
          <w:i/>
          <w:color w:val="A729A8"/>
          <w:sz w:val="30"/>
        </w:rPr>
        <w:t>CASO B: Hogar Formal Estabilizado</w:t>
      </w:r>
    </w:p>
    <w:p w:rsidR="004E6E2C" w:rsidRDefault="004E6E2C" w:rsidP="004E6E2C">
      <w:pPr>
        <w:spacing w:before="280" w:after="200"/>
        <w:rPr>
          <w:rFonts w:ascii="Calibri" w:hAnsi="Calibri" w:cs="Calibri"/>
          <w:b/>
          <w:i/>
          <w:color w:val="A729A8"/>
          <w:sz w:val="30"/>
        </w:rPr>
      </w:pPr>
      <w:r>
        <w:rPr>
          <w:rFonts w:ascii="Calibri" w:hAnsi="Calibri" w:cs="Calibri"/>
          <w:b/>
          <w:i/>
          <w:color w:val="A729A8"/>
          <w:sz w:val="30"/>
        </w:rPr>
        <w:t>- Pareja de 40 anos con 2 hijos (4 integrantes). Un trabajador asalariado en blanco (ARCA/STESS) y conyuge Monotributista Cat B. Vehiculo registrado en SINTyS. Clima educativo de 14 anos.</w:t>
      </w:r>
    </w:p>
    <w:p w:rsidR="004E6E2C" w:rsidRDefault="004E6E2C" w:rsidP="004E6E2C">
      <w:pPr>
        <w:spacing w:before="280" w:after="200"/>
        <w:rPr>
          <w:rFonts w:ascii="Calibri" w:hAnsi="Calibri" w:cs="Calibri"/>
          <w:b/>
          <w:i/>
          <w:color w:val="A729A8"/>
          <w:sz w:val="30"/>
        </w:rPr>
      </w:pPr>
      <w:r>
        <w:rPr>
          <w:rFonts w:ascii="Calibri" w:hAnsi="Calibri" w:cs="Calibri"/>
          <w:b/>
          <w:i/>
          <w:color w:val="A729A8"/>
          <w:sz w:val="30"/>
        </w:rPr>
        <w:t>Calculo:</w:t>
      </w:r>
    </w:p>
    <w:p w:rsidR="004E6E2C" w:rsidRDefault="004E6E2C" w:rsidP="004E6E2C">
      <w:pPr>
        <w:spacing w:before="280" w:after="200"/>
        <w:rPr>
          <w:rFonts w:ascii="Calibri" w:hAnsi="Calibri" w:cs="Calibri"/>
          <w:b/>
          <w:i/>
          <w:color w:val="A729A8"/>
          <w:sz w:val="30"/>
        </w:rPr>
      </w:pPr>
      <w:r>
        <w:rPr>
          <w:rFonts w:ascii="Calibri" w:hAnsi="Calibri" w:cs="Calibri"/>
          <w:b/>
          <w:i/>
          <w:color w:val="A729A8"/>
          <w:sz w:val="30"/>
        </w:rPr>
        <w:t>ln(CPGI) = -0.35 - 0.32 + 0.10 - 0.08 - 0.05 + 0.35 + 0.39 + 0.30 + 0.20 = +0.54</w:t>
      </w:r>
    </w:p>
    <w:p w:rsidR="004E6E2C" w:rsidRDefault="004E6E2C" w:rsidP="004E6E2C">
      <w:pPr>
        <w:spacing w:before="280" w:after="200"/>
        <w:rPr>
          <w:rFonts w:ascii="Calibri" w:hAnsi="Calibri" w:cs="Calibri"/>
          <w:b/>
          <w:i/>
          <w:color w:val="A729A8"/>
          <w:sz w:val="30"/>
        </w:rPr>
      </w:pPr>
      <w:r>
        <w:rPr>
          <w:rFonts w:ascii="Calibri" w:hAnsi="Calibri" w:cs="Calibri"/>
          <w:b/>
          <w:i/>
          <w:color w:val="A729A8"/>
          <w:sz w:val="30"/>
        </w:rPr>
        <w:t>CPGI = exp(+0.54) = 1.72</w:t>
      </w:r>
    </w:p>
    <w:p w:rsidR="004E6E2C" w:rsidRDefault="004E6E2C" w:rsidP="004E6E2C">
      <w:pPr>
        <w:spacing w:before="280" w:after="320"/>
        <w:rPr>
          <w:rFonts w:ascii="Calibri" w:hAnsi="Calibri" w:cs="Calibri"/>
          <w:b/>
          <w:i/>
          <w:color w:val="A729A8"/>
          <w:sz w:val="21"/>
        </w:rPr>
      </w:pPr>
      <w:r w:rsidRPr="004E6E2C">
        <w:rPr>
          <w:rFonts w:ascii="Calibri" w:hAnsi="Calibri" w:cs="Calibri"/>
          <w:b/>
          <w:i/>
          <w:color w:val="A729A8"/>
          <w:sz w:val="21"/>
        </w:rPr>
        <w:t>Resultado Caso B: CPGI = 1.72 (&gt; 1.00). El ingreso potencial supera en un 72% la CBT, clasificando como Hogar No Pobre.</w:t>
      </w:r>
    </w:p>
    <w:p w:rsidR="004E6E2C" w:rsidRDefault="004E6E2C" w:rsidP="004E6E2C">
      <w:pPr>
        <w:spacing w:before="280" w:after="200"/>
        <w:rPr>
          <w:rFonts w:ascii="Calibri" w:hAnsi="Calibri" w:cs="Calibri"/>
          <w:b/>
          <w:i/>
          <w:color w:val="A729A8"/>
          <w:sz w:val="30"/>
        </w:rPr>
      </w:pPr>
      <w:r w:rsidRPr="004E6E2C">
        <w:rPr>
          <w:rFonts w:ascii="Calibri" w:hAnsi="Calibri" w:cs="Calibri"/>
          <w:b/>
          <w:i/>
          <w:color w:val="A729A8"/>
          <w:sz w:val="30"/>
        </w:rPr>
        <w:t>SECCION 4: Escala y Tabla Rango de Variacion del Indice CPGI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8"/>
        <w:gridCol w:w="2268"/>
        <w:gridCol w:w="2268"/>
        <w:gridCol w:w="2268"/>
      </w:tblGrid>
      <w:tr w:rsidR="004E6E2C" w:rsidRPr="004E6E2C" w:rsidTr="004E6E2C">
        <w:tblPrEx>
          <w:tblCellMar>
            <w:top w:w="0" w:type="dxa"/>
            <w:bottom w:w="0" w:type="dxa"/>
          </w:tblCellMar>
        </w:tblPrEx>
        <w:tc>
          <w:tcPr>
            <w:tcW w:w="2268" w:type="dxa"/>
            <w:shd w:val="clear" w:color="auto" w:fill="E1E1E1"/>
          </w:tcPr>
          <w:p w:rsidR="004E6E2C" w:rsidRPr="004E6E2C" w:rsidRDefault="004E6E2C" w:rsidP="004E6E2C">
            <w:pPr>
              <w:spacing w:before="280" w:after="200"/>
              <w:rPr>
                <w:rFonts w:ascii="Calibri" w:hAnsi="Calibri" w:cs="Calibri"/>
                <w:b/>
                <w:i/>
                <w:color w:val="A729A8"/>
                <w:sz w:val="19"/>
              </w:rPr>
            </w:pPr>
            <w:r w:rsidRPr="004E6E2C">
              <w:rPr>
                <w:rFonts w:ascii="Calibri" w:hAnsi="Calibri" w:cs="Calibri"/>
                <w:b/>
                <w:i/>
                <w:color w:val="A729A8"/>
                <w:sz w:val="19"/>
              </w:rPr>
              <w:t>Rango de CPGI</w:t>
            </w:r>
          </w:p>
        </w:tc>
        <w:tc>
          <w:tcPr>
            <w:tcW w:w="2268" w:type="dxa"/>
            <w:shd w:val="clear" w:color="auto" w:fill="E1E1E1"/>
          </w:tcPr>
          <w:p w:rsidR="004E6E2C" w:rsidRPr="004E6E2C" w:rsidRDefault="004E6E2C" w:rsidP="004E6E2C">
            <w:pPr>
              <w:spacing w:before="280" w:after="200"/>
              <w:rPr>
                <w:rFonts w:ascii="Calibri" w:hAnsi="Calibri" w:cs="Calibri"/>
                <w:b/>
                <w:i/>
                <w:color w:val="A729A8"/>
                <w:sz w:val="19"/>
              </w:rPr>
            </w:pPr>
            <w:r w:rsidRPr="004E6E2C">
              <w:rPr>
                <w:rFonts w:ascii="Calibri" w:hAnsi="Calibri" w:cs="Calibri"/>
                <w:b/>
                <w:i/>
                <w:color w:val="A729A8"/>
                <w:sz w:val="19"/>
              </w:rPr>
              <w:t>Valor ln(CPGI)</w:t>
            </w:r>
          </w:p>
        </w:tc>
        <w:tc>
          <w:tcPr>
            <w:tcW w:w="2268" w:type="dxa"/>
            <w:shd w:val="clear" w:color="auto" w:fill="E1E1E1"/>
          </w:tcPr>
          <w:p w:rsidR="004E6E2C" w:rsidRPr="004E6E2C" w:rsidRDefault="004E6E2C" w:rsidP="004E6E2C">
            <w:pPr>
              <w:spacing w:before="280" w:after="200"/>
              <w:rPr>
                <w:rFonts w:ascii="Calibri" w:hAnsi="Calibri" w:cs="Calibri"/>
                <w:b/>
                <w:i/>
                <w:color w:val="A729A8"/>
                <w:sz w:val="19"/>
              </w:rPr>
            </w:pPr>
            <w:r w:rsidRPr="004E6E2C">
              <w:rPr>
                <w:rFonts w:ascii="Calibri" w:hAnsi="Calibri" w:cs="Calibri"/>
                <w:b/>
                <w:i/>
                <w:color w:val="A729A8"/>
                <w:sz w:val="19"/>
              </w:rPr>
              <w:t>% Cobertura CBT</w:t>
            </w:r>
          </w:p>
        </w:tc>
        <w:tc>
          <w:tcPr>
            <w:tcW w:w="2268" w:type="dxa"/>
            <w:shd w:val="clear" w:color="auto" w:fill="E1E1E1"/>
          </w:tcPr>
          <w:p w:rsidR="004E6E2C" w:rsidRPr="004E6E2C" w:rsidRDefault="004E6E2C" w:rsidP="004E6E2C">
            <w:pPr>
              <w:spacing w:before="280" w:after="200"/>
              <w:rPr>
                <w:rFonts w:ascii="Calibri" w:hAnsi="Calibri" w:cs="Calibri"/>
                <w:b/>
                <w:i/>
                <w:color w:val="A729A8"/>
                <w:sz w:val="19"/>
              </w:rPr>
            </w:pPr>
            <w:r w:rsidRPr="004E6E2C">
              <w:rPr>
                <w:rFonts w:ascii="Calibri" w:hAnsi="Calibri" w:cs="Calibri"/>
                <w:b/>
                <w:i/>
                <w:color w:val="A729A8"/>
                <w:sz w:val="19"/>
              </w:rPr>
              <w:t>Clasificacion Socioeconomica</w:t>
            </w:r>
          </w:p>
        </w:tc>
      </w:tr>
      <w:tr w:rsidR="004E6E2C" w:rsidRPr="004E6E2C" w:rsidTr="004E6E2C">
        <w:tblPrEx>
          <w:tblCellMar>
            <w:top w:w="0" w:type="dxa"/>
            <w:bottom w:w="0" w:type="dxa"/>
          </w:tblCellMar>
        </w:tblPrEx>
        <w:tc>
          <w:tcPr>
            <w:tcW w:w="2268" w:type="dxa"/>
            <w:shd w:val="clear" w:color="auto" w:fill="auto"/>
          </w:tcPr>
          <w:p w:rsidR="004E6E2C" w:rsidRPr="004E6E2C" w:rsidRDefault="004E6E2C" w:rsidP="004E6E2C">
            <w:pPr>
              <w:spacing w:before="280" w:after="200"/>
              <w:rPr>
                <w:rFonts w:ascii="Calibri" w:hAnsi="Calibri" w:cs="Calibri"/>
                <w:b/>
                <w:i/>
                <w:color w:val="A729A8"/>
                <w:sz w:val="19"/>
              </w:rPr>
            </w:pPr>
            <w:r>
              <w:rPr>
                <w:rFonts w:ascii="Calibri" w:hAnsi="Calibri" w:cs="Calibri"/>
                <w:b/>
                <w:i/>
                <w:color w:val="A729A8"/>
                <w:sz w:val="19"/>
              </w:rPr>
              <w:t>CPGI &lt; 0.50</w:t>
            </w:r>
          </w:p>
        </w:tc>
        <w:tc>
          <w:tcPr>
            <w:tcW w:w="2268" w:type="dxa"/>
            <w:shd w:val="clear" w:color="auto" w:fill="auto"/>
          </w:tcPr>
          <w:p w:rsidR="004E6E2C" w:rsidRPr="004E6E2C" w:rsidRDefault="004E6E2C" w:rsidP="004E6E2C">
            <w:pPr>
              <w:spacing w:before="280" w:after="200"/>
              <w:rPr>
                <w:rFonts w:ascii="Calibri" w:hAnsi="Calibri" w:cs="Calibri"/>
                <w:b/>
                <w:i/>
                <w:color w:val="A729A8"/>
                <w:sz w:val="19"/>
              </w:rPr>
            </w:pPr>
            <w:r>
              <w:rPr>
                <w:rFonts w:ascii="Calibri" w:hAnsi="Calibri" w:cs="Calibri"/>
                <w:b/>
                <w:i/>
                <w:color w:val="A729A8"/>
                <w:sz w:val="19"/>
              </w:rPr>
              <w:t>&lt; -0.69</w:t>
            </w:r>
          </w:p>
        </w:tc>
        <w:tc>
          <w:tcPr>
            <w:tcW w:w="2268" w:type="dxa"/>
            <w:shd w:val="clear" w:color="auto" w:fill="auto"/>
          </w:tcPr>
          <w:p w:rsidR="004E6E2C" w:rsidRPr="004E6E2C" w:rsidRDefault="004E6E2C" w:rsidP="004E6E2C">
            <w:pPr>
              <w:spacing w:before="280" w:after="200"/>
              <w:rPr>
                <w:rFonts w:ascii="Calibri" w:hAnsi="Calibri" w:cs="Calibri"/>
                <w:b/>
                <w:i/>
                <w:color w:val="A729A8"/>
                <w:sz w:val="19"/>
              </w:rPr>
            </w:pPr>
            <w:r>
              <w:rPr>
                <w:rFonts w:ascii="Calibri" w:hAnsi="Calibri" w:cs="Calibri"/>
                <w:b/>
                <w:i/>
                <w:color w:val="A729A8"/>
                <w:sz w:val="19"/>
              </w:rPr>
              <w:t>Cubre menos del 50%</w:t>
            </w:r>
          </w:p>
        </w:tc>
        <w:tc>
          <w:tcPr>
            <w:tcW w:w="2268" w:type="dxa"/>
            <w:shd w:val="clear" w:color="auto" w:fill="auto"/>
          </w:tcPr>
          <w:p w:rsidR="004E6E2C" w:rsidRPr="004E6E2C" w:rsidRDefault="004E6E2C" w:rsidP="004E6E2C">
            <w:pPr>
              <w:spacing w:before="280" w:after="200"/>
              <w:rPr>
                <w:rFonts w:ascii="Calibri" w:hAnsi="Calibri" w:cs="Calibri"/>
                <w:b/>
                <w:i/>
                <w:color w:val="A729A8"/>
                <w:sz w:val="19"/>
              </w:rPr>
            </w:pPr>
            <w:r>
              <w:rPr>
                <w:rFonts w:ascii="Calibri" w:hAnsi="Calibri" w:cs="Calibri"/>
                <w:b/>
                <w:i/>
                <w:color w:val="A729A8"/>
                <w:sz w:val="19"/>
              </w:rPr>
              <w:t>Indigencia Extrema (Pobreza Severa)</w:t>
            </w:r>
          </w:p>
        </w:tc>
      </w:tr>
      <w:tr w:rsidR="004E6E2C" w:rsidRPr="004E6E2C" w:rsidTr="004E6E2C">
        <w:tblPrEx>
          <w:tblCellMar>
            <w:top w:w="0" w:type="dxa"/>
            <w:bottom w:w="0" w:type="dxa"/>
          </w:tblCellMar>
        </w:tblPrEx>
        <w:tc>
          <w:tcPr>
            <w:tcW w:w="2268" w:type="dxa"/>
            <w:shd w:val="clear" w:color="auto" w:fill="auto"/>
          </w:tcPr>
          <w:p w:rsidR="004E6E2C" w:rsidRPr="004E6E2C" w:rsidRDefault="004E6E2C" w:rsidP="004E6E2C">
            <w:pPr>
              <w:spacing w:before="280" w:after="200"/>
              <w:rPr>
                <w:rFonts w:ascii="Calibri" w:hAnsi="Calibri" w:cs="Calibri"/>
                <w:b/>
                <w:i/>
                <w:color w:val="A729A8"/>
                <w:sz w:val="19"/>
              </w:rPr>
            </w:pPr>
            <w:r>
              <w:rPr>
                <w:rFonts w:ascii="Calibri" w:hAnsi="Calibri" w:cs="Calibri"/>
                <w:b/>
                <w:i/>
                <w:color w:val="A729A8"/>
                <w:sz w:val="19"/>
              </w:rPr>
              <w:t>0.50 &lt;= CPGI &lt; 1.00</w:t>
            </w:r>
          </w:p>
        </w:tc>
        <w:tc>
          <w:tcPr>
            <w:tcW w:w="2268" w:type="dxa"/>
            <w:shd w:val="clear" w:color="auto" w:fill="auto"/>
          </w:tcPr>
          <w:p w:rsidR="004E6E2C" w:rsidRPr="004E6E2C" w:rsidRDefault="004E6E2C" w:rsidP="004E6E2C">
            <w:pPr>
              <w:spacing w:before="280" w:after="200"/>
              <w:rPr>
                <w:rFonts w:ascii="Calibri" w:hAnsi="Calibri" w:cs="Calibri"/>
                <w:b/>
                <w:i/>
                <w:color w:val="A729A8"/>
                <w:sz w:val="19"/>
              </w:rPr>
            </w:pPr>
            <w:r>
              <w:rPr>
                <w:rFonts w:ascii="Calibri" w:hAnsi="Calibri" w:cs="Calibri"/>
                <w:b/>
                <w:i/>
                <w:color w:val="A729A8"/>
                <w:sz w:val="19"/>
              </w:rPr>
              <w:t>-0.69 a 0.00</w:t>
            </w:r>
          </w:p>
        </w:tc>
        <w:tc>
          <w:tcPr>
            <w:tcW w:w="2268" w:type="dxa"/>
            <w:shd w:val="clear" w:color="auto" w:fill="auto"/>
          </w:tcPr>
          <w:p w:rsidR="004E6E2C" w:rsidRPr="004E6E2C" w:rsidRDefault="004E6E2C" w:rsidP="004E6E2C">
            <w:pPr>
              <w:spacing w:before="280" w:after="200"/>
              <w:rPr>
                <w:rFonts w:ascii="Calibri" w:hAnsi="Calibri" w:cs="Calibri"/>
                <w:b/>
                <w:i/>
                <w:color w:val="A729A8"/>
                <w:sz w:val="19"/>
              </w:rPr>
            </w:pPr>
            <w:r>
              <w:rPr>
                <w:rFonts w:ascii="Calibri" w:hAnsi="Calibri" w:cs="Calibri"/>
                <w:b/>
                <w:i/>
                <w:color w:val="A729A8"/>
                <w:sz w:val="19"/>
              </w:rPr>
              <w:t>Cubre entre 50% y 99%</w:t>
            </w:r>
          </w:p>
        </w:tc>
        <w:tc>
          <w:tcPr>
            <w:tcW w:w="2268" w:type="dxa"/>
            <w:shd w:val="clear" w:color="auto" w:fill="auto"/>
          </w:tcPr>
          <w:p w:rsidR="004E6E2C" w:rsidRPr="004E6E2C" w:rsidRDefault="004E6E2C" w:rsidP="004E6E2C">
            <w:pPr>
              <w:spacing w:before="280" w:after="200"/>
              <w:rPr>
                <w:rFonts w:ascii="Calibri" w:hAnsi="Calibri" w:cs="Calibri"/>
                <w:b/>
                <w:i/>
                <w:color w:val="A729A8"/>
                <w:sz w:val="19"/>
              </w:rPr>
            </w:pPr>
            <w:r>
              <w:rPr>
                <w:rFonts w:ascii="Calibri" w:hAnsi="Calibri" w:cs="Calibri"/>
                <w:b/>
                <w:i/>
                <w:color w:val="A729A8"/>
                <w:sz w:val="19"/>
              </w:rPr>
              <w:t>Pobreza No Indigente</w:t>
            </w:r>
          </w:p>
        </w:tc>
      </w:tr>
      <w:tr w:rsidR="004E6E2C" w:rsidRPr="004E6E2C" w:rsidTr="004E6E2C">
        <w:tblPrEx>
          <w:tblCellMar>
            <w:top w:w="0" w:type="dxa"/>
            <w:bottom w:w="0" w:type="dxa"/>
          </w:tblCellMar>
        </w:tblPrEx>
        <w:tc>
          <w:tcPr>
            <w:tcW w:w="2268" w:type="dxa"/>
            <w:shd w:val="clear" w:color="auto" w:fill="auto"/>
          </w:tcPr>
          <w:p w:rsidR="004E6E2C" w:rsidRPr="004E6E2C" w:rsidRDefault="004E6E2C" w:rsidP="004E6E2C">
            <w:pPr>
              <w:spacing w:before="280" w:after="200"/>
              <w:rPr>
                <w:rFonts w:ascii="Calibri" w:hAnsi="Calibri" w:cs="Calibri"/>
                <w:b/>
                <w:i/>
                <w:color w:val="A729A8"/>
                <w:sz w:val="19"/>
              </w:rPr>
            </w:pPr>
            <w:r>
              <w:rPr>
                <w:rFonts w:ascii="Calibri" w:hAnsi="Calibri" w:cs="Calibri"/>
                <w:b/>
                <w:i/>
                <w:color w:val="A729A8"/>
                <w:sz w:val="19"/>
              </w:rPr>
              <w:t>CPGI = 1.00</w:t>
            </w:r>
          </w:p>
        </w:tc>
        <w:tc>
          <w:tcPr>
            <w:tcW w:w="2268" w:type="dxa"/>
            <w:shd w:val="clear" w:color="auto" w:fill="auto"/>
          </w:tcPr>
          <w:p w:rsidR="004E6E2C" w:rsidRPr="004E6E2C" w:rsidRDefault="004E6E2C" w:rsidP="004E6E2C">
            <w:pPr>
              <w:spacing w:before="280" w:after="200"/>
              <w:rPr>
                <w:rFonts w:ascii="Calibri" w:hAnsi="Calibri" w:cs="Calibri"/>
                <w:b/>
                <w:i/>
                <w:color w:val="A729A8"/>
                <w:sz w:val="19"/>
              </w:rPr>
            </w:pPr>
            <w:r>
              <w:rPr>
                <w:rFonts w:ascii="Calibri" w:hAnsi="Calibri" w:cs="Calibri"/>
                <w:b/>
                <w:i/>
                <w:color w:val="A729A8"/>
                <w:sz w:val="19"/>
              </w:rPr>
              <w:t>= 0.00</w:t>
            </w:r>
          </w:p>
        </w:tc>
        <w:tc>
          <w:tcPr>
            <w:tcW w:w="2268" w:type="dxa"/>
            <w:shd w:val="clear" w:color="auto" w:fill="auto"/>
          </w:tcPr>
          <w:p w:rsidR="004E6E2C" w:rsidRPr="004E6E2C" w:rsidRDefault="004E6E2C" w:rsidP="004E6E2C">
            <w:pPr>
              <w:spacing w:before="280" w:after="200"/>
              <w:rPr>
                <w:rFonts w:ascii="Calibri" w:hAnsi="Calibri" w:cs="Calibri"/>
                <w:b/>
                <w:i/>
                <w:color w:val="A729A8"/>
                <w:sz w:val="19"/>
              </w:rPr>
            </w:pPr>
            <w:r>
              <w:rPr>
                <w:rFonts w:ascii="Calibri" w:hAnsi="Calibri" w:cs="Calibri"/>
                <w:b/>
                <w:i/>
                <w:color w:val="A729A8"/>
                <w:sz w:val="19"/>
              </w:rPr>
              <w:t>Cubre exactamente 100%</w:t>
            </w:r>
          </w:p>
        </w:tc>
        <w:tc>
          <w:tcPr>
            <w:tcW w:w="2268" w:type="dxa"/>
            <w:shd w:val="clear" w:color="auto" w:fill="auto"/>
          </w:tcPr>
          <w:p w:rsidR="004E6E2C" w:rsidRPr="004E6E2C" w:rsidRDefault="004E6E2C" w:rsidP="004E6E2C">
            <w:pPr>
              <w:spacing w:before="280" w:after="200"/>
              <w:rPr>
                <w:rFonts w:ascii="Calibri" w:hAnsi="Calibri" w:cs="Calibri"/>
                <w:b/>
                <w:i/>
                <w:color w:val="A729A8"/>
                <w:sz w:val="19"/>
              </w:rPr>
            </w:pPr>
            <w:r>
              <w:rPr>
                <w:rFonts w:ascii="Calibri" w:hAnsi="Calibri" w:cs="Calibri"/>
                <w:b/>
                <w:i/>
                <w:color w:val="A729A8"/>
                <w:sz w:val="19"/>
              </w:rPr>
              <w:t>Linea de Pobreza (Umbral de Corte)</w:t>
            </w:r>
          </w:p>
        </w:tc>
      </w:tr>
      <w:tr w:rsidR="004E6E2C" w:rsidRPr="004E6E2C" w:rsidTr="004E6E2C">
        <w:tblPrEx>
          <w:tblCellMar>
            <w:top w:w="0" w:type="dxa"/>
            <w:bottom w:w="0" w:type="dxa"/>
          </w:tblCellMar>
        </w:tblPrEx>
        <w:tc>
          <w:tcPr>
            <w:tcW w:w="2268" w:type="dxa"/>
            <w:shd w:val="clear" w:color="auto" w:fill="auto"/>
          </w:tcPr>
          <w:p w:rsidR="004E6E2C" w:rsidRPr="004E6E2C" w:rsidRDefault="004E6E2C" w:rsidP="004E6E2C">
            <w:pPr>
              <w:spacing w:before="280" w:after="200"/>
              <w:rPr>
                <w:rFonts w:ascii="Calibri" w:hAnsi="Calibri" w:cs="Calibri"/>
                <w:b/>
                <w:i/>
                <w:color w:val="A729A8"/>
                <w:sz w:val="19"/>
              </w:rPr>
            </w:pPr>
            <w:r>
              <w:rPr>
                <w:rFonts w:ascii="Calibri" w:hAnsi="Calibri" w:cs="Calibri"/>
                <w:b/>
                <w:i/>
                <w:color w:val="A729A8"/>
                <w:sz w:val="19"/>
              </w:rPr>
              <w:t>1.00 &lt; CPGI &lt;= 1.50</w:t>
            </w:r>
          </w:p>
        </w:tc>
        <w:tc>
          <w:tcPr>
            <w:tcW w:w="2268" w:type="dxa"/>
            <w:shd w:val="clear" w:color="auto" w:fill="auto"/>
          </w:tcPr>
          <w:p w:rsidR="004E6E2C" w:rsidRPr="004E6E2C" w:rsidRDefault="004E6E2C" w:rsidP="004E6E2C">
            <w:pPr>
              <w:spacing w:before="280" w:after="200"/>
              <w:rPr>
                <w:rFonts w:ascii="Calibri" w:hAnsi="Calibri" w:cs="Calibri"/>
                <w:b/>
                <w:i/>
                <w:color w:val="A729A8"/>
                <w:sz w:val="19"/>
              </w:rPr>
            </w:pPr>
            <w:r>
              <w:rPr>
                <w:rFonts w:ascii="Calibri" w:hAnsi="Calibri" w:cs="Calibri"/>
                <w:b/>
                <w:i/>
                <w:color w:val="A729A8"/>
                <w:sz w:val="19"/>
              </w:rPr>
              <w:t>0.00 a +0.40</w:t>
            </w:r>
          </w:p>
        </w:tc>
        <w:tc>
          <w:tcPr>
            <w:tcW w:w="2268" w:type="dxa"/>
            <w:shd w:val="clear" w:color="auto" w:fill="auto"/>
          </w:tcPr>
          <w:p w:rsidR="004E6E2C" w:rsidRPr="004E6E2C" w:rsidRDefault="004E6E2C" w:rsidP="004E6E2C">
            <w:pPr>
              <w:spacing w:before="280" w:after="200"/>
              <w:rPr>
                <w:rFonts w:ascii="Calibri" w:hAnsi="Calibri" w:cs="Calibri"/>
                <w:b/>
                <w:i/>
                <w:color w:val="A729A8"/>
                <w:sz w:val="19"/>
              </w:rPr>
            </w:pPr>
            <w:r>
              <w:rPr>
                <w:rFonts w:ascii="Calibri" w:hAnsi="Calibri" w:cs="Calibri"/>
                <w:b/>
                <w:i/>
                <w:color w:val="A729A8"/>
                <w:sz w:val="19"/>
              </w:rPr>
              <w:t>Cubre de 100% a 150%</w:t>
            </w:r>
          </w:p>
        </w:tc>
        <w:tc>
          <w:tcPr>
            <w:tcW w:w="2268" w:type="dxa"/>
            <w:shd w:val="clear" w:color="auto" w:fill="auto"/>
          </w:tcPr>
          <w:p w:rsidR="004E6E2C" w:rsidRPr="004E6E2C" w:rsidRDefault="004E6E2C" w:rsidP="004E6E2C">
            <w:pPr>
              <w:spacing w:before="280" w:after="200"/>
              <w:rPr>
                <w:rFonts w:ascii="Calibri" w:hAnsi="Calibri" w:cs="Calibri"/>
                <w:b/>
                <w:i/>
                <w:color w:val="A729A8"/>
                <w:sz w:val="19"/>
              </w:rPr>
            </w:pPr>
            <w:r>
              <w:rPr>
                <w:rFonts w:ascii="Calibri" w:hAnsi="Calibri" w:cs="Calibri"/>
                <w:b/>
                <w:i/>
                <w:color w:val="A729A8"/>
                <w:sz w:val="19"/>
              </w:rPr>
              <w:t>Vulnerable No Pobre</w:t>
            </w:r>
          </w:p>
        </w:tc>
      </w:tr>
      <w:tr w:rsidR="004E6E2C" w:rsidRPr="004E6E2C" w:rsidTr="004E6E2C">
        <w:tblPrEx>
          <w:tblCellMar>
            <w:top w:w="0" w:type="dxa"/>
            <w:bottom w:w="0" w:type="dxa"/>
          </w:tblCellMar>
        </w:tblPrEx>
        <w:tc>
          <w:tcPr>
            <w:tcW w:w="2268" w:type="dxa"/>
            <w:shd w:val="clear" w:color="auto" w:fill="auto"/>
          </w:tcPr>
          <w:p w:rsidR="004E6E2C" w:rsidRPr="004E6E2C" w:rsidRDefault="004E6E2C" w:rsidP="004E6E2C">
            <w:pPr>
              <w:spacing w:before="280" w:after="200"/>
              <w:rPr>
                <w:rFonts w:ascii="Calibri" w:hAnsi="Calibri" w:cs="Calibri"/>
                <w:b/>
                <w:i/>
                <w:color w:val="A729A8"/>
                <w:sz w:val="19"/>
              </w:rPr>
            </w:pPr>
            <w:r>
              <w:rPr>
                <w:rFonts w:ascii="Calibri" w:hAnsi="Calibri" w:cs="Calibri"/>
                <w:b/>
                <w:i/>
                <w:color w:val="A729A8"/>
                <w:sz w:val="19"/>
              </w:rPr>
              <w:t>CPGI &gt; 1.50</w:t>
            </w:r>
          </w:p>
        </w:tc>
        <w:tc>
          <w:tcPr>
            <w:tcW w:w="2268" w:type="dxa"/>
            <w:shd w:val="clear" w:color="auto" w:fill="auto"/>
          </w:tcPr>
          <w:p w:rsidR="004E6E2C" w:rsidRPr="004E6E2C" w:rsidRDefault="004E6E2C" w:rsidP="004E6E2C">
            <w:pPr>
              <w:spacing w:before="280" w:after="200"/>
              <w:rPr>
                <w:rFonts w:ascii="Calibri" w:hAnsi="Calibri" w:cs="Calibri"/>
                <w:b/>
                <w:i/>
                <w:color w:val="A729A8"/>
                <w:sz w:val="19"/>
              </w:rPr>
            </w:pPr>
            <w:r>
              <w:rPr>
                <w:rFonts w:ascii="Calibri" w:hAnsi="Calibri" w:cs="Calibri"/>
                <w:b/>
                <w:i/>
                <w:color w:val="A729A8"/>
                <w:sz w:val="19"/>
              </w:rPr>
              <w:t>&gt; +0.40</w:t>
            </w:r>
          </w:p>
        </w:tc>
        <w:tc>
          <w:tcPr>
            <w:tcW w:w="2268" w:type="dxa"/>
            <w:shd w:val="clear" w:color="auto" w:fill="auto"/>
          </w:tcPr>
          <w:p w:rsidR="004E6E2C" w:rsidRPr="004E6E2C" w:rsidRDefault="004E6E2C" w:rsidP="004E6E2C">
            <w:pPr>
              <w:spacing w:before="280" w:after="200"/>
              <w:rPr>
                <w:rFonts w:ascii="Calibri" w:hAnsi="Calibri" w:cs="Calibri"/>
                <w:b/>
                <w:i/>
                <w:color w:val="A729A8"/>
                <w:sz w:val="19"/>
              </w:rPr>
            </w:pPr>
            <w:r>
              <w:rPr>
                <w:rFonts w:ascii="Calibri" w:hAnsi="Calibri" w:cs="Calibri"/>
                <w:b/>
                <w:i/>
                <w:color w:val="A729A8"/>
                <w:sz w:val="19"/>
              </w:rPr>
              <w:t>Supera holgadamente el 150%</w:t>
            </w:r>
          </w:p>
        </w:tc>
        <w:tc>
          <w:tcPr>
            <w:tcW w:w="2268" w:type="dxa"/>
            <w:shd w:val="clear" w:color="auto" w:fill="auto"/>
          </w:tcPr>
          <w:p w:rsidR="004E6E2C" w:rsidRPr="004E6E2C" w:rsidRDefault="004E6E2C" w:rsidP="004E6E2C">
            <w:pPr>
              <w:spacing w:before="280" w:after="200"/>
              <w:rPr>
                <w:rFonts w:ascii="Calibri" w:hAnsi="Calibri" w:cs="Calibri"/>
                <w:b/>
                <w:i/>
                <w:color w:val="A729A8"/>
                <w:sz w:val="19"/>
              </w:rPr>
            </w:pPr>
            <w:r>
              <w:rPr>
                <w:rFonts w:ascii="Calibri" w:hAnsi="Calibri" w:cs="Calibri"/>
                <w:b/>
                <w:i/>
                <w:color w:val="A729A8"/>
                <w:sz w:val="19"/>
              </w:rPr>
              <w:t>No Pobre Estabilizado</w:t>
            </w:r>
          </w:p>
        </w:tc>
      </w:tr>
    </w:tbl>
    <w:p w:rsidR="004E6E2C" w:rsidRDefault="004E6E2C" w:rsidP="004E6E2C">
      <w:pPr>
        <w:spacing w:before="280" w:after="200"/>
        <w:rPr>
          <w:rFonts w:ascii="Calibri" w:hAnsi="Calibri" w:cs="Calibri"/>
          <w:b/>
          <w:i/>
          <w:color w:val="A729A8"/>
          <w:sz w:val="30"/>
        </w:rPr>
      </w:pPr>
    </w:p>
    <w:p w:rsidR="004E6E2C" w:rsidRDefault="004E6E2C" w:rsidP="004E6E2C">
      <w:pPr>
        <w:spacing w:before="280" w:after="200"/>
        <w:rPr>
          <w:rFonts w:ascii="Calibri" w:hAnsi="Calibri" w:cs="Calibri"/>
          <w:b/>
          <w:i/>
          <w:color w:val="A729A8"/>
          <w:sz w:val="30"/>
        </w:rPr>
      </w:pPr>
      <w:r>
        <w:rPr>
          <w:rFonts w:ascii="Calibri" w:hAnsi="Calibri" w:cs="Calibri"/>
          <w:b/>
          <w:i/>
          <w:color w:val="A729A8"/>
          <w:sz w:val="30"/>
        </w:rPr>
        <w:t>Especificacion aprobada para el Sistema de Informacion Integrado Social (SIIS).</w:t>
      </w:r>
    </w:p>
    <w:p w:rsidR="004E6E2C" w:rsidRDefault="004E6E2C" w:rsidP="004E6E2C">
      <w:pPr>
        <w:spacing w:before="280" w:after="120"/>
        <w:rPr>
          <w:rFonts w:ascii="Calibri" w:hAnsi="Calibri" w:cs="Calibri"/>
          <w:b/>
          <w:i/>
          <w:color w:val="666666"/>
          <w:sz w:val="20"/>
        </w:rPr>
      </w:pPr>
      <w:r w:rsidRPr="004E6E2C">
        <w:rPr>
          <w:rFonts w:ascii="Calibri" w:hAnsi="Calibri" w:cs="Calibri"/>
          <w:b/>
          <w:i/>
          <w:color w:val="666666"/>
          <w:sz w:val="20"/>
        </w:rPr>
        <w:t>Ministerio de Capital Humano - Secretaria de Primera Infancia (Julio 2026).</w:t>
      </w:r>
    </w:p>
    <w:p w:rsidR="004E6E2C" w:rsidRPr="004E6E2C" w:rsidRDefault="004E6E2C" w:rsidP="004E6E2C">
      <w:pPr>
        <w:spacing w:before="280" w:after="120"/>
        <w:rPr>
          <w:rFonts w:ascii="Calibri" w:hAnsi="Calibri" w:cs="Calibri"/>
          <w:b/>
          <w:i/>
          <w:color w:val="666666"/>
          <w:sz w:val="20"/>
        </w:rPr>
      </w:pPr>
    </w:p>
    <w:sectPr w:rsidR="004E6E2C" w:rsidRPr="004E6E2C" w:rsidSect="004E6E2C">
      <w:pgSz w:w="11906" w:h="16838"/>
      <w:pgMar w:top="1134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6E2C"/>
    <w:rsid w:val="00263150"/>
    <w:rsid w:val="004E6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49E5C0F-DB14-43AB-9119-045B98AAF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644</Words>
  <Characters>3547</Characters>
  <Application>Microsoft Office Word</Application>
  <DocSecurity>0</DocSecurity>
  <Lines>29</Lines>
  <Paragraphs>8</Paragraphs>
  <ScaleCrop>false</ScaleCrop>
  <Company/>
  <LinksUpToDate>false</LinksUpToDate>
  <CharactersWithSpaces>4183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Rolando Cristao</dc:creator>
  <cp:keywords/>
  <dc:description/>
  <cp:lastModifiedBy>Rolando Cristao</cp:lastModifiedBy>
  <cp:revision>1</cp:revision>
  <dcterms:created xsi:type="dcterms:W3CDTF">2026-09-01T21:04:00Z</dcterms:created>
  <dcterms:modified xsi:type="dcterms:W3CDTF">2026-09-01T21:04:00Z</dcterms:modified>
</cp:coreProperties>
</file>