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EEA7" w14:textId="77777777" w:rsidR="00CB66A5" w:rsidRPr="0005395F" w:rsidRDefault="00CB66A5" w:rsidP="00CB66A5">
      <w:pPr>
        <w:tabs>
          <w:tab w:val="left" w:pos="6492"/>
        </w:tabs>
        <w:spacing w:after="0"/>
        <w:jc w:val="center"/>
        <w:rPr>
          <w:sz w:val="20"/>
          <w:szCs w:val="20"/>
          <w:lang w:val="es-PE"/>
        </w:rPr>
      </w:pPr>
      <w:r w:rsidRPr="0005395F">
        <w:rPr>
          <w:b/>
          <w:sz w:val="21"/>
          <w:szCs w:val="20"/>
          <w:lang w:val="es-PE"/>
        </w:rPr>
        <w:t>UNIVERSIDAD NACIONAL MAYO</w:t>
      </w:r>
      <w:r>
        <w:rPr>
          <w:b/>
          <w:sz w:val="21"/>
          <w:szCs w:val="20"/>
          <w:lang w:val="es-PE"/>
        </w:rPr>
        <w:t>R</w:t>
      </w:r>
      <w:r w:rsidRPr="0005395F">
        <w:rPr>
          <w:b/>
          <w:sz w:val="21"/>
          <w:szCs w:val="20"/>
          <w:lang w:val="es-PE"/>
        </w:rPr>
        <w:t xml:space="preserve"> DE SAN MARCOS</w:t>
      </w:r>
    </w:p>
    <w:p w14:paraId="6E6A2A12" w14:textId="77777777" w:rsidR="00CB66A5" w:rsidRDefault="00CB66A5" w:rsidP="00CB66A5">
      <w:pPr>
        <w:spacing w:after="0"/>
        <w:jc w:val="center"/>
        <w:rPr>
          <w:b/>
          <w:sz w:val="20"/>
          <w:szCs w:val="20"/>
        </w:rPr>
      </w:pPr>
      <w:r w:rsidRPr="0005395F">
        <w:rPr>
          <w:b/>
          <w:sz w:val="18"/>
          <w:szCs w:val="20"/>
        </w:rPr>
        <w:t>Doctoral Program in Deep Tech with a Focus on Artificial Intelligence</w:t>
      </w:r>
    </w:p>
    <w:p w14:paraId="68FA6B36" w14:textId="79DCF796" w:rsidR="00CB66A5" w:rsidRDefault="00CB66A5" w:rsidP="00CB66A5">
      <w:pPr>
        <w:jc w:val="center"/>
        <w:rPr>
          <w:b/>
          <w:sz w:val="18"/>
          <w:szCs w:val="20"/>
        </w:rPr>
      </w:pPr>
      <w:r w:rsidRPr="0005395F">
        <w:rPr>
          <w:b/>
          <w:sz w:val="18"/>
          <w:szCs w:val="20"/>
        </w:rPr>
        <w:t>and Emerging Technologies</w:t>
      </w:r>
    </w:p>
    <w:p w14:paraId="552B5329" w14:textId="77777777" w:rsidR="00CB66A5" w:rsidRDefault="00CB66A5" w:rsidP="00CB66A5">
      <w:pPr>
        <w:jc w:val="center"/>
        <w:rPr>
          <w:b/>
          <w:sz w:val="18"/>
          <w:szCs w:val="20"/>
        </w:rPr>
      </w:pPr>
    </w:p>
    <w:p w14:paraId="21992D59" w14:textId="5DE6D5DC" w:rsidR="00CB66A5" w:rsidRDefault="00CB66A5" w:rsidP="00CB66A5">
      <w:pPr>
        <w:jc w:val="center"/>
        <w:rPr>
          <w:b/>
          <w:sz w:val="18"/>
          <w:szCs w:val="20"/>
        </w:rPr>
      </w:pPr>
      <w:r>
        <w:rPr>
          <w:b/>
          <w:sz w:val="18"/>
          <w:szCs w:val="20"/>
        </w:rPr>
        <w:t>DELIVERABLE No. 2 – METHOD FIT MATRIX (E.D.F.C.V.)</w:t>
      </w:r>
    </w:p>
    <w:p w14:paraId="483F3A8C" w14:textId="7C1A59E3" w:rsidR="00CB66A5" w:rsidRDefault="00CB66A5" w:rsidP="00CB66A5">
      <w:pPr>
        <w:jc w:val="center"/>
      </w:pPr>
      <w:r>
        <w:tab/>
      </w:r>
    </w:p>
    <w:p w14:paraId="08CBF2D1" w14:textId="0CBD3F9B" w:rsidR="00CB66A5" w:rsidRPr="00CB66A5" w:rsidRDefault="00CB66A5" w:rsidP="00CB66A5">
      <w:pPr>
        <w:spacing w:after="44"/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Research topic: </w:t>
      </w:r>
      <w:r>
        <w:rPr>
          <w:bCs/>
          <w:sz w:val="20"/>
          <w:szCs w:val="20"/>
        </w:rPr>
        <w:t xml:space="preserve">Artificial intelligence governance </w:t>
      </w:r>
      <w:proofErr w:type="spellStart"/>
      <w:r>
        <w:rPr>
          <w:bCs/>
          <w:sz w:val="20"/>
          <w:szCs w:val="20"/>
        </w:rPr>
        <w:t>maturiry</w:t>
      </w:r>
      <w:proofErr w:type="spellEnd"/>
      <w:r>
        <w:rPr>
          <w:bCs/>
          <w:sz w:val="20"/>
          <w:szCs w:val="20"/>
        </w:rPr>
        <w:t xml:space="preserve"> model for Peruvian organizations within the framework of Law No. 31814 and NTP-ISO/IEC 42001:2025: design, validation, and automated compliance assessment.</w:t>
      </w:r>
    </w:p>
    <w:p w14:paraId="0C85FE5E" w14:textId="2D97F194" w:rsidR="00CB66A5" w:rsidRPr="00CB66A5" w:rsidRDefault="00CB66A5" w:rsidP="00CB66A5">
      <w:pPr>
        <w:spacing w:after="44"/>
        <w:jc w:val="both"/>
        <w:rPr>
          <w:bCs/>
          <w:sz w:val="20"/>
          <w:szCs w:val="20"/>
        </w:rPr>
      </w:pPr>
      <w:r>
        <w:rPr>
          <w:b/>
          <w:sz w:val="20"/>
          <w:szCs w:val="20"/>
        </w:rPr>
        <w:t xml:space="preserve">Refined research question: </w:t>
      </w:r>
      <w:r>
        <w:rPr>
          <w:bCs/>
          <w:sz w:val="20"/>
          <w:szCs w:val="20"/>
        </w:rPr>
        <w:t>How can a context-specific AI governance maturity model and an LLM-assisted compliance assessment artifact be designed and rigorously evaluated to help Peruvian public and private organizations assess and improve their governance maturity and effective compliance capacity?</w:t>
      </w:r>
    </w:p>
    <w:p w14:paraId="3DD3ADED" w14:textId="4496677A" w:rsidR="00CB66A5" w:rsidRDefault="00CB66A5" w:rsidP="00CB66A5">
      <w:pPr>
        <w:jc w:val="both"/>
        <w:rPr>
          <w:sz w:val="20"/>
          <w:szCs w:val="20"/>
        </w:rPr>
      </w:pPr>
      <w:r w:rsidRPr="00CB66A5">
        <w:rPr>
          <w:b/>
          <w:bCs/>
          <w:sz w:val="20"/>
          <w:szCs w:val="20"/>
        </w:rPr>
        <w:t>Primary paradigm: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Design Science Research (DSR), with mixed-method evidence used in support of artifact design and evaluation.</w:t>
      </w:r>
    </w:p>
    <w:p w14:paraId="50317F58" w14:textId="38A5A0D3" w:rsidR="00CB66A5" w:rsidRDefault="00CB66A5" w:rsidP="00CB66A5">
      <w:pPr>
        <w:jc w:val="both"/>
        <w:rPr>
          <w:sz w:val="20"/>
          <w:szCs w:val="20"/>
        </w:rPr>
      </w:pPr>
      <w:r w:rsidRPr="00CB66A5">
        <w:rPr>
          <w:b/>
          <w:bCs/>
          <w:sz w:val="20"/>
          <w:szCs w:val="20"/>
        </w:rPr>
        <w:t>Weights:</w:t>
      </w:r>
      <w:r w:rsidR="002838AD">
        <w:rPr>
          <w:sz w:val="20"/>
          <w:szCs w:val="20"/>
        </w:rPr>
        <w:t xml:space="preserve"> E=30% D=20% F=15% C=20% V=15%</w:t>
      </w:r>
    </w:p>
    <w:p w14:paraId="348FB377" w14:textId="27E2A012" w:rsidR="002838AD" w:rsidRPr="002838AD" w:rsidRDefault="002838AD" w:rsidP="00CB66A5">
      <w:pPr>
        <w:jc w:val="both"/>
        <w:rPr>
          <w:sz w:val="20"/>
          <w:szCs w:val="20"/>
        </w:rPr>
      </w:pPr>
      <w:r w:rsidRPr="002838AD">
        <w:rPr>
          <w:b/>
          <w:bCs/>
          <w:sz w:val="20"/>
          <w:szCs w:val="20"/>
        </w:rPr>
        <w:t>Gate rule: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Any candidate scoring E </w:t>
      </w:r>
      <w:r w:rsidRPr="00AF5F25">
        <w:rPr>
          <w:sz w:val="20"/>
          <w:szCs w:val="20"/>
        </w:rPr>
        <w:t>≤</w:t>
      </w:r>
      <w:r>
        <w:rPr>
          <w:sz w:val="20"/>
          <w:szCs w:val="20"/>
        </w:rPr>
        <w:t xml:space="preserve"> 2 is eliminated regardless of its weighted total.</w:t>
      </w:r>
    </w:p>
    <w:p w14:paraId="22C57C75" w14:textId="77777777" w:rsidR="00CB66A5" w:rsidRDefault="00CB66A5" w:rsidP="00CB66A5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4"/>
        <w:gridCol w:w="577"/>
        <w:gridCol w:w="577"/>
        <w:gridCol w:w="577"/>
        <w:gridCol w:w="577"/>
        <w:gridCol w:w="577"/>
        <w:gridCol w:w="1026"/>
        <w:gridCol w:w="8243"/>
      </w:tblGrid>
      <w:tr w:rsidR="006A6B34" w:rsidRPr="0022290B" w14:paraId="1C1D4300" w14:textId="1C7541C7" w:rsidTr="006A6B34">
        <w:tc>
          <w:tcPr>
            <w:tcW w:w="1812" w:type="dxa"/>
          </w:tcPr>
          <w:p w14:paraId="246460F3" w14:textId="1038477D" w:rsidR="006A6B34" w:rsidRPr="0022290B" w:rsidRDefault="006A6B34" w:rsidP="00CB66A5">
            <w:pPr>
              <w:jc w:val="both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Candidate method</w:t>
            </w:r>
          </w:p>
        </w:tc>
        <w:tc>
          <w:tcPr>
            <w:tcW w:w="557" w:type="dxa"/>
          </w:tcPr>
          <w:p w14:paraId="39E81E46" w14:textId="44B1EB3F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E 30%</w:t>
            </w:r>
          </w:p>
        </w:tc>
        <w:tc>
          <w:tcPr>
            <w:tcW w:w="557" w:type="dxa"/>
          </w:tcPr>
          <w:p w14:paraId="18DE2EA9" w14:textId="2E343721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D 20%</w:t>
            </w:r>
          </w:p>
        </w:tc>
        <w:tc>
          <w:tcPr>
            <w:tcW w:w="557" w:type="dxa"/>
          </w:tcPr>
          <w:p w14:paraId="1EB0CAF6" w14:textId="4F4634B8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F 15%</w:t>
            </w:r>
          </w:p>
        </w:tc>
        <w:tc>
          <w:tcPr>
            <w:tcW w:w="557" w:type="dxa"/>
          </w:tcPr>
          <w:p w14:paraId="7F66F05E" w14:textId="092AEC90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C 20%</w:t>
            </w:r>
          </w:p>
        </w:tc>
        <w:tc>
          <w:tcPr>
            <w:tcW w:w="557" w:type="dxa"/>
          </w:tcPr>
          <w:p w14:paraId="2B203E69" w14:textId="268DD1FF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V 15%</w:t>
            </w:r>
          </w:p>
        </w:tc>
        <w:tc>
          <w:tcPr>
            <w:tcW w:w="935" w:type="dxa"/>
          </w:tcPr>
          <w:p w14:paraId="0F070A27" w14:textId="2ECF7255" w:rsidR="006A6B34" w:rsidRPr="0022290B" w:rsidRDefault="006A6B34" w:rsidP="006A6B34">
            <w:pPr>
              <w:jc w:val="center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Weighted score /5</w:t>
            </w:r>
          </w:p>
        </w:tc>
        <w:tc>
          <w:tcPr>
            <w:tcW w:w="8413" w:type="dxa"/>
          </w:tcPr>
          <w:p w14:paraId="5969282A" w14:textId="535EDE8E" w:rsidR="006A6B34" w:rsidRPr="0022290B" w:rsidRDefault="006A6B34" w:rsidP="00CB66A5">
            <w:pPr>
              <w:jc w:val="both"/>
              <w:rPr>
                <w:b/>
                <w:bCs/>
                <w:sz w:val="18"/>
                <w:szCs w:val="18"/>
              </w:rPr>
            </w:pPr>
            <w:r w:rsidRPr="0022290B">
              <w:rPr>
                <w:b/>
                <w:bCs/>
                <w:sz w:val="18"/>
                <w:szCs w:val="18"/>
              </w:rPr>
              <w:t>Method fit defense</w:t>
            </w:r>
          </w:p>
        </w:tc>
      </w:tr>
      <w:tr w:rsidR="006A6B34" w:rsidRPr="0022290B" w14:paraId="3A515CF2" w14:textId="3236A7EE" w:rsidTr="006A6B34">
        <w:tc>
          <w:tcPr>
            <w:tcW w:w="1812" w:type="dxa"/>
          </w:tcPr>
          <w:p w14:paraId="29A01FC2" w14:textId="3CCDE14B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Design Science Research</w:t>
            </w:r>
          </w:p>
        </w:tc>
        <w:tc>
          <w:tcPr>
            <w:tcW w:w="557" w:type="dxa"/>
          </w:tcPr>
          <w:p w14:paraId="7EEF1743" w14:textId="136756DF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5</w:t>
            </w:r>
          </w:p>
        </w:tc>
        <w:tc>
          <w:tcPr>
            <w:tcW w:w="557" w:type="dxa"/>
          </w:tcPr>
          <w:p w14:paraId="355C519D" w14:textId="116A86CC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</w:t>
            </w:r>
          </w:p>
        </w:tc>
        <w:tc>
          <w:tcPr>
            <w:tcW w:w="557" w:type="dxa"/>
          </w:tcPr>
          <w:p w14:paraId="31B3B9A5" w14:textId="6C65A1C0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</w:t>
            </w:r>
          </w:p>
        </w:tc>
        <w:tc>
          <w:tcPr>
            <w:tcW w:w="557" w:type="dxa"/>
          </w:tcPr>
          <w:p w14:paraId="56E5BEF7" w14:textId="30A524AA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5</w:t>
            </w:r>
          </w:p>
        </w:tc>
        <w:tc>
          <w:tcPr>
            <w:tcW w:w="557" w:type="dxa"/>
          </w:tcPr>
          <w:p w14:paraId="46DBE345" w14:textId="1D71CFB1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5</w:t>
            </w:r>
          </w:p>
        </w:tc>
        <w:tc>
          <w:tcPr>
            <w:tcW w:w="935" w:type="dxa"/>
          </w:tcPr>
          <w:p w14:paraId="7CAAAA3A" w14:textId="51B8B8BC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4.65</w:t>
            </w:r>
          </w:p>
        </w:tc>
        <w:tc>
          <w:tcPr>
            <w:tcW w:w="8413" w:type="dxa"/>
          </w:tcPr>
          <w:p w14:paraId="75D512AD" w14:textId="256CF95E" w:rsidR="006A6B34" w:rsidRPr="0022290B" w:rsidRDefault="006A6B34" w:rsidP="00CB66A5">
            <w:pPr>
              <w:jc w:val="both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 xml:space="preserve">Natural </w:t>
            </w:r>
            <w:proofErr w:type="gramStart"/>
            <w:r w:rsidRPr="0022290B">
              <w:rPr>
                <w:sz w:val="18"/>
                <w:szCs w:val="18"/>
              </w:rPr>
              <w:t>fit</w:t>
            </w:r>
            <w:proofErr w:type="gramEnd"/>
            <w:r w:rsidRPr="0022290B">
              <w:rPr>
                <w:sz w:val="18"/>
                <w:szCs w:val="18"/>
              </w:rPr>
              <w:t xml:space="preserve"> with the paradigm and the intended contribution: a maturity model, validated instrument, and LLM-based artifact. Required data are obtainable </w:t>
            </w:r>
            <w:proofErr w:type="gramStart"/>
            <w:r w:rsidRPr="0022290B">
              <w:rPr>
                <w:sz w:val="18"/>
                <w:szCs w:val="18"/>
              </w:rPr>
              <w:t>through  literature</w:t>
            </w:r>
            <w:proofErr w:type="gramEnd"/>
            <w:r w:rsidRPr="0022290B">
              <w:rPr>
                <w:sz w:val="18"/>
                <w:szCs w:val="18"/>
              </w:rPr>
              <w:t>, experts, organizations, and governance documents. Feasibility is demanding but manageable within the doctoral horizon. Strong fit with information-systems and AI-governance publications venues.</w:t>
            </w:r>
          </w:p>
        </w:tc>
      </w:tr>
      <w:tr w:rsidR="006A6B34" w:rsidRPr="0022290B" w14:paraId="57622106" w14:textId="0A3A600D" w:rsidTr="006A6B34">
        <w:tc>
          <w:tcPr>
            <w:tcW w:w="1812" w:type="dxa"/>
          </w:tcPr>
          <w:p w14:paraId="5E677CB7" w14:textId="1E9DB14F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Survey Research</w:t>
            </w:r>
          </w:p>
        </w:tc>
        <w:tc>
          <w:tcPr>
            <w:tcW w:w="557" w:type="dxa"/>
          </w:tcPr>
          <w:p w14:paraId="4328594A" w14:textId="7E7C5AB0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</w:t>
            </w:r>
          </w:p>
        </w:tc>
        <w:tc>
          <w:tcPr>
            <w:tcW w:w="557" w:type="dxa"/>
          </w:tcPr>
          <w:p w14:paraId="7DF6396E" w14:textId="3EC1ECEB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</w:t>
            </w:r>
          </w:p>
        </w:tc>
        <w:tc>
          <w:tcPr>
            <w:tcW w:w="557" w:type="dxa"/>
          </w:tcPr>
          <w:p w14:paraId="6A063116" w14:textId="11FB3E9C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5</w:t>
            </w:r>
          </w:p>
        </w:tc>
        <w:tc>
          <w:tcPr>
            <w:tcW w:w="557" w:type="dxa"/>
          </w:tcPr>
          <w:p w14:paraId="0A960A36" w14:textId="4A7C687F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</w:t>
            </w:r>
          </w:p>
        </w:tc>
        <w:tc>
          <w:tcPr>
            <w:tcW w:w="557" w:type="dxa"/>
          </w:tcPr>
          <w:p w14:paraId="39127EB4" w14:textId="32398C06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</w:t>
            </w:r>
          </w:p>
        </w:tc>
        <w:tc>
          <w:tcPr>
            <w:tcW w:w="935" w:type="dxa"/>
          </w:tcPr>
          <w:p w14:paraId="15938500" w14:textId="10BAF483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3.65</w:t>
            </w:r>
          </w:p>
        </w:tc>
        <w:tc>
          <w:tcPr>
            <w:tcW w:w="8413" w:type="dxa"/>
          </w:tcPr>
          <w:p w14:paraId="7C838718" w14:textId="75765024" w:rsidR="006A6B34" w:rsidRPr="0022290B" w:rsidRDefault="006A6B34" w:rsidP="00CB66A5">
            <w:pPr>
              <w:jc w:val="both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Viable for establishing a multi-organization maturity baseline and testing the assessment instrument. It is feasible and scalable, but it prima</w:t>
            </w:r>
            <w:r w:rsidR="00401CC7" w:rsidRPr="0022290B">
              <w:rPr>
                <w:sz w:val="18"/>
                <w:szCs w:val="18"/>
              </w:rPr>
              <w:t>rily produces population-level evidence; by itself it does not construct and iterability evaluate the governance model or automated assessment artifact.</w:t>
            </w:r>
          </w:p>
        </w:tc>
      </w:tr>
      <w:tr w:rsidR="006A6B34" w:rsidRPr="0022290B" w14:paraId="2EDB9449" w14:textId="5CE2A2A5" w:rsidTr="006A6B34">
        <w:tc>
          <w:tcPr>
            <w:tcW w:w="1812" w:type="dxa"/>
          </w:tcPr>
          <w:p w14:paraId="6A99BCB7" w14:textId="219CB20D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Case Study</w:t>
            </w:r>
          </w:p>
        </w:tc>
        <w:tc>
          <w:tcPr>
            <w:tcW w:w="557" w:type="dxa"/>
          </w:tcPr>
          <w:p w14:paraId="26E9BB02" w14:textId="03AFFC31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</w:t>
            </w:r>
          </w:p>
        </w:tc>
        <w:tc>
          <w:tcPr>
            <w:tcW w:w="557" w:type="dxa"/>
          </w:tcPr>
          <w:p w14:paraId="6FB7FF3C" w14:textId="30AABEAD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</w:t>
            </w:r>
          </w:p>
        </w:tc>
        <w:tc>
          <w:tcPr>
            <w:tcW w:w="557" w:type="dxa"/>
          </w:tcPr>
          <w:p w14:paraId="00C793E4" w14:textId="6E9DA3E3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3</w:t>
            </w:r>
          </w:p>
        </w:tc>
        <w:tc>
          <w:tcPr>
            <w:tcW w:w="557" w:type="dxa"/>
          </w:tcPr>
          <w:p w14:paraId="0381454F" w14:textId="21C1A8B4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2</w:t>
            </w:r>
          </w:p>
        </w:tc>
        <w:tc>
          <w:tcPr>
            <w:tcW w:w="557" w:type="dxa"/>
          </w:tcPr>
          <w:p w14:paraId="114C9303" w14:textId="64BD8A09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4</w:t>
            </w:r>
          </w:p>
        </w:tc>
        <w:tc>
          <w:tcPr>
            <w:tcW w:w="935" w:type="dxa"/>
          </w:tcPr>
          <w:p w14:paraId="41B0989D" w14:textId="257204A9" w:rsidR="006A6B34" w:rsidRPr="0022290B" w:rsidRDefault="006A6B34" w:rsidP="006A6B34">
            <w:pPr>
              <w:jc w:val="center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>2.95</w:t>
            </w:r>
          </w:p>
        </w:tc>
        <w:tc>
          <w:tcPr>
            <w:tcW w:w="8413" w:type="dxa"/>
          </w:tcPr>
          <w:p w14:paraId="7D8688C0" w14:textId="31714E17" w:rsidR="006A6B34" w:rsidRPr="0022290B" w:rsidRDefault="00401CC7" w:rsidP="00CB66A5">
            <w:pPr>
              <w:jc w:val="both"/>
              <w:rPr>
                <w:sz w:val="18"/>
                <w:szCs w:val="18"/>
              </w:rPr>
            </w:pPr>
            <w:r w:rsidRPr="0022290B">
              <w:rPr>
                <w:sz w:val="18"/>
                <w:szCs w:val="18"/>
              </w:rPr>
              <w:t xml:space="preserve">Viable for deep contextual understanding of AI-governance </w:t>
            </w:r>
            <w:r w:rsidR="0022290B" w:rsidRPr="0022290B">
              <w:rPr>
                <w:sz w:val="18"/>
                <w:szCs w:val="18"/>
              </w:rPr>
              <w:t>practices and documentary evidence in selected organizations. However, access to rich internal documentation may be uneven, and contextual depth alone does not deliver the principal artifact-building contribution required by the research question.</w:t>
            </w:r>
          </w:p>
        </w:tc>
      </w:tr>
    </w:tbl>
    <w:p w14:paraId="11FCDDAA" w14:textId="77777777" w:rsidR="00CB66A5" w:rsidRDefault="00CB66A5" w:rsidP="00CB66A5">
      <w:pPr>
        <w:jc w:val="both"/>
      </w:pPr>
    </w:p>
    <w:p w14:paraId="13C96FC9" w14:textId="03CCA570" w:rsidR="00CB66A5" w:rsidRPr="0022290B" w:rsidRDefault="0022290B" w:rsidP="00CB66A5">
      <w:pPr>
        <w:jc w:val="both"/>
        <w:rPr>
          <w:sz w:val="20"/>
          <w:szCs w:val="20"/>
        </w:rPr>
      </w:pPr>
      <w:r w:rsidRPr="00CB6391">
        <w:rPr>
          <w:b/>
          <w:bCs/>
          <w:sz w:val="20"/>
          <w:szCs w:val="20"/>
        </w:rPr>
        <w:t>Defended choice.</w:t>
      </w:r>
      <w:r>
        <w:rPr>
          <w:sz w:val="20"/>
          <w:szCs w:val="20"/>
        </w:rPr>
        <w:t xml:space="preserve"> Design Science Research is selected because the doctoral contribution is fundamentally artifact-centerer: the study must build </w:t>
      </w:r>
      <w:r w:rsidR="00CB6391">
        <w:rPr>
          <w:sz w:val="20"/>
          <w:szCs w:val="20"/>
        </w:rPr>
        <w:t xml:space="preserve">and evaluate a Peruvian AI-governance maturity model, a validated assessment instrument, and an LLM-assisted compliance assessment artifact. Survey research remains essential as supporting evidence for validation and the national baseline, while case-study techniques may provide contextual evidence where access permits; neither replaces DSR as the method that produces the core contribution. </w:t>
      </w:r>
    </w:p>
    <w:p w14:paraId="5A4F3DCA" w14:textId="46F5B83C" w:rsidR="002838AD" w:rsidRDefault="00CB6391" w:rsidP="00CB66A5">
      <w:pPr>
        <w:jc w:val="both"/>
        <w:rPr>
          <w:sz w:val="20"/>
          <w:szCs w:val="20"/>
        </w:rPr>
      </w:pPr>
      <w:r w:rsidRPr="00CB6391">
        <w:rPr>
          <w:b/>
          <w:bCs/>
          <w:sz w:val="20"/>
          <w:szCs w:val="20"/>
        </w:rPr>
        <w:t xml:space="preserve">Weight defense. </w:t>
      </w:r>
      <w:r>
        <w:rPr>
          <w:sz w:val="20"/>
          <w:szCs w:val="20"/>
        </w:rPr>
        <w:t>Epistemological fit receives the highest weight (30%) because method-paradigm coherences is a non-negotiable constraint for the study. Feasibility and venue fit receive the lowest weights (15% each) because they matter operationally, but they should not override epistemological coherence or the type of contribution the doctorate is designed to produce.</w:t>
      </w:r>
    </w:p>
    <w:p w14:paraId="15067172" w14:textId="2551C2BC" w:rsidR="00CB6391" w:rsidRDefault="00CB6391" w:rsidP="00CB66A5">
      <w:p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Open tension. </w:t>
      </w:r>
      <w:r>
        <w:rPr>
          <w:sz w:val="20"/>
          <w:szCs w:val="20"/>
        </w:rPr>
        <w:t xml:space="preserve"> </w:t>
      </w:r>
      <w:r w:rsidR="008912B9">
        <w:rPr>
          <w:sz w:val="20"/>
          <w:szCs w:val="20"/>
        </w:rPr>
        <w:t>The main unresolved tension is access to senior organizational informants and sufficiently complete AI-governance documentation. Uneven access could affect both the organizational baseline and the evaluation of the LLM artifact, so access and documentary completeness must be managed explicitly during the protocol design.</w:t>
      </w:r>
    </w:p>
    <w:p w14:paraId="5F7C4C31" w14:textId="77777777" w:rsidR="008912B9" w:rsidRDefault="008912B9" w:rsidP="00CB66A5">
      <w:pPr>
        <w:jc w:val="both"/>
        <w:rPr>
          <w:sz w:val="20"/>
          <w:szCs w:val="20"/>
        </w:rPr>
      </w:pPr>
    </w:p>
    <w:p w14:paraId="62945151" w14:textId="0F01853A" w:rsidR="008912B9" w:rsidRPr="008912B9" w:rsidRDefault="008912B9" w:rsidP="008912B9">
      <w:pPr>
        <w:jc w:val="right"/>
        <w:rPr>
          <w:b/>
          <w:bCs/>
          <w:sz w:val="20"/>
          <w:szCs w:val="20"/>
          <w:lang w:val="es-PE"/>
        </w:rPr>
      </w:pPr>
      <w:r w:rsidRPr="008912B9">
        <w:rPr>
          <w:b/>
          <w:bCs/>
          <w:sz w:val="20"/>
          <w:szCs w:val="20"/>
          <w:lang w:val="es-PE"/>
        </w:rPr>
        <w:t>Mg. Rolando Gonzales</w:t>
      </w:r>
      <w:r>
        <w:rPr>
          <w:b/>
          <w:bCs/>
          <w:sz w:val="20"/>
          <w:szCs w:val="20"/>
          <w:lang w:val="es-PE"/>
        </w:rPr>
        <w:t xml:space="preserve"> Ponce</w:t>
      </w:r>
      <w:r w:rsidRPr="008912B9">
        <w:rPr>
          <w:b/>
          <w:bCs/>
          <w:sz w:val="20"/>
          <w:szCs w:val="20"/>
          <w:lang w:val="es-PE"/>
        </w:rPr>
        <w:t xml:space="preserve"> </w:t>
      </w:r>
      <w:r w:rsidRPr="00AF5F25">
        <w:rPr>
          <w:b/>
          <w:sz w:val="20"/>
          <w:szCs w:val="20"/>
          <w:lang w:val="es-PE"/>
        </w:rPr>
        <w:t>|</w:t>
      </w:r>
      <w:r w:rsidRPr="008912B9">
        <w:rPr>
          <w:b/>
          <w:bCs/>
          <w:sz w:val="20"/>
          <w:szCs w:val="20"/>
          <w:lang w:val="es-PE"/>
        </w:rPr>
        <w:t xml:space="preserve"> Lima </w:t>
      </w:r>
      <w:proofErr w:type="spellStart"/>
      <w:r w:rsidRPr="008912B9">
        <w:rPr>
          <w:b/>
          <w:bCs/>
          <w:sz w:val="20"/>
          <w:szCs w:val="20"/>
          <w:lang w:val="es-PE"/>
        </w:rPr>
        <w:t>Peru</w:t>
      </w:r>
      <w:proofErr w:type="spellEnd"/>
      <w:r w:rsidRPr="008912B9">
        <w:rPr>
          <w:b/>
          <w:bCs/>
          <w:sz w:val="20"/>
          <w:szCs w:val="20"/>
          <w:lang w:val="es-PE"/>
        </w:rPr>
        <w:t xml:space="preserve"> </w:t>
      </w:r>
      <w:r>
        <w:rPr>
          <w:b/>
          <w:bCs/>
          <w:sz w:val="20"/>
          <w:szCs w:val="20"/>
          <w:lang w:val="es-PE"/>
        </w:rPr>
        <w:t xml:space="preserve">- </w:t>
      </w:r>
      <w:r w:rsidRPr="008912B9">
        <w:rPr>
          <w:b/>
          <w:bCs/>
          <w:sz w:val="20"/>
          <w:szCs w:val="20"/>
          <w:lang w:val="es-PE"/>
        </w:rPr>
        <w:t>2026</w:t>
      </w:r>
    </w:p>
    <w:sectPr w:rsidR="008912B9" w:rsidRPr="008912B9" w:rsidSect="002B5E7E">
      <w:headerReference w:type="default" r:id="rId6"/>
      <w:pgSz w:w="16838" w:h="11906" w:orient="landscape" w:code="9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6538C" w14:textId="77777777" w:rsidR="0088399C" w:rsidRDefault="0088399C" w:rsidP="00CB66A5">
      <w:pPr>
        <w:spacing w:after="0"/>
      </w:pPr>
      <w:r>
        <w:separator/>
      </w:r>
    </w:p>
  </w:endnote>
  <w:endnote w:type="continuationSeparator" w:id="0">
    <w:p w14:paraId="3BFD8D4A" w14:textId="77777777" w:rsidR="0088399C" w:rsidRDefault="0088399C" w:rsidP="00CB66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AB5F7" w14:textId="77777777" w:rsidR="0088399C" w:rsidRDefault="0088399C" w:rsidP="00CB66A5">
      <w:pPr>
        <w:spacing w:after="0"/>
      </w:pPr>
      <w:r>
        <w:separator/>
      </w:r>
    </w:p>
  </w:footnote>
  <w:footnote w:type="continuationSeparator" w:id="0">
    <w:p w14:paraId="4D6B3C0E" w14:textId="77777777" w:rsidR="0088399C" w:rsidRDefault="0088399C" w:rsidP="00CB66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5664E" w14:textId="5BE67D6F" w:rsidR="00CB66A5" w:rsidRDefault="00CB66A5">
    <w:pPr>
      <w:pStyle w:val="Header"/>
    </w:pPr>
    <w:r w:rsidRPr="00224912">
      <w:rPr>
        <w:noProof/>
      </w:rPr>
      <w:drawing>
        <wp:anchor distT="0" distB="0" distL="114300" distR="114300" simplePos="0" relativeHeight="251658240" behindDoc="0" locked="0" layoutInCell="1" allowOverlap="1" wp14:anchorId="3466FD97" wp14:editId="1E5BE913">
          <wp:simplePos x="0" y="0"/>
          <wp:positionH relativeFrom="margin">
            <wp:posOffset>7513320</wp:posOffset>
          </wp:positionH>
          <wp:positionV relativeFrom="paragraph">
            <wp:posOffset>-304800</wp:posOffset>
          </wp:positionV>
          <wp:extent cx="2095500" cy="752475"/>
          <wp:effectExtent l="0" t="0" r="0" b="9525"/>
          <wp:wrapNone/>
          <wp:docPr id="8194" name="Picture 2" descr="Unidad de Posgrado de Ingenierￃﾭa de Sistemas e Informￃﾡtica.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94" name="Picture 2" descr="Unidad de Posgrado de Ingenierￃﾭa de Sistemas e Informￃﾡtica.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A5"/>
    <w:rsid w:val="001B1AC7"/>
    <w:rsid w:val="0022290B"/>
    <w:rsid w:val="002838AD"/>
    <w:rsid w:val="002B5E7E"/>
    <w:rsid w:val="00401CC7"/>
    <w:rsid w:val="006A6B34"/>
    <w:rsid w:val="007846A7"/>
    <w:rsid w:val="0088399C"/>
    <w:rsid w:val="008912B9"/>
    <w:rsid w:val="009B2119"/>
    <w:rsid w:val="00CB6391"/>
    <w:rsid w:val="00CB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1FC4"/>
  <w15:chartTrackingRefBased/>
  <w15:docId w15:val="{B8927C00-F65D-490B-B632-15E954EFA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6A5"/>
    <w:pPr>
      <w:spacing w:after="30" w:line="240" w:lineRule="auto"/>
    </w:pPr>
    <w:rPr>
      <w:rFonts w:ascii="Arial" w:eastAsia="Arial" w:hAnsi="Arial"/>
      <w:kern w:val="0"/>
      <w:sz w:val="17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6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6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6A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66A5"/>
  </w:style>
  <w:style w:type="paragraph" w:styleId="Footer">
    <w:name w:val="footer"/>
    <w:basedOn w:val="Normal"/>
    <w:link w:val="FooterChar"/>
    <w:uiPriority w:val="99"/>
    <w:unhideWhenUsed/>
    <w:rsid w:val="00CB66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66A5"/>
  </w:style>
  <w:style w:type="table" w:styleId="TableGrid">
    <w:name w:val="Table Grid"/>
    <w:basedOn w:val="TableNormal"/>
    <w:uiPriority w:val="59"/>
    <w:rsid w:val="002838A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Gonzales</dc:creator>
  <cp:keywords/>
  <dc:description/>
  <cp:lastModifiedBy>Rolando Gonzales</cp:lastModifiedBy>
  <cp:revision>2</cp:revision>
  <cp:lastPrinted>2026-09-18T16:30:00Z</cp:lastPrinted>
  <dcterms:created xsi:type="dcterms:W3CDTF">2026-09-18T22:56:00Z</dcterms:created>
  <dcterms:modified xsi:type="dcterms:W3CDTF">2026-09-18T22:56:00Z</dcterms:modified>
</cp:coreProperties>
</file>