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URBN comps, fiscal 2027Q3: where the panel sits versus the Street</w:t>
      </w:r>
    </w:p>
    <w:p>
      <w:r>
        <w:rPr>
          <w:i/>
        </w:rPr>
        <w:t>Internal. As of August 30, 2026, day 30 of the quarter. Latest reported quarter: 2027Q2.</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rPr>
              <w:t>KPI</w:t>
            </w:r>
          </w:p>
        </w:tc>
        <w:tc>
          <w:tcPr>
            <w:tcW w:type="dxa" w:w="1440"/>
          </w:tcPr>
          <w:p>
            <w:r/>
            <w:r>
              <w:rPr>
                <w:b/>
              </w:rPr>
              <w:t>Last reported (2027Q2)</w:t>
            </w:r>
          </w:p>
        </w:tc>
        <w:tc>
          <w:tcPr>
            <w:tcW w:type="dxa" w:w="1440"/>
          </w:tcPr>
          <w:p>
            <w:r/>
            <w:r>
              <w:rPr>
                <w:b/>
              </w:rPr>
              <w:t>Our estimate 2027Q3</w:t>
            </w:r>
          </w:p>
        </w:tc>
        <w:tc>
          <w:tcPr>
            <w:tcW w:type="dxa" w:w="1440"/>
          </w:tcPr>
          <w:p>
            <w:r/>
            <w:r>
              <w:rPr>
                <w:b/>
              </w:rPr>
              <w:t>Consensus</w:t>
            </w:r>
          </w:p>
        </w:tc>
        <w:tc>
          <w:tcPr>
            <w:tcW w:type="dxa" w:w="1440"/>
          </w:tcPr>
          <w:p>
            <w:r/>
            <w:r>
              <w:rPr>
                <w:b/>
              </w:rPr>
              <w:t>Us vs Street</w:t>
            </w:r>
          </w:p>
        </w:tc>
        <w:tc>
          <w:tcPr>
            <w:tcW w:type="dxa" w:w="1440"/>
          </w:tcPr>
          <w:p>
            <w:r/>
            <w:r>
              <w:rPr>
                <w:b/>
              </w:rPr>
              <w:t>Typical miss at day 30</w:t>
            </w:r>
          </w:p>
        </w:tc>
      </w:tr>
      <w:tr>
        <w:tc>
          <w:tcPr>
            <w:tcW w:type="dxa" w:w="1440"/>
          </w:tcPr>
          <w:p>
            <w:r>
              <w:t>Anthropologie</w:t>
            </w:r>
          </w:p>
        </w:tc>
        <w:tc>
          <w:tcPr>
            <w:tcW w:type="dxa" w:w="1440"/>
          </w:tcPr>
          <w:p>
            <w:pPr>
              <w:jc w:val="right"/>
            </w:pPr>
            <w:r>
              <w:t>3.0%</w:t>
            </w:r>
          </w:p>
        </w:tc>
        <w:tc>
          <w:tcPr>
            <w:tcW w:type="dxa" w:w="1440"/>
          </w:tcPr>
          <w:p>
            <w:pPr>
              <w:jc w:val="right"/>
            </w:pPr>
            <w:r>
              <w:t>2.7%</w:t>
            </w:r>
          </w:p>
        </w:tc>
        <w:tc>
          <w:tcPr>
            <w:tcW w:type="dxa" w:w="1440"/>
          </w:tcPr>
          <w:p>
            <w:pPr>
              <w:jc w:val="right"/>
            </w:pPr>
            <w:r>
              <w:t>3.2%</w:t>
            </w:r>
          </w:p>
        </w:tc>
        <w:tc>
          <w:tcPr>
            <w:tcW w:type="dxa" w:w="1440"/>
          </w:tcPr>
          <w:p>
            <w:pPr>
              <w:jc w:val="right"/>
            </w:pPr>
            <w:r>
              <w:t>-0.5 pp</w:t>
            </w:r>
          </w:p>
        </w:tc>
        <w:tc>
          <w:tcPr>
            <w:tcW w:type="dxa" w:w="1440"/>
          </w:tcPr>
          <w:p>
            <w:pPr>
              <w:jc w:val="right"/>
            </w:pPr>
            <w:r>
              <w:t>1.7 pp</w:t>
            </w:r>
          </w:p>
        </w:tc>
      </w:tr>
      <w:tr>
        <w:tc>
          <w:tcPr>
            <w:tcW w:type="dxa" w:w="1440"/>
          </w:tcPr>
          <w:p>
            <w:r>
              <w:t>Free People</w:t>
            </w:r>
          </w:p>
        </w:tc>
        <w:tc>
          <w:tcPr>
            <w:tcW w:type="dxa" w:w="1440"/>
          </w:tcPr>
          <w:p>
            <w:pPr>
              <w:jc w:val="right"/>
            </w:pPr>
            <w:r>
              <w:t>10.0%</w:t>
            </w:r>
          </w:p>
        </w:tc>
        <w:tc>
          <w:tcPr>
            <w:tcW w:type="dxa" w:w="1440"/>
          </w:tcPr>
          <w:p>
            <w:pPr>
              <w:jc w:val="right"/>
            </w:pPr>
            <w:r>
              <w:t>9.9%</w:t>
            </w:r>
          </w:p>
        </w:tc>
        <w:tc>
          <w:tcPr>
            <w:tcW w:type="dxa" w:w="1440"/>
          </w:tcPr>
          <w:p>
            <w:pPr>
              <w:jc w:val="right"/>
            </w:pPr>
            <w:r>
              <w:t>8.2%</w:t>
            </w:r>
          </w:p>
        </w:tc>
        <w:tc>
          <w:tcPr>
            <w:tcW w:type="dxa" w:w="1440"/>
          </w:tcPr>
          <w:p>
            <w:pPr>
              <w:jc w:val="right"/>
            </w:pPr>
            <w:r>
              <w:t>+1.7 pp</w:t>
            </w:r>
          </w:p>
        </w:tc>
        <w:tc>
          <w:tcPr>
            <w:tcW w:type="dxa" w:w="1440"/>
          </w:tcPr>
          <w:p>
            <w:pPr>
              <w:jc w:val="right"/>
            </w:pPr>
            <w:r>
              <w:t>3.2 pp</w:t>
            </w:r>
          </w:p>
        </w:tc>
      </w:tr>
      <w:tr>
        <w:tc>
          <w:tcPr>
            <w:tcW w:type="dxa" w:w="1440"/>
          </w:tcPr>
          <w:p>
            <w:r>
              <w:t>Urban Outfitters</w:t>
            </w:r>
          </w:p>
        </w:tc>
        <w:tc>
          <w:tcPr>
            <w:tcW w:type="dxa" w:w="1440"/>
          </w:tcPr>
          <w:p>
            <w:pPr>
              <w:jc w:val="right"/>
            </w:pPr>
            <w:r>
              <w:t>8.4%</w:t>
            </w:r>
          </w:p>
        </w:tc>
        <w:tc>
          <w:tcPr>
            <w:tcW w:type="dxa" w:w="1440"/>
          </w:tcPr>
          <w:p>
            <w:pPr>
              <w:jc w:val="right"/>
            </w:pPr>
            <w:r>
              <w:t>9.0%</w:t>
            </w:r>
          </w:p>
        </w:tc>
        <w:tc>
          <w:tcPr>
            <w:tcW w:type="dxa" w:w="1440"/>
          </w:tcPr>
          <w:p>
            <w:pPr>
              <w:jc w:val="right"/>
            </w:pPr>
            <w:r>
              <w:t>5.4%</w:t>
            </w:r>
          </w:p>
        </w:tc>
        <w:tc>
          <w:tcPr>
            <w:tcW w:type="dxa" w:w="1440"/>
          </w:tcPr>
          <w:p>
            <w:pPr>
              <w:jc w:val="right"/>
            </w:pPr>
            <w:r>
              <w:t>+3.6 pp</w:t>
            </w:r>
          </w:p>
        </w:tc>
        <w:tc>
          <w:tcPr>
            <w:tcW w:type="dxa" w:w="1440"/>
          </w:tcPr>
          <w:p>
            <w:pPr>
              <w:jc w:val="right"/>
            </w:pPr>
            <w:r>
              <w:t>2.6 pp</w:t>
            </w:r>
          </w:p>
        </w:tc>
      </w:tr>
      <w:tr>
        <w:tc>
          <w:tcPr>
            <w:tcW w:type="dxa" w:w="1440"/>
          </w:tcPr>
          <w:p>
            <w:r>
              <w:t>URBN total</w:t>
            </w:r>
          </w:p>
        </w:tc>
        <w:tc>
          <w:tcPr>
            <w:tcW w:type="dxa" w:w="1440"/>
          </w:tcPr>
          <w:p>
            <w:pPr>
              <w:jc w:val="right"/>
            </w:pPr>
            <w:r>
              <w:t>6.2%</w:t>
            </w:r>
          </w:p>
        </w:tc>
        <w:tc>
          <w:tcPr>
            <w:tcW w:type="dxa" w:w="1440"/>
          </w:tcPr>
          <w:p>
            <w:pPr>
              <w:jc w:val="right"/>
            </w:pPr>
            <w:r>
              <w:t>6.2%</w:t>
            </w:r>
          </w:p>
        </w:tc>
        <w:tc>
          <w:tcPr>
            <w:tcW w:type="dxa" w:w="1440"/>
          </w:tcPr>
          <w:p>
            <w:pPr>
              <w:jc w:val="right"/>
            </w:pPr>
            <w:r>
              <w:t>5.1%</w:t>
            </w:r>
          </w:p>
        </w:tc>
        <w:tc>
          <w:tcPr>
            <w:tcW w:type="dxa" w:w="1440"/>
          </w:tcPr>
          <w:p>
            <w:pPr>
              <w:jc w:val="right"/>
            </w:pPr>
            <w:r>
              <w:t>+1.0 pp</w:t>
            </w:r>
          </w:p>
        </w:tc>
        <w:tc>
          <w:tcPr>
            <w:tcW w:type="dxa" w:w="1440"/>
          </w:tcPr>
          <w:p>
            <w:pPr>
              <w:jc w:val="right"/>
            </w:pPr>
            <w:r>
              <w:t>1.3 pp</w:t>
            </w:r>
          </w:p>
        </w:tc>
      </w:tr>
    </w:tbl>
    <w:p/>
    <w:p>
      <w:r>
        <w:t>The Street has every brand decelerating from the quarter that just printed. Thirty days in, the card panel does not show it. Our estimate starts from the last reported comp and moves it by how much quarter-to-date spend growth has changed since that quarter, compared on the same day, because the panel's level has never matched the comp but its changes have tracked comp changes. On that basis Urban Outfitters is the one real divergence: spend growth is running about 1.6 points ahead of its day-30 pace last quarter, which puts us at 9.0% against a 5.4% consensus. Free People is flat to last quarter's pace, so we hold near the 10.0% just reported while the Street is at 8.2%. Anthropologie is running about 1.5 points behind and we trim it to 2.7%, in line with consensus. The total is slightly behind last quarter's pace, but its fitted sensitivity to the panel is near zero, so we stay at 6.2% against 5.1%; read that as no sign of deceleration yet rather than a call.</w:t>
      </w:r>
    </w:p>
    <w:p>
      <w:r>
        <w:t>On confidence: over the twelve quarters we can backtest, a day-30 forecast misses by 2.2 points on average across the four brands, only a touch better than simply repeating the last comp at 2.3, with the edge appearing once the prior quarter has been reported. So treat these as direction versus the Street, not point targets. Urban Outfitters is the estimate we hold most loosely: its panel has drifted furthest from reported comps over the past year and it has the largest fitted sensitivity, so the same panel move produces the biggest comp move. Anthropologie is where the model has been most accurate. The estimate improves as the quarter fills in, so the day-60 read will be worth more than this one. Detail, track record and panel trends are in outputs/urbn_kpi_nowcast.xlsx.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4F9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4F9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