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ClearGrid Borrower Profile — V1 Critique, V2 Information Architecture &amp; Scenario Design</w:t>
      </w:r>
    </w:p>
    <w:p>
      <w:r>
        <w:rPr>
          <w:b/>
        </w:rPr>
        <w:t xml:space="preserve">Purpose: </w:t>
      </w:r>
      <w:r>
        <w:t>Record the critical review of the first prototype, convert the research into explicit design decisions, and document the reasoning behind V2. This document is the analysis companion to the HTML prototype.</w:t>
      </w:r>
    </w:p>
    <w:p>
      <w:pPr>
        <w:pStyle w:val="Heading1"/>
      </w:pPr>
      <w:r>
        <w:t>1. Source basis</w:t>
      </w:r>
    </w:p>
    <w:p>
      <w:pPr>
        <w:pStyle w:val="ListBullet"/>
      </w:pPr>
      <w:r>
        <w:t>cleargrid-borrower-profile-redesign-brief.md — requirements, required data fields, bilingual/RTL requirements, evaluation criteria.</w:t>
      </w:r>
    </w:p>
    <w:p>
      <w:pPr>
        <w:pStyle w:val="ListBullet"/>
      </w:pPr>
      <w:r>
        <w:t>cleargrid-agent-persona-research.md — agent operating context, escalation behavior, AI-first contact, compliance constraints, two attention modes.</w:t>
      </w:r>
    </w:p>
    <w:p>
      <w:pPr>
        <w:pStyle w:val="ListBullet"/>
      </w:pPr>
      <w:r>
        <w:t>cleargrid-design-assumptions.md — explicit working assumptions where the live data model was uncertain.</w:t>
      </w:r>
    </w:p>
    <w:p>
      <w:pPr>
        <w:pStyle w:val="ListBullet"/>
      </w:pPr>
      <w:r>
        <w:t>dense-ui-design-guide.md — first-principles guidance on hierarchy, salience, density, repetition, empty states, tables, and RTL.</w:t>
      </w:r>
    </w:p>
    <w:p>
      <w:pPr>
        <w:pStyle w:val="ListBullet"/>
      </w:pPr>
      <w:r>
        <w:t>cleargrid-design.md — verified brand/type/color/RTL reference.</w:t>
      </w:r>
    </w:p>
    <w:p>
      <w:pPr>
        <w:pStyle w:val="ListBullet"/>
      </w:pPr>
      <w:r>
        <w:t>Four supplied production screenshots and the earlier borrower-profile-wireframe.html / V1 prototype.</w:t>
      </w:r>
    </w:p>
    <w:p>
      <w:pPr>
        <w:pStyle w:val="Heading1"/>
      </w:pPr>
      <w:r>
        <w:t>2. Executive conclusion</w:t>
      </w:r>
    </w:p>
    <w:p>
      <w:r>
        <w:rPr>
          <w:b/>
        </w:rPr>
        <w:t xml:space="preserve">V1 is directionally better than the production screen, but it is not yet the right information architecture. </w:t>
      </w:r>
      <w:r>
        <w:t>It reduces the flatness of the original page, but it still organizes the record too much like a database and not enough like a decision-support workspace. The largest issues are: the escalation reason is inferred incorrectly, fields are still repeated, operational and reference information are mixed, channel eligibility is treated as decorative status instead of exception-oriented control state, communication/history structures are incomplete, and the RTL implementation is only a structural toggle.</w:t>
      </w:r>
    </w:p>
    <w:p>
      <w:pPr>
        <w:pStyle w:val="Heading1"/>
      </w:pPr>
      <w:r>
        <w:t>3. First-principles model of the screen</w:t>
      </w:r>
    </w:p>
    <w:p>
      <w:pPr>
        <w:pStyle w:val="ListBullet"/>
      </w:pPr>
      <w:r>
        <w:t>The agent is usually seeing a case that has already been touched by automation or has been escalated because automation is insufficient or inappropriate. The first question is therefore “Why is this case with me?”, not “What fields exist on this borrower?”</w:t>
      </w:r>
    </w:p>
    <w:p>
      <w:pPr>
        <w:pStyle w:val="ListBullet"/>
      </w:pPr>
      <w:r>
        <w:t>During a live call, attention is fragmented and interaction budget is near zero. Information needed to continue the conversation should be visible without opening accordions or navigating away.</w:t>
      </w:r>
    </w:p>
    <w:p>
      <w:pPr>
        <w:pStyle w:val="ListBullet"/>
      </w:pPr>
      <w:r>
        <w:t>After the call, the task changes to structured entry: outcome, PTP, status and notes. The layout should support a clear read→act transition rather than turning the entire page into an editable form.</w:t>
      </w:r>
    </w:p>
    <w:p>
      <w:pPr>
        <w:pStyle w:val="ListBullet"/>
      </w:pPr>
      <w:r>
        <w:t>Visual salience should be reserved for information that changes the next action. Universal states such as “In collection” should be quiet; exceptional states such as dispute, hardship or channel restrictions may use semantic emphasis.</w:t>
      </w:r>
    </w:p>
    <w:p>
      <w:pPr>
        <w:pStyle w:val="ListBullet"/>
      </w:pPr>
      <w:r>
        <w:t>Every canonical fact should have one visual home. A summary may repeat an idea in compressed form, but the same raw field should not appear in several independent cards.</w:t>
      </w:r>
    </w:p>
    <w:p>
      <w:pPr>
        <w:pStyle w:val="ListBullet"/>
      </w:pPr>
      <w:r>
        <w:t>Stable spatial placement matters more than adaptive rearrangement. The page should be learnable: the same conceptual chunk stays in the same place from borrower to borrower.</w:t>
      </w:r>
    </w:p>
    <w:p>
      <w:pPr>
        <w:pStyle w:val="Heading1"/>
      </w:pPr>
      <w:r>
        <w:t>4. V1 issues that must not carry into V2</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0A0A08"/>
          </w:tcPr>
          <w:p>
            <w:pPr>
              <w:spacing w:after="0"/>
            </w:pPr>
            <w:r>
              <w:rPr>
                <w:b/>
                <w:color w:val="FFFFFF"/>
                <w:sz w:val="19"/>
              </w:rPr>
              <w:t>Issue</w:t>
            </w:r>
          </w:p>
        </w:tc>
        <w:tc>
          <w:tcPr>
            <w:tcW w:type="dxa" w:w="5112"/>
            <w:vAlign w:val="center"/>
            <w:tcMar>
              <w:top w:w="80" w:type="dxa"/>
              <w:start w:w="100" w:type="dxa"/>
              <w:bottom w:w="80" w:type="dxa"/>
              <w:end w:w="100" w:type="dxa"/>
            </w:tcMar>
            <w:shd w:fill="0A0A08"/>
          </w:tcPr>
          <w:p>
            <w:pPr>
              <w:spacing w:after="0"/>
            </w:pPr>
            <w:r>
              <w:rPr>
                <w:b/>
                <w:color w:val="FFFFFF"/>
                <w:sz w:val="19"/>
              </w:rPr>
              <w:t>Why it matters</w:t>
            </w:r>
          </w:p>
        </w:tc>
      </w:tr>
      <w:tr>
        <w:tc>
          <w:tcPr>
            <w:tcW w:type="dxa" w:w="5112"/>
          </w:tcPr>
          <w:p>
            <w:r>
              <w:t>Escalation reason is incorrect</w:t>
            </w:r>
          </w:p>
        </w:tc>
        <w:tc>
          <w:tcPr>
            <w:tcW w:type="dxa" w:w="5112"/>
          </w:tcPr>
          <w:p>
            <w:r>
              <w:t>V1 uses AI follow-up as the reason the case is on the screen. The research distinguishes the cause of escalation (hardship, dispute, confusion, etc.) from what AI already discussed. These must be separate fields.</w:t>
            </w:r>
          </w:p>
        </w:tc>
      </w:tr>
      <w:tr>
        <w:tc>
          <w:tcPr>
            <w:tcW w:type="dxa" w:w="5112"/>
          </w:tcPr>
          <w:p>
            <w:r>
              <w:t>Repeated information</w:t>
            </w:r>
          </w:p>
        </w:tc>
        <w:tc>
          <w:tcPr>
            <w:tcW w:type="dxa" w:w="5112"/>
          </w:tcPr>
          <w:p>
            <w:r>
              <w:t>Outstanding, total amount, account status, PTP and other fields appear in more than one place. This conflicts with the explicit repetition audit in the dense-UI guide.</w:t>
            </w:r>
          </w:p>
        </w:tc>
      </w:tr>
      <w:tr>
        <w:tc>
          <w:tcPr>
            <w:tcW w:type="dxa" w:w="5112"/>
          </w:tcPr>
          <w:p>
            <w:r>
              <w:t>Too many hero metrics</w:t>
            </w:r>
          </w:p>
        </w:tc>
        <w:tc>
          <w:tcPr>
            <w:tcW w:type="dxa" w:w="5112"/>
          </w:tcPr>
          <w:p>
            <w:r>
              <w:t>Contact counts are given hero-level treatment even though they are supporting context. PTP with an empty value also competes visually with the core financial metrics.</w:t>
            </w:r>
          </w:p>
        </w:tc>
      </w:tr>
      <w:tr>
        <w:tc>
          <w:tcPr>
            <w:tcW w:type="dxa" w:w="5112"/>
          </w:tcPr>
          <w:p>
            <w:r>
              <w:t>Overuse of coral</w:t>
            </w:r>
          </w:p>
        </w:tc>
        <w:tc>
          <w:tcPr>
            <w:tcW w:type="dxa" w:w="5112"/>
          </w:tcPr>
          <w:p>
            <w:r>
              <w:t>DPD is treated as a danger state simply because it is non-zero/high. The research says semantic color should signal deviation/attention, not universal portfolio truth.</w:t>
            </w:r>
          </w:p>
        </w:tc>
      </w:tr>
      <w:tr>
        <w:tc>
          <w:tcPr>
            <w:tcW w:type="dxa" w:w="5112"/>
          </w:tcPr>
          <w:p>
            <w:r>
              <w:t>Unsupported semantic inference</w:t>
            </w:r>
          </w:p>
        </w:tc>
        <w:tc>
          <w:tcPr>
            <w:tcW w:type="dxa" w:w="5112"/>
          </w:tcPr>
          <w:p>
            <w:r>
              <w:t>Phrases such as “deep bucket” or “1 active deal” infer business rules that are not present in the supplied data.</w:t>
            </w:r>
          </w:p>
        </w:tc>
      </w:tr>
      <w:tr>
        <w:tc>
          <w:tcPr>
            <w:tcW w:type="dxa" w:w="5112"/>
          </w:tcPr>
          <w:p>
            <w:r>
              <w:t>Financial contradiction remains unexplained</w:t>
            </w:r>
          </w:p>
        </w:tc>
        <w:tc>
          <w:tcPr>
            <w:tcW w:type="dxa" w:w="5112"/>
          </w:tcPr>
          <w:p>
            <w:r>
              <w:t>625 DPD alongside AED 0 overdue is preserved but not given an explicit “as of” or explanatory treatment. The UI should expose the state accurately without inventing a financial interpretation.</w:t>
            </w:r>
          </w:p>
        </w:tc>
      </w:tr>
      <w:tr>
        <w:tc>
          <w:tcPr>
            <w:tcW w:type="dxa" w:w="5112"/>
          </w:tcPr>
          <w:p>
            <w:r>
              <w:t>Contact actions duplicate contact data</w:t>
            </w:r>
          </w:p>
        </w:tc>
        <w:tc>
          <w:tcPr>
            <w:tcW w:type="dxa" w:w="5112"/>
          </w:tcPr>
          <w:p>
            <w:r>
              <w:t>The header has actions while the body contains redundant contact-action controls. Actions and data should have separate responsibilities.</w:t>
            </w:r>
          </w:p>
        </w:tc>
      </w:tr>
      <w:tr>
        <w:tc>
          <w:tcPr>
            <w:tcW w:type="dxa" w:w="5112"/>
          </w:tcPr>
          <w:p>
            <w:r>
              <w:t>Email Inbox is grouped as outbound contact</w:t>
            </w:r>
          </w:p>
        </w:tc>
        <w:tc>
          <w:tcPr>
            <w:tcW w:type="dxa" w:w="5112"/>
          </w:tcPr>
          <w:p>
            <w:r>
              <w:t>Inbox is a review destination, not another outbound channel. It should belong with history/review.</w:t>
            </w:r>
          </w:p>
        </w:tc>
      </w:tr>
      <w:tr>
        <w:tc>
          <w:tcPr>
            <w:tcW w:type="dxa" w:w="5112"/>
          </w:tcPr>
          <w:p>
            <w:r>
              <w:t>Eligibility is presented as repetitive decoration</w:t>
            </w:r>
          </w:p>
        </w:tc>
        <w:tc>
          <w:tcPr>
            <w:tcW w:type="dxa" w:w="5112"/>
          </w:tcPr>
          <w:p>
            <w:r>
              <w:t>Showing “Eligible” on every channel provides little information. The useful state is when a channel is restricted, unavailable or time-gated.</w:t>
            </w:r>
          </w:p>
        </w:tc>
      </w:tr>
      <w:tr>
        <w:tc>
          <w:tcPr>
            <w:tcW w:type="dxa" w:w="5112"/>
          </w:tcPr>
          <w:p>
            <w:r>
              <w:t>Post-call work is underdesigned</w:t>
            </w:r>
          </w:p>
        </w:tc>
        <w:tc>
          <w:tcPr>
            <w:tcW w:type="dxa" w:w="5112"/>
          </w:tcPr>
          <w:p>
            <w:r>
              <w:t>V1 shows history but does not provide a clear structured outcome/PTP wrap-up action, despite this being a major second mode in the research.</w:t>
            </w:r>
          </w:p>
        </w:tc>
      </w:tr>
      <w:tr>
        <w:tc>
          <w:tcPr>
            <w:tcW w:type="dxa" w:w="5112"/>
          </w:tcPr>
          <w:p>
            <w:r>
              <w:t>Custom Attributes remains a catch-all</w:t>
            </w:r>
          </w:p>
        </w:tc>
        <w:tc>
          <w:tcPr>
            <w:tcW w:type="dxa" w:w="5112"/>
          </w:tcPr>
          <w:p>
            <w:r>
              <w:t>V1 labels the section dynamic but still puts standard deal/financial/PTP data into it. The component should hold only genuinely portfolio-specific attributes.</w:t>
            </w:r>
          </w:p>
        </w:tc>
      </w:tr>
      <w:tr>
        <w:tc>
          <w:tcPr>
            <w:tcW w:type="dxa" w:w="5112"/>
          </w:tcPr>
          <w:p>
            <w:r>
              <w:t>Communication Logs is a placeholder</w:t>
            </w:r>
          </w:p>
        </w:tc>
        <w:tc>
          <w:tcPr>
            <w:tcW w:type="dxa" w:w="5112"/>
          </w:tcPr>
          <w:p>
            <w:r>
              <w:t>The brief requires a communication log structure, not merely a note that it exists.</w:t>
            </w:r>
          </w:p>
        </w:tc>
      </w:tr>
      <w:tr>
        <w:tc>
          <w:tcPr>
            <w:tcW w:type="dxa" w:w="5112"/>
          </w:tcPr>
          <w:p>
            <w:r>
              <w:t>Broken promise detail is too weak</w:t>
            </w:r>
          </w:p>
        </w:tc>
        <w:tc>
          <w:tcPr>
            <w:tcW w:type="dxa" w:w="5112"/>
          </w:tcPr>
          <w:p>
            <w:r>
              <w:t>The brief requires type, date and count. The V1 empty state demonstrates only the count model.</w:t>
            </w:r>
          </w:p>
        </w:tc>
      </w:tr>
      <w:tr>
        <w:tc>
          <w:tcPr>
            <w:tcW w:type="dxa" w:w="5112"/>
          </w:tcPr>
          <w:p>
            <w:r>
              <w:t>Selected deal interaction is ambiguous</w:t>
            </w:r>
          </w:p>
        </w:tc>
        <w:tc>
          <w:tcPr>
            <w:tcW w:type="dxa" w:w="5112"/>
          </w:tcPr>
          <w:p>
            <w:r>
              <w:t>The table row is visually selected and still exposes a separate View control. One selection model should be primary.</w:t>
            </w:r>
          </w:p>
        </w:tc>
      </w:tr>
      <w:tr>
        <w:tc>
          <w:tcPr>
            <w:tcW w:type="dxa" w:w="5112"/>
          </w:tcPr>
          <w:p>
            <w:r>
              <w:t>RTL is incomplete</w:t>
            </w:r>
          </w:p>
        </w:tc>
        <w:tc>
          <w:tcPr>
            <w:tcW w:type="dxa" w:w="5112"/>
          </w:tcPr>
          <w:p>
            <w:r>
              <w:t>The direction toggle is useful as a test harness, but it is not yet a true Arabic implementation. The brief and design references require real mirrored structure and Arabic typography.</w:t>
            </w:r>
          </w:p>
        </w:tc>
      </w:tr>
      <w:tr>
        <w:tc>
          <w:tcPr>
            <w:tcW w:type="dxa" w:w="5112"/>
          </w:tcPr>
          <w:p>
            <w:r>
              <w:t>Preferred language is missing</w:t>
            </w:r>
          </w:p>
        </w:tc>
        <w:tc>
          <w:tcPr>
            <w:tcW w:type="dxa" w:w="5112"/>
          </w:tcPr>
          <w:p>
            <w:r>
              <w:t>The assumptions explicitly identify borrower language preference as useful agent context. It belongs near identity/contact context.</w:t>
            </w:r>
          </w:p>
        </w:tc>
      </w:tr>
      <w:tr>
        <w:tc>
          <w:tcPr>
            <w:tcW w:type="dxa" w:w="5112"/>
          </w:tcPr>
          <w:p>
            <w:r>
              <w:t>Too many containers</w:t>
            </w:r>
          </w:p>
        </w:tc>
        <w:tc>
          <w:tcPr>
            <w:tcW w:type="dxa" w:w="5112"/>
          </w:tcPr>
          <w:p>
            <w:r>
              <w:t>The screen is still card-heavy. Common region should group major chunks; internal grouping should use alignment and spacing rather than nested cards everywhere.</w:t>
            </w:r>
          </w:p>
        </w:tc>
      </w:tr>
      <w:tr>
        <w:tc>
          <w:tcPr>
            <w:tcW w:type="dxa" w:w="5112"/>
          </w:tcPr>
          <w:p>
            <w:r>
              <w:t>Too much emphasis on reference metadata</w:t>
            </w:r>
          </w:p>
        </w:tc>
        <w:tc>
          <w:tcPr>
            <w:tcW w:type="dxa" w:w="5112"/>
          </w:tcPr>
          <w:p>
            <w:r>
              <w:t>DOB, gender, nationality and Emirates ID are required but should not compete with operational information that changes the current call.</w:t>
            </w:r>
          </w:p>
        </w:tc>
      </w:tr>
      <w:tr>
        <w:tc>
          <w:tcPr>
            <w:tcW w:type="dxa" w:w="5112"/>
          </w:tcPr>
          <w:p>
            <w:r>
              <w:t>Prototype is optimized to the example record</w:t>
            </w:r>
          </w:p>
        </w:tc>
        <w:tc>
          <w:tcPr>
            <w:tcW w:type="dxa" w:w="5112"/>
          </w:tcPr>
          <w:p>
            <w:r>
              <w:t>One deal, short history and empty states do not prove the architecture works for multiple deals, multiple promises and long activity history.</w:t>
            </w:r>
          </w:p>
        </w:tc>
      </w:tr>
    </w:tbl>
    <w:p>
      <w:pPr>
        <w:pStyle w:val="Heading1"/>
      </w:pPr>
      <w:r>
        <w:t>5. V2 information architecture</w:t>
      </w:r>
    </w:p>
    <w:p>
      <w:r>
        <w:rPr>
          <w:b/>
        </w:rPr>
        <w:t xml:space="preserve">The redesigned page is organized around the agent’s sequence of questions: </w:t>
      </w:r>
      <w:r>
        <w:t>Who is this? → Why am I handling it? → What is owed? → What was promised? → What happened already? → What can I do now?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0A0A08"/>
          </w:tcPr>
          <w:p>
            <w:pPr>
              <w:spacing w:after="0"/>
            </w:pPr>
            <w:r>
              <w:rPr>
                <w:b/>
                <w:color w:val="FFFFFF"/>
                <w:sz w:val="19"/>
              </w:rPr>
              <w:t>Region</w:t>
            </w:r>
          </w:p>
        </w:tc>
        <w:tc>
          <w:tcPr>
            <w:tcW w:type="dxa" w:w="5112"/>
            <w:vAlign w:val="center"/>
            <w:tcMar>
              <w:top w:w="80" w:type="dxa"/>
              <w:start w:w="100" w:type="dxa"/>
              <w:bottom w:w="80" w:type="dxa"/>
              <w:end w:w="100" w:type="dxa"/>
            </w:tcMar>
            <w:shd w:fill="0A0A08"/>
          </w:tcPr>
          <w:p>
            <w:pPr>
              <w:spacing w:after="0"/>
            </w:pPr>
            <w:r>
              <w:rPr>
                <w:b/>
                <w:color w:val="FFFFFF"/>
                <w:sz w:val="19"/>
              </w:rPr>
              <w:t>Purpose</w:t>
            </w:r>
          </w:p>
        </w:tc>
      </w:tr>
      <w:tr>
        <w:tc>
          <w:tcPr>
            <w:tcW w:type="dxa" w:w="5112"/>
          </w:tcPr>
          <w:p>
            <w:r>
              <w:t>Persistent context header</w:t>
            </w:r>
          </w:p>
        </w:tc>
        <w:tc>
          <w:tcPr>
            <w:tcW w:type="dxa" w:w="5112"/>
          </w:tcPr>
          <w:p>
            <w:r>
              <w:t>Borrower identity, preferred language, stage, escalation reason, concise escalation context, channel actions with per-channel state.</w:t>
            </w:r>
          </w:p>
        </w:tc>
      </w:tr>
      <w:tr>
        <w:tc>
          <w:tcPr>
            <w:tcW w:type="dxa" w:w="5112"/>
          </w:tcPr>
          <w:p>
            <w:r>
              <w:t>Decision metrics</w:t>
            </w:r>
          </w:p>
        </w:tc>
        <w:tc>
          <w:tcPr>
            <w:tcW w:type="dxa" w:w="5112"/>
          </w:tcPr>
          <w:p>
            <w:r>
              <w:t>Outstanding balance, DPD, current promise state. One canonical home for each.</w:t>
            </w:r>
          </w:p>
        </w:tc>
      </w:tr>
      <w:tr>
        <w:tc>
          <w:tcPr>
            <w:tcW w:type="dxa" w:w="5112"/>
          </w:tcPr>
          <w:p>
            <w:r>
              <w:t>Borrower &amp; contact</w:t>
            </w:r>
          </w:p>
        </w:tc>
        <w:tc>
          <w:tcPr>
            <w:tcW w:type="dxa" w:w="5112"/>
          </w:tcPr>
          <w:p>
            <w:r>
              <w:t>Phone/email, language, owner and account status; demographic/legal identity fields are compact reference information rather than hero content.</w:t>
            </w:r>
          </w:p>
        </w:tc>
      </w:tr>
      <w:tr>
        <w:tc>
          <w:tcPr>
            <w:tcW w:type="dxa" w:w="5112"/>
          </w:tcPr>
          <w:p>
            <w:r>
              <w:t>Promises &amp; exceptions</w:t>
            </w:r>
          </w:p>
        </w:tc>
        <w:tc>
          <w:tcPr>
            <w:tcW w:type="dxa" w:w="5112"/>
          </w:tcPr>
          <w:p>
            <w:r>
              <w:t>PTP commitment, broken promise state, and any exception that changes the current conversation.</w:t>
            </w:r>
          </w:p>
        </w:tc>
      </w:tr>
      <w:tr>
        <w:tc>
          <w:tcPr>
            <w:tcW w:type="dxa" w:w="5112"/>
          </w:tcPr>
          <w:p>
            <w:r>
              <w:t>Recent contact</w:t>
            </w:r>
          </w:p>
        </w:tc>
        <w:tc>
          <w:tcPr>
            <w:tcW w:type="dxa" w:w="5112"/>
          </w:tcPr>
          <w:p>
            <w:r>
              <w:t>Human/AI contact counts, last answered times, and the proposed AI handoff outcome. This is deliberately separate from escalation reason.</w:t>
            </w:r>
          </w:p>
        </w:tc>
      </w:tr>
      <w:tr>
        <w:tc>
          <w:tcPr>
            <w:tcW w:type="dxa" w:w="5112"/>
          </w:tcPr>
          <w:p>
            <w:r>
              <w:t>Deals</w:t>
            </w:r>
          </w:p>
        </w:tc>
        <w:tc>
          <w:tcPr>
            <w:tcW w:type="dxa" w:w="5112"/>
          </w:tcPr>
          <w:p>
            <w:r>
              <w:t>Canonical deal table containing the required columns; selected deal can be viewed/edited.</w:t>
            </w:r>
          </w:p>
        </w:tc>
      </w:tr>
      <w:tr>
        <w:tc>
          <w:tcPr>
            <w:tcW w:type="dxa" w:w="5112"/>
          </w:tcPr>
          <w:p>
            <w:r>
              <w:t>Selected deal</w:t>
            </w:r>
          </w:p>
        </w:tc>
        <w:tc>
          <w:tcPr>
            <w:tcW w:type="dxa" w:w="5112"/>
          </w:tcPr>
          <w:p>
            <w:r>
              <w:t>Payment plan, installment, lender, principal, schedule/payment flags and deal-specific status.</w:t>
            </w:r>
          </w:p>
        </w:tc>
      </w:tr>
      <w:tr>
        <w:tc>
          <w:tcPr>
            <w:tcW w:type="dxa" w:w="5112"/>
          </w:tcPr>
          <w:p>
            <w:r>
              <w:t>Activity</w:t>
            </w:r>
          </w:p>
        </w:tc>
        <w:tc>
          <w:tcPr>
            <w:tcW w:type="dxa" w:w="5112"/>
          </w:tcPr>
          <w:p>
            <w:r>
              <w:t>Interaction logs, communication logs, timeline, tickets, plus an explicit “Log interaction” entry point.</w:t>
            </w:r>
          </w:p>
        </w:tc>
      </w:tr>
      <w:tr>
        <w:tc>
          <w:tcPr>
            <w:tcW w:type="dxa" w:w="5112"/>
          </w:tcPr>
          <w:p>
            <w:r>
              <w:t>Reference details</w:t>
            </w:r>
          </w:p>
        </w:tc>
        <w:tc>
          <w:tcPr>
            <w:tcW w:type="dxa" w:w="5112"/>
          </w:tcPr>
          <w:p>
            <w:r>
              <w:t>Borrower identity fields, contact details, custom/portfolio-specific attributes and audit metadata.</w:t>
            </w:r>
          </w:p>
        </w:tc>
      </w:tr>
      <w:tr>
        <w:tc>
          <w:tcPr>
            <w:tcW w:type="dxa" w:w="5112"/>
          </w:tcPr>
          <w:p>
            <w:r>
              <w:t>Scenario layer</w:t>
            </w:r>
          </w:p>
        </w:tc>
        <w:tc>
          <w:tcPr>
            <w:tcW w:type="dxa" w:w="5112"/>
          </w:tcPr>
          <w:p>
            <w:r>
              <w:t>Synthetic backstory + user journey are provided in the prototype to test the interface against more than one debtor state.</w:t>
            </w:r>
          </w:p>
        </w:tc>
      </w:tr>
    </w:tbl>
    <w:p>
      <w:pPr>
        <w:pStyle w:val="Heading1"/>
      </w:pPr>
      <w:r>
        <w:t>6. Field ownership / canonical placement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0A0A08"/>
          </w:tcPr>
          <w:p>
            <w:pPr>
              <w:spacing w:after="0"/>
            </w:pPr>
            <w:r>
              <w:rPr>
                <w:b/>
                <w:color w:val="FFFFFF"/>
                <w:sz w:val="19"/>
              </w:rPr>
              <w:t>Field</w:t>
            </w:r>
          </w:p>
        </w:tc>
        <w:tc>
          <w:tcPr>
            <w:tcW w:type="dxa" w:w="5112"/>
            <w:vAlign w:val="center"/>
            <w:tcMar>
              <w:top w:w="80" w:type="dxa"/>
              <w:start w:w="100" w:type="dxa"/>
              <w:bottom w:w="80" w:type="dxa"/>
              <w:end w:w="100" w:type="dxa"/>
            </w:tcMar>
            <w:shd w:fill="0A0A08"/>
          </w:tcPr>
          <w:p>
            <w:pPr>
              <w:spacing w:after="0"/>
            </w:pPr>
            <w:r>
              <w:rPr>
                <w:b/>
                <w:color w:val="FFFFFF"/>
                <w:sz w:val="19"/>
              </w:rPr>
              <w:t>Canonical placement</w:t>
            </w:r>
          </w:p>
        </w:tc>
      </w:tr>
      <w:tr>
        <w:tc>
          <w:tcPr>
            <w:tcW w:type="dxa" w:w="5112"/>
          </w:tcPr>
          <w:p>
            <w:r>
              <w:t>Name (English + Arabic)</w:t>
            </w:r>
          </w:p>
        </w:tc>
        <w:tc>
          <w:tcPr>
            <w:tcW w:type="dxa" w:w="5112"/>
          </w:tcPr>
          <w:p>
            <w:r>
              <w:t>Persistent identity header; Arabic counterpart may be shown as secondary identity data.</w:t>
            </w:r>
          </w:p>
        </w:tc>
      </w:tr>
      <w:tr>
        <w:tc>
          <w:tcPr>
            <w:tcW w:type="dxa" w:w="5112"/>
          </w:tcPr>
          <w:p>
            <w:r>
              <w:t>Preferred language</w:t>
            </w:r>
          </w:p>
        </w:tc>
        <w:tc>
          <w:tcPr>
            <w:tcW w:type="dxa" w:w="5112"/>
          </w:tcPr>
          <w:p>
            <w:r>
              <w:t>Persistent identity/contact context.</w:t>
            </w:r>
          </w:p>
        </w:tc>
      </w:tr>
      <w:tr>
        <w:tc>
          <w:tcPr>
            <w:tcW w:type="dxa" w:w="5112"/>
          </w:tcPr>
          <w:p>
            <w:r>
              <w:t>Gender / Nationality / DOB / Emirates ID / Visa status / Submit date</w:t>
            </w:r>
          </w:p>
        </w:tc>
        <w:tc>
          <w:tcPr>
            <w:tcW w:type="dxa" w:w="5112"/>
          </w:tcPr>
          <w:p>
            <w:r>
              <w:t>Reference details.</w:t>
            </w:r>
          </w:p>
        </w:tc>
      </w:tr>
      <w:tr>
        <w:tc>
          <w:tcPr>
            <w:tcW w:type="dxa" w:w="5112"/>
          </w:tcPr>
          <w:p>
            <w:r>
              <w:t>Deal Owner</w:t>
            </w:r>
          </w:p>
        </w:tc>
        <w:tc>
          <w:tcPr>
            <w:tcW w:type="dxa" w:w="5112"/>
          </w:tcPr>
          <w:p>
            <w:r>
              <w:t>Borrower/contact context, read-first; editing is secondary.</w:t>
            </w:r>
          </w:p>
        </w:tc>
      </w:tr>
      <w:tr>
        <w:tc>
          <w:tcPr>
            <w:tcW w:type="dxa" w:w="5112"/>
          </w:tcPr>
          <w:p>
            <w:r>
              <w:t>Deal Stage</w:t>
            </w:r>
          </w:p>
        </w:tc>
        <w:tc>
          <w:tcPr>
            <w:tcW w:type="dxa" w:w="5112"/>
          </w:tcPr>
          <w:p>
            <w:r>
              <w:t>Persistent header context; one canonical raw field.</w:t>
            </w:r>
          </w:p>
        </w:tc>
      </w:tr>
      <w:tr>
        <w:tc>
          <w:tcPr>
            <w:tcW w:type="dxa" w:w="5112"/>
          </w:tcPr>
          <w:p>
            <w:r>
              <w:t>Total / Outstanding / Overdue / Last Due Date / DPD / Account Status</w:t>
            </w:r>
          </w:p>
        </w:tc>
        <w:tc>
          <w:tcPr>
            <w:tcW w:type="dxa" w:w="5112"/>
          </w:tcPr>
          <w:p>
            <w:r>
              <w:t>Decision metrics / financial block.</w:t>
            </w:r>
          </w:p>
        </w:tc>
      </w:tr>
      <w:tr>
        <w:tc>
          <w:tcPr>
            <w:tcW w:type="dxa" w:w="5112"/>
          </w:tcPr>
          <w:p>
            <w:r>
              <w:t>PTP amount/date/status</w:t>
            </w:r>
          </w:p>
        </w:tc>
        <w:tc>
          <w:tcPr>
            <w:tcW w:type="dxa" w:w="5112"/>
          </w:tcPr>
          <w:p>
            <w:r>
              <w:t>Promises &amp; exceptions.</w:t>
            </w:r>
          </w:p>
        </w:tc>
      </w:tr>
      <w:tr>
        <w:tc>
          <w:tcPr>
            <w:tcW w:type="dxa" w:w="5112"/>
          </w:tcPr>
          <w:p>
            <w:r>
              <w:t>Broken promise type/date/count</w:t>
            </w:r>
          </w:p>
        </w:tc>
        <w:tc>
          <w:tcPr>
            <w:tcW w:type="dxa" w:w="5112"/>
          </w:tcPr>
          <w:p>
            <w:r>
              <w:t>Promises &amp; exceptions; details expand within this semantic group.</w:t>
            </w:r>
          </w:p>
        </w:tc>
      </w:tr>
      <w:tr>
        <w:tc>
          <w:tcPr>
            <w:tcW w:type="dxa" w:w="5112"/>
          </w:tcPr>
          <w:p>
            <w:r>
              <w:t>Human/AI calls + last answered times</w:t>
            </w:r>
          </w:p>
        </w:tc>
        <w:tc>
          <w:tcPr>
            <w:tcW w:type="dxa" w:w="5112"/>
          </w:tcPr>
          <w:p>
            <w:r>
              <w:t>Recent contact.</w:t>
            </w:r>
          </w:p>
        </w:tc>
      </w:tr>
      <w:tr>
        <w:tc>
          <w:tcPr>
            <w:tcW w:type="dxa" w:w="5112"/>
          </w:tcPr>
          <w:p>
            <w:r>
              <w:t>AI handoff outcome</w:t>
            </w:r>
          </w:p>
        </w:tc>
        <w:tc>
          <w:tcPr>
            <w:tcW w:type="dxa" w:w="5112"/>
          </w:tcPr>
          <w:p>
            <w:r>
              <w:t>Recent contact, adjacent to AI history; not the escalation reason.</w:t>
            </w:r>
          </w:p>
        </w:tc>
      </w:tr>
      <w:tr>
        <w:tc>
          <w:tcPr>
            <w:tcW w:type="dxa" w:w="5112"/>
          </w:tcPr>
          <w:p>
            <w:r>
              <w:t>Reference ID / Account Ref / Balance / Total / Due / Loan Type / Status / Merchant / Action</w:t>
            </w:r>
          </w:p>
        </w:tc>
        <w:tc>
          <w:tcPr>
            <w:tcW w:type="dxa" w:w="5112"/>
          </w:tcPr>
          <w:p>
            <w:r>
              <w:t>Deals table.</w:t>
            </w:r>
          </w:p>
        </w:tc>
      </w:tr>
      <w:tr>
        <w:tc>
          <w:tcPr>
            <w:tcW w:type="dxa" w:w="5112"/>
          </w:tcPr>
          <w:p>
            <w:r>
              <w:t>Payment Plan / Interest-EMI-Installment / Lender / Principal / Schedule flags</w:t>
            </w:r>
          </w:p>
        </w:tc>
        <w:tc>
          <w:tcPr>
            <w:tcW w:type="dxa" w:w="5112"/>
          </w:tcPr>
          <w:p>
            <w:r>
              <w:t>Selected deal.</w:t>
            </w:r>
          </w:p>
        </w:tc>
      </w:tr>
      <w:tr>
        <w:tc>
          <w:tcPr>
            <w:tcW w:type="dxa" w:w="5112"/>
          </w:tcPr>
          <w:p>
            <w:r>
              <w:t>Timeline entries</w:t>
            </w:r>
          </w:p>
        </w:tc>
        <w:tc>
          <w:tcPr>
            <w:tcW w:type="dxa" w:w="5112"/>
          </w:tcPr>
          <w:p>
            <w:r>
              <w:t>Activity → Timeline.</w:t>
            </w:r>
          </w:p>
        </w:tc>
      </w:tr>
      <w:tr>
        <w:tc>
          <w:tcPr>
            <w:tcW w:type="dxa" w:w="5112"/>
          </w:tcPr>
          <w:p>
            <w:r>
              <w:t>Interaction logs</w:t>
            </w:r>
          </w:p>
        </w:tc>
        <w:tc>
          <w:tcPr>
            <w:tcW w:type="dxa" w:w="5112"/>
          </w:tcPr>
          <w:p>
            <w:r>
              <w:t>Activity → Interaction logs.</w:t>
            </w:r>
          </w:p>
        </w:tc>
      </w:tr>
      <w:tr>
        <w:tc>
          <w:tcPr>
            <w:tcW w:type="dxa" w:w="5112"/>
          </w:tcPr>
          <w:p>
            <w:r>
              <w:t>Communication logs</w:t>
            </w:r>
          </w:p>
        </w:tc>
        <w:tc>
          <w:tcPr>
            <w:tcW w:type="dxa" w:w="5112"/>
          </w:tcPr>
          <w:p>
            <w:r>
              <w:t>Activity → Communication logs.</w:t>
            </w:r>
          </w:p>
        </w:tc>
      </w:tr>
      <w:tr>
        <w:tc>
          <w:tcPr>
            <w:tcW w:type="dxa" w:w="5112"/>
          </w:tcPr>
          <w:p>
            <w:r>
              <w:t>Custom attributes</w:t>
            </w:r>
          </w:p>
        </w:tc>
        <w:tc>
          <w:tcPr>
            <w:tcW w:type="dxa" w:w="5112"/>
          </w:tcPr>
          <w:p>
            <w:r>
              <w:t>Reference details → dynamic portfolio-specific fields only.</w:t>
            </w:r>
          </w:p>
        </w:tc>
      </w:tr>
      <w:tr>
        <w:tc>
          <w:tcPr>
            <w:tcW w:type="dxa" w:w="5112"/>
          </w:tcPr>
          <w:p>
            <w:r>
              <w:t>Call / SMS / WhatsApp / Email</w:t>
            </w:r>
          </w:p>
        </w:tc>
        <w:tc>
          <w:tcPr>
            <w:tcW w:type="dxa" w:w="5112"/>
          </w:tcPr>
          <w:p>
            <w:r>
              <w:t>Persistent actions, each with independent eligibility state.</w:t>
            </w:r>
          </w:p>
        </w:tc>
      </w:tr>
      <w:tr>
        <w:tc>
          <w:tcPr>
            <w:tcW w:type="dxa" w:w="5112"/>
          </w:tcPr>
          <w:p>
            <w:r>
              <w:t>Email Inbox</w:t>
            </w:r>
          </w:p>
        </w:tc>
        <w:tc>
          <w:tcPr>
            <w:tcW w:type="dxa" w:w="5112"/>
          </w:tcPr>
          <w:p>
            <w:r>
              <w:t>Activity/review surface, not an outbound contact action.</w:t>
            </w:r>
          </w:p>
        </w:tc>
      </w:tr>
    </w:tbl>
    <w:p>
      <w:pPr>
        <w:pStyle w:val="Heading1"/>
      </w:pPr>
      <w:r>
        <w:t>7. Synthetic profiles used in V2</w:t>
      </w:r>
    </w:p>
    <w:p>
      <w:pPr>
        <w:pStyle w:val="ListBullet"/>
      </w:pPr>
      <w:r>
        <w:t>Aisha Rahman — hardship profile. A hospitality-sector employee with a temporary salary disruption, one missed payment promise, two AI contacts and a proposed partial payment after the next salary cycle. This profile tests hardship escalation, a valid PTP, broken-promise context, and a clean human handoff.</w:t>
      </w:r>
    </w:p>
    <w:p>
      <w:pPr>
        <w:pStyle w:val="ListBullet"/>
      </w:pPr>
      <w:r>
        <w:t>Omar Al-Hassan — dispute profile. A borrower with two facilities who disputes a card transaction, has an AI-to-human handoff, no current PTP, and an independently restricted WhatsApp channel. This profile tests dispute semantics, mixed channel eligibility, multiple deals and “do not force a payment conversation” logic.</w:t>
      </w:r>
    </w:p>
    <w:p>
      <w:pPr>
        <w:pStyle w:val="Heading1"/>
      </w:pPr>
      <w:r>
        <w:t>8. User journey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0A0A08"/>
          </w:tcPr>
          <w:p>
            <w:pPr>
              <w:spacing w:after="0"/>
            </w:pPr>
            <w:r>
              <w:rPr>
                <w:b/>
                <w:color w:val="FFFFFF"/>
                <w:sz w:val="19"/>
              </w:rPr>
              <w:t>Stage</w:t>
            </w:r>
          </w:p>
        </w:tc>
        <w:tc>
          <w:tcPr>
            <w:tcW w:type="dxa" w:w="5112"/>
            <w:vAlign w:val="center"/>
            <w:tcMar>
              <w:top w:w="80" w:type="dxa"/>
              <w:start w:w="100" w:type="dxa"/>
              <w:bottom w:w="80" w:type="dxa"/>
              <w:end w:w="100" w:type="dxa"/>
            </w:tcMar>
            <w:shd w:fill="0A0A08"/>
          </w:tcPr>
          <w:p>
            <w:pPr>
              <w:spacing w:after="0"/>
            </w:pPr>
            <w:r>
              <w:rPr>
                <w:b/>
                <w:color w:val="FFFFFF"/>
                <w:sz w:val="19"/>
              </w:rPr>
              <w:t>What the UI needs to support</w:t>
            </w:r>
          </w:p>
        </w:tc>
      </w:tr>
      <w:tr>
        <w:tc>
          <w:tcPr>
            <w:tcW w:type="dxa" w:w="5112"/>
          </w:tcPr>
          <w:p>
            <w:r>
              <w:t>Queued</w:t>
            </w:r>
          </w:p>
        </w:tc>
        <w:tc>
          <w:tcPr>
            <w:tcW w:type="dxa" w:w="5112"/>
          </w:tcPr>
          <w:p>
            <w:r>
              <w:t>Case is routed to a human because automation cannot resolve or should not handle the state.</w:t>
            </w:r>
          </w:p>
        </w:tc>
      </w:tr>
      <w:tr>
        <w:tc>
          <w:tcPr>
            <w:tcW w:type="dxa" w:w="5112"/>
          </w:tcPr>
          <w:p>
            <w:r>
              <w:t>Scan</w:t>
            </w:r>
          </w:p>
        </w:tc>
        <w:tc>
          <w:tcPr>
            <w:tcW w:type="dxa" w:w="5112"/>
          </w:tcPr>
          <w:p>
            <w:r>
              <w:t>Agent spends seconds locating identity, escalation reason, balance, DPD and prior AI context.</w:t>
            </w:r>
          </w:p>
        </w:tc>
      </w:tr>
      <w:tr>
        <w:tc>
          <w:tcPr>
            <w:tcW w:type="dxa" w:w="5112"/>
          </w:tcPr>
          <w:p>
            <w:r>
              <w:t>Contact</w:t>
            </w:r>
          </w:p>
        </w:tc>
        <w:tc>
          <w:tcPr>
            <w:tcW w:type="dxa" w:w="5112"/>
          </w:tcPr>
          <w:p>
            <w:r>
              <w:t>Agent sees channel eligibility before choosing a contact method.</w:t>
            </w:r>
          </w:p>
        </w:tc>
      </w:tr>
      <w:tr>
        <w:tc>
          <w:tcPr>
            <w:tcW w:type="dxa" w:w="5112"/>
          </w:tcPr>
          <w:p>
            <w:r>
              <w:t>Conversation</w:t>
            </w:r>
          </w:p>
        </w:tc>
        <w:tc>
          <w:tcPr>
            <w:tcW w:type="dxa" w:w="5112"/>
          </w:tcPr>
          <w:p>
            <w:r>
              <w:t>Agent uses the visible context to avoid repeating prior questions and focuses on the reason for escalation.</w:t>
            </w:r>
          </w:p>
        </w:tc>
      </w:tr>
      <w:tr>
        <w:tc>
          <w:tcPr>
            <w:tcW w:type="dxa" w:w="5112"/>
          </w:tcPr>
          <w:p>
            <w:r>
              <w:t>Outcome</w:t>
            </w:r>
          </w:p>
        </w:tc>
        <w:tc>
          <w:tcPr>
            <w:tcW w:type="dxa" w:w="5112"/>
          </w:tcPr>
          <w:p>
            <w:r>
              <w:t>Agent logs structured outcome, optional notes and PTP/status changes after the conversation.</w:t>
            </w:r>
          </w:p>
        </w:tc>
      </w:tr>
      <w:tr>
        <w:tc>
          <w:tcPr>
            <w:tcW w:type="dxa" w:w="5112"/>
          </w:tcPr>
          <w:p>
            <w:r>
              <w:t>Follow-up</w:t>
            </w:r>
          </w:p>
        </w:tc>
        <w:tc>
          <w:tcPr>
            <w:tcW w:type="dxa" w:w="5112"/>
          </w:tcPr>
          <w:p>
            <w:r>
              <w:t>The profile becomes the source of truth for the next permitted action and the latest case state.</w:t>
            </w:r>
          </w:p>
        </w:tc>
      </w:tr>
    </w:tbl>
    <w:p>
      <w:pPr>
        <w:pStyle w:val="Heading1"/>
      </w:pPr>
      <w:r>
        <w:t>9. V2 verification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0A0A08"/>
          </w:tcPr>
          <w:p>
            <w:pPr>
              <w:spacing w:after="0"/>
            </w:pPr>
            <w:r>
              <w:rPr>
                <w:b/>
                <w:color w:val="FFFFFF"/>
                <w:sz w:val="19"/>
              </w:rPr>
              <w:t>Test</w:t>
            </w:r>
          </w:p>
        </w:tc>
        <w:tc>
          <w:tcPr>
            <w:tcW w:type="dxa" w:w="5112"/>
            <w:vAlign w:val="center"/>
            <w:tcMar>
              <w:top w:w="80" w:type="dxa"/>
              <w:start w:w="100" w:type="dxa"/>
              <w:bottom w:w="80" w:type="dxa"/>
              <w:end w:w="100" w:type="dxa"/>
            </w:tcMar>
            <w:shd w:fill="0A0A08"/>
          </w:tcPr>
          <w:p>
            <w:pPr>
              <w:spacing w:after="0"/>
            </w:pPr>
            <w:r>
              <w:rPr>
                <w:b/>
                <w:color w:val="FFFFFF"/>
                <w:sz w:val="19"/>
              </w:rPr>
              <w:t>Pass condition</w:t>
            </w:r>
          </w:p>
        </w:tc>
      </w:tr>
      <w:tr>
        <w:tc>
          <w:tcPr>
            <w:tcW w:type="dxa" w:w="5112"/>
          </w:tcPr>
          <w:p>
            <w:r>
              <w:t>Five-second test</w:t>
            </w:r>
          </w:p>
        </w:tc>
        <w:tc>
          <w:tcPr>
            <w:tcW w:type="dxa" w:w="5112"/>
          </w:tcPr>
          <w:p>
            <w:r>
              <w:t>From the top of the page, the viewer can answer: who is this, why is a human handling it, how much is owed, how late is it, what is the current commitment, and what did AI already learn?</w:t>
            </w:r>
          </w:p>
        </w:tc>
      </w:tr>
      <w:tr>
        <w:tc>
          <w:tcPr>
            <w:tcW w:type="dxa" w:w="5112"/>
          </w:tcPr>
          <w:p>
            <w:r>
              <w:t>Zero-click test</w:t>
            </w:r>
          </w:p>
        </w:tc>
        <w:tc>
          <w:tcPr>
            <w:tcW w:type="dxa" w:w="5112"/>
          </w:tcPr>
          <w:p>
            <w:r>
              <w:t>Everything needed for the live-call scan is visible without expanding an accordion.</w:t>
            </w:r>
          </w:p>
        </w:tc>
      </w:tr>
      <w:tr>
        <w:tc>
          <w:tcPr>
            <w:tcW w:type="dxa" w:w="5112"/>
          </w:tcPr>
          <w:p>
            <w:r>
              <w:t>Repetition audit</w:t>
            </w:r>
          </w:p>
        </w:tc>
        <w:tc>
          <w:tcPr>
            <w:tcW w:type="dxa" w:w="5112"/>
          </w:tcPr>
          <w:p>
            <w:r>
              <w:t>The same raw field has one canonical location.</w:t>
            </w:r>
          </w:p>
        </w:tc>
      </w:tr>
      <w:tr>
        <w:tc>
          <w:tcPr>
            <w:tcW w:type="dxa" w:w="5112"/>
          </w:tcPr>
          <w:p>
            <w:r>
              <w:t>Salience audit</w:t>
            </w:r>
          </w:p>
        </w:tc>
        <w:tc>
          <w:tcPr>
            <w:tcW w:type="dxa" w:w="5112"/>
          </w:tcPr>
          <w:p>
            <w:r>
              <w:t>Coral/semantic alert treatment is reserved for truly exceptional states and is not repeated for universal collection states.</w:t>
            </w:r>
          </w:p>
        </w:tc>
      </w:tr>
      <w:tr>
        <w:tc>
          <w:tcPr>
            <w:tcW w:type="dxa" w:w="5112"/>
          </w:tcPr>
          <w:p>
            <w:r>
              <w:t>Empty-state audit</w:t>
            </w:r>
          </w:p>
        </w:tc>
        <w:tc>
          <w:tcPr>
            <w:tcW w:type="dxa" w:w="5112"/>
          </w:tcPr>
          <w:p>
            <w:r>
              <w:t>No PTP / no broken promises / no AI summary do not cause layout collapse or ambiguous zeros.</w:t>
            </w:r>
          </w:p>
        </w:tc>
      </w:tr>
      <w:tr>
        <w:tc>
          <w:tcPr>
            <w:tcW w:type="dxa" w:w="5112"/>
          </w:tcPr>
          <w:p>
            <w:r>
              <w:t>Mixed-state audit</w:t>
            </w:r>
          </w:p>
        </w:tc>
        <w:tc>
          <w:tcPr>
            <w:tcW w:type="dxa" w:w="5112"/>
          </w:tcPr>
          <w:p>
            <w:r>
              <w:t>At least one profile shows restricted WhatsApp while other channels remain available.</w:t>
            </w:r>
          </w:p>
        </w:tc>
      </w:tr>
      <w:tr>
        <w:tc>
          <w:tcPr>
            <w:tcW w:type="dxa" w:w="5112"/>
          </w:tcPr>
          <w:p>
            <w:r>
              <w:t>Multi-deal audit</w:t>
            </w:r>
          </w:p>
        </w:tc>
        <w:tc>
          <w:tcPr>
            <w:tcW w:type="dxa" w:w="5112"/>
          </w:tcPr>
          <w:p>
            <w:r>
              <w:t>The layout remains understandable when the borrower has more than one deal.</w:t>
            </w:r>
          </w:p>
        </w:tc>
      </w:tr>
      <w:tr>
        <w:tc>
          <w:tcPr>
            <w:tcW w:type="dxa" w:w="5112"/>
          </w:tcPr>
          <w:p>
            <w:r>
              <w:t>Long-history audit</w:t>
            </w:r>
          </w:p>
        </w:tc>
        <w:tc>
          <w:tcPr>
            <w:tcW w:type="dxa" w:w="5112"/>
          </w:tcPr>
          <w:p>
            <w:r>
              <w:t>Activity remains usable when interaction history is much longer than the small synthetic sample.</w:t>
            </w:r>
          </w:p>
        </w:tc>
      </w:tr>
      <w:tr>
        <w:tc>
          <w:tcPr>
            <w:tcW w:type="dxa" w:w="5112"/>
          </w:tcPr>
          <w:p>
            <w:r>
              <w:t>Read→write audit</w:t>
            </w:r>
          </w:p>
        </w:tc>
        <w:tc>
          <w:tcPr>
            <w:tcW w:type="dxa" w:w="5112"/>
          </w:tcPr>
          <w:p>
            <w:r>
              <w:t>The agent can clearly move from review to “Log interaction” without confusing read-only facts with editable controls.</w:t>
            </w:r>
          </w:p>
        </w:tc>
      </w:tr>
      <w:tr>
        <w:tc>
          <w:tcPr>
            <w:tcW w:type="dxa" w:w="5112"/>
          </w:tcPr>
          <w:p>
            <w:r>
              <w:t>RTL audit</w:t>
            </w:r>
          </w:p>
        </w:tc>
        <w:tc>
          <w:tcPr>
            <w:tcW w:type="dxa" w:w="5112"/>
          </w:tcPr>
          <w:p>
            <w:r>
              <w:t>Arabic uses Tajawal, the layout mirrors semantically, LTR islands preserve IDs/phone/email order, and icon mirroring follows meaning rather than blindly flipping everything.</w:t>
            </w:r>
          </w:p>
        </w:tc>
      </w:tr>
      <w:tr>
        <w:tc>
          <w:tcPr>
            <w:tcW w:type="dxa" w:w="5112"/>
          </w:tcPr>
          <w:p>
            <w:r>
              <w:t>Data-integrity audit</w:t>
            </w:r>
          </w:p>
        </w:tc>
        <w:tc>
          <w:tcPr>
            <w:tcW w:type="dxa" w:w="5112"/>
          </w:tcPr>
          <w:p>
            <w:r>
              <w:t>No unsupported business semantics such as “deep bucket” or “active deal” are invented without source data or rules.</w:t>
            </w:r>
          </w:p>
        </w:tc>
      </w:tr>
    </w:tbl>
    <w:p>
      <w:pPr>
        <w:pStyle w:val="Heading1"/>
      </w:pPr>
      <w:r>
        <w:t>10. Scope of the V2 prototype</w:t>
      </w:r>
    </w:p>
    <w:p>
      <w:pPr>
        <w:pStyle w:val="ListBullet"/>
      </w:pPr>
      <w:r>
        <w:t>V2 is intentionally still an information-architecture prototype rather than a final visual design.</w:t>
      </w:r>
    </w:p>
    <w:p>
      <w:pPr>
        <w:pStyle w:val="ListBullet"/>
      </w:pPr>
      <w:r>
        <w:t>The prototype includes two synthetic debtors so the layout is tested against meaningfully different cases instead of copying the production screenshots.</w:t>
      </w:r>
    </w:p>
    <w:p>
      <w:pPr>
        <w:pStyle w:val="ListBullet"/>
      </w:pPr>
      <w:r>
        <w:t>The synthetic journey and backstory are product-design fixtures, not claims about ClearGrid’s actual production data model.</w:t>
      </w:r>
    </w:p>
    <w:p>
      <w:pPr>
        <w:pStyle w:val="ListBullet"/>
      </w:pPr>
      <w:r>
        <w:t>The proposed escalation reason and AI handoff summary are intentionally modeled as capability placeholders based on the documented assumptions.</w:t>
      </w:r>
    </w:p>
    <w:p>
      <w:pPr>
        <w:spacing w:before="240"/>
      </w:pPr>
      <w:r>
        <w:rPr>
          <w:b/>
        </w:rPr>
        <w:t xml:space="preserve">Prototype: </w:t>
      </w:r>
      <w:r>
        <w:t>cleargrid-borrower-profile-v2.html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ClearGrid Borrower Profile — V2 IA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