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Cual es criterio para determinar la "oferta mas conveniente"?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**Dictamen Técnico-Jurídico**</w:t>
      </w:r>
      <w:r>
        <w:rPr>
          <w:i/>
          <w:sz w:val="20"/>
        </w:rPr>
        <w:br/>
        <w:br/>
        <w:t>[Referencia: Dictamen, PG-CABA - DICTÁMENES, 2016-01-01]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**I. Antecedentes**  </w:t>
        <w:br/>
        <w:t xml:space="preserve">Se consulta sobre el criterio para determinar la </w:t>
      </w:r>
      <w:r>
        <w:rPr>
          <w:i/>
        </w:rPr>
        <w:t>oferta más conveniente</w:t>
      </w:r>
      <w:r>
        <w:rPr>
          <w:rFonts w:ascii="Times New Roman" w:hAnsi="Times New Roman"/>
          <w:sz w:val="24"/>
        </w:rPr>
        <w:t xml:space="preserve"> en el marco de procesos de contratación pública. Para ello, se analizan los dictámenes emitidos por la Oficina Nacional de Contrataciones (ONC), en particular el Dictamen ONC Nº 221/15 y otros pronunciamientos relacionados.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**II. Análisis**  </w:t>
        <w:br/>
        <w:t xml:space="preserve">De acuerdo con los dictámenes citados, la </w:t>
      </w:r>
      <w:r>
        <w:rPr>
          <w:i/>
        </w:rPr>
        <w:t>oferta más conveniente</w:t>
      </w:r>
      <w:r>
        <w:rPr>
          <w:rFonts w:ascii="Times New Roman" w:hAnsi="Times New Roman"/>
          <w:sz w:val="24"/>
        </w:rPr>
        <w:t xml:space="preserve"> se define como aquella que cumple con las previsiones del pliego de bases y condiciones particulares, y que, basándose en criterios económicos, de calidad, de idoneidad del proveedor, entre otros, satisface la necesidad del organismo cocontratante ([2], [3]).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La selección de la oferta debe realizarse conforme a las cláusulas del pliego de bases y condiciones particulares y demás normas complementarias, en línea con el principio de juridicidad ([4], [5]). Asimismo, la elección debe estar razonablemente fundada y motivada, explicitando las razones y el criterio objetivo que permitieron seleccionar una propuesta como </w:t>
      </w:r>
      <w:r>
        <w:rPr>
          <w:i/>
        </w:rPr>
        <w:t>la más conveniente</w:t>
      </w:r>
      <w:r>
        <w:rPr>
          <w:rFonts w:ascii="Times New Roman" w:hAnsi="Times New Roman"/>
          <w:sz w:val="24"/>
        </w:rPr>
        <w:t xml:space="preserve"> ([4], [5]).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Se destaca que la determinación de la oferta más conveniente es una prerrogativa del órgano competente, quien cuenta con un margen de apreciación discrecional, sujeto a las limitantes mencionadas ([5]).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**III. Conclusión**  </w:t>
        <w:br/>
        <w:t xml:space="preserve">El criterio para determinar la </w:t>
      </w:r>
      <w:r>
        <w:rPr>
          <w:i/>
        </w:rPr>
        <w:t>oferta más conveniente</w:t>
      </w:r>
      <w:r>
        <w:rPr>
          <w:rFonts w:ascii="Times New Roman" w:hAnsi="Times New Roman"/>
          <w:sz w:val="24"/>
        </w:rPr>
        <w:t xml:space="preserve"> implica:  </w:t>
        <w:br/>
        <w:t xml:space="preserve">1. Ajustarse a las previsiones del pliego de bases y condiciones particulares y normas complementarias.  </w:t>
        <w:br/>
        <w:t xml:space="preserve">2. Basarse en criterios objetivos como económicos, de calidad e idoneidad del proveedor.  </w:t>
        <w:br/>
        <w:t xml:space="preserve">3. Fundar y motivar razonablemente la elección, explicitando los criterios utilizados.  </w:t>
        <w:br/>
        <w:t>4. Respetar el principio de juridicidad y el margen de apreciación discrecional del órgano competente.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En consecuencia, la selección debe garantizar la satisfacción del fin público comprometido en cada caso.</w:t>
      </w:r>
      <w:r>
        <w:rPr>
          <w:i/>
          <w:sz w:val="20"/>
        </w:rPr>
        <w:br/>
        <w:br/>
        <w:t>[Referencia: None, ONC -NORMATIVOS, 2024-01-01]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  <w:sz w:val="20"/>
        </w:rPr>
        <w:t>[3]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